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[NOME DA INSTITUIÇÃO DE ENSINO]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[NOME DO CURSO]</w:t>
      </w:r>
    </w:p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[INTEGRANTES DO GRUPO ATÉ 5 ALUNOS]</w:t>
      </w:r>
    </w:p>
    <w:p/>
    <w:p/>
    <w:p/>
    <w:p/>
    <w:p/>
    <w:p/>
    <w:p>
      <w:pPr>
        <w:pStyle w:val="Title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NEGOCIAÇÕES NA BOLSA DE VALORES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modelagem conceitual, lógica e física de banco de dados para uma corretora</w:t>
      </w:r>
    </w:p>
    <w:p/>
    <w:p/>
    <w:p/>
    <w:p/>
    <w:p/>
    <w:p/>
    <w:p/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[CIDADE]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>
      <w:pPr>
        <w:sectPr>
          <w:headerReference w:type="default" r:id="rId9"/>
          <w:pgSz w:w="11906" w:h="16838"/>
          <w:pgMar w:top="1701" w:right="1134" w:bottom="1134" w:left="1701" w:header="1134" w:footer="850" w:gutter="0"/>
          <w:cols w:space="720"/>
          <w:docGrid w:linePitch="360"/>
        </w:sectPr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[INTEGRANTES DO GRUPO ATÉ 5 ALUNOS]</w:t>
      </w:r>
    </w:p>
    <w:p/>
    <w:p/>
    <w:p/>
    <w:p/>
    <w:p/>
    <w:p/>
    <w:p/>
    <w:p>
      <w:pPr>
        <w:pStyle w:val="Title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NEGOCIAÇÕES NA BOLSA DE VALORES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modelagem conceitual, lógica e física de banco de dados para uma corretora</w:t>
      </w:r>
    </w:p>
    <w:p/>
    <w:p/>
    <w:p/>
    <w:p>
      <w:pPr>
        <w:spacing w:before="0" w:after="0" w:line="240" w:lineRule="auto"/>
        <w:ind w:firstLine="0" w:left="4535"/>
        <w:jc w:val="both"/>
      </w:pPr>
      <w:r>
        <w:rPr>
          <w:rFonts w:ascii="Times New Roman" w:hAnsi="Times New Roman" w:eastAsia="Times New Roman"/>
          <w:color w:val="000000"/>
          <w:sz w:val="24"/>
        </w:rPr>
        <w:t>Relatório de resultados apresentado à disciplina de Transformando Dados em Percepção do [NOME DO CURSO], [NOME DA INSTITUIÇÃO DE ENSINO], como requisito parcial de avaliação: modelagem conceitual, lógica e física do caso “Negociações na Bolsa de Valores”.</w:t>
      </w:r>
    </w:p>
    <w:p/>
    <w:p>
      <w:pPr>
        <w:spacing w:before="0" w:after="0" w:line="240" w:lineRule="auto"/>
        <w:ind w:firstLine="0" w:left="4535"/>
        <w:jc w:val="left"/>
      </w:pPr>
      <w:r>
        <w:rPr>
          <w:rFonts w:ascii="Times New Roman" w:hAnsi="Times New Roman" w:eastAsia="Times New Roman"/>
          <w:color w:val="000000"/>
          <w:sz w:val="24"/>
        </w:rPr>
        <w:t>Professor(a): Anderson Nascimento</w:t>
      </w:r>
    </w:p>
    <w:p/>
    <w:p/>
    <w:p/>
    <w:p/>
    <w:p/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[CIDADE]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>
      <w:pPr>
        <w:pageBreakBefore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RESUMO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apresenta a modelagem de banco de dados para o sistema de uma corretora que gerencia investidores, ações, negociações, histórico de cotações e saldo de carteira. O trabalho foi conduzido nas três etapas clássicas do projeto de bancos de dados: modelo conceitual, em notação Entidade-Relacionamento (Chen) elaborada com a ferramenta brModelo; modelo lógico relacional, obtido pelas regras de mapeamento ER-relacional, distinguindo dados normalizados e derivados; e modelo físico, implementado em PostgreSQL 16 por meio de um script com instruções de definição (DDL), manipulação (DML) e consulta (DQL) de dados. Foram identificadas cinco entidades e cinco relacionamentos, dos quais um relacionamento muitos-para-muitos com atributos (carteira) e uma entidade fraca (cotação). O modelo físico implementa as regras de negócio no próprio SGBD, com restrições de integridade, gatilhos que mantêm a carteira a partir das negociações e impedem vendas sem saldo, e uma função para análise retrospectiva com base no histórico de cotações. O script foi executado integralmente sem erros e as dezesseis consultas analíticas produziram os resultados esperados.</w:t>
      </w:r>
    </w:p>
    <w:p/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Palavras-chave: </w:t>
      </w:r>
      <w:r>
        <w:rPr>
          <w:rFonts w:ascii="Times New Roman" w:hAnsi="Times New Roman" w:eastAsia="Times New Roman"/>
          <w:color w:val="000000"/>
          <w:sz w:val="24"/>
        </w:rPr>
        <w:t>modelagem de dados; modelo entidade-relacionamento; modelo relacional; PostgreSQL; bolsa de valores.</w:t>
      </w:r>
    </w:p>
    <w:p>
      <w:pPr>
        <w:pageBreakBefore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LISTA DE FIGURAS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Figura 1 – Modelo conceitual em notação Entidade-Relacionamento, elaborado no brModelo 3.31</w:t>
        <w:tab/>
        <w:t>9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Figura 2 – Modelo lógico relacional (esquema bolsa)</w:t>
        <w:tab/>
        <w:t>12</w:t>
      </w:r>
    </w:p>
    <w:p>
      <w:pPr>
        <w:pageBreakBefore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LISTA DE QUADROS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1 – Requisitos funcionais e regras de negócio</w:t>
        <w:tab/>
        <w:t>7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2 – Entidades e atributos do modelo conceitual</w:t>
        <w:tab/>
        <w:t>10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3 – Relacionamentos e cardinalidades (mínimo, máximo)</w:t>
        <w:tab/>
        <w:t>10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4 – Regras de mapeamento aplicadas</w:t>
        <w:tab/>
        <w:t>13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5 – Tabela EMPRESA</w:t>
        <w:tab/>
        <w:t>14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6 – Tabela ACAO</w:t>
        <w:tab/>
        <w:t>14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7 – Tabela INVESTIDOR</w:t>
        <w:tab/>
        <w:t>14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8 – Tabela COTACAO</w:t>
        <w:tab/>
        <w:t>15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9 – Tabela NEGOCIACAO</w:t>
        <w:tab/>
        <w:t>15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10 – Tabela CARTEIRA</w:t>
        <w:tab/>
        <w:t>15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11 – Padrões adotados no modelo físico</w:t>
        <w:tab/>
        <w:t>17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12 – Consultas analíticas do modelo físico</w:t>
        <w:tab/>
        <w:t>18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Quadro 13 – Resultados selecionados das consultas</w:t>
        <w:tab/>
        <w:t>20</w:t>
      </w:r>
    </w:p>
    <w:p>
      <w:pPr>
        <w:pageBreakBefore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SUMÁRIO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1 INTRODUÇÃO</w:t>
        <w:tab/>
        <w:t>6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2 DESCRIÇÃO DO PROBLEMA</w:t>
        <w:tab/>
        <w:t>7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2.1 Enunciado</w:t>
        <w:tab/>
        <w:t>7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2.2 Requisitos identificados</w:t>
        <w:tab/>
        <w:t>7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2.3 Metodologia e ferramentas</w:t>
        <w:tab/>
        <w:t>8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3 MODELO CONCEITUAL</w:t>
        <w:tab/>
        <w:t>9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3.1 Entidades e atributos</w:t>
        <w:tab/>
        <w:t>10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3.2 Relacionamentos e cardinalidades</w:t>
        <w:tab/>
        <w:t>10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3.3 Decisões de modelagem</w:t>
        <w:tab/>
        <w:t>10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4 MODELO LÓGICO</w:t>
        <w:tab/>
        <w:t>12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4.1 Esquema relacional em notação textual</w:t>
        <w:tab/>
        <w:t>13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4.2 Mapeamento do modelo conceitual para o lógico</w:t>
        <w:tab/>
        <w:t>13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4.3 Dicionário de dados</w:t>
        <w:tab/>
        <w:t>13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4.4 Normalização</w:t>
        <w:tab/>
        <w:t>16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5 MODELO FÍSICO</w:t>
        <w:tab/>
        <w:t>17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5.1 Definição de dados (DDL)</w:t>
        <w:tab/>
        <w:t>17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5.2 Manipulação de dados (DML)</w:t>
        <w:tab/>
        <w:t>18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5.3 Consultas (DQL)</w:t>
        <w:tab/>
        <w:t>18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6 VALIDAÇÃO E RESULTADOS</w:t>
        <w:tab/>
        <w:t>20</w:t>
      </w:r>
    </w:p>
    <w:p>
      <w:pPr>
        <w:tabs>
          <w:tab w:pos="9071" w:val="right" w:leader="dot"/>
        </w:tabs>
        <w:spacing w:before="0" w:after="16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2"/>
        </w:rPr>
        <w:t>7 CONSIDERAÇÕES FINAIS</w:t>
        <w:tab/>
        <w:t>21</w:t>
      </w:r>
    </w:p>
    <w:p>
      <w:pPr>
        <w:sectPr>
          <w:headerReference w:type="default" r:id="rId10"/>
          <w:pgSz w:w="11906" w:h="16838"/>
          <w:pgMar w:top="1701" w:right="1134" w:bottom="1134" w:left="1701" w:header="1134" w:footer="850" w:gutter="0"/>
          <w:cols w:space="720"/>
          <w:docGrid w:linePitch="360"/>
          <w:pgNumType w:start="1"/>
        </w:sectPr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 INTRODUÇÃO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projeto de um banco de dados relacional é tradicionalmente dividido em três níveis de abstração: o conceitual, que descreve o domínio de forma independente de tecnologia; o lógico, que traduz esse domínio para o modelo de dados do SGBD escolhido; e o físico, que define como os dados serão efetivamente armazenados, restringidos e consultados (ELMASRI; NAVATHE, 2018, referência indicada no enunciado). Este relatório documenta a aplicação dessas três etapas ao caso de uma corretora de valores.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produzir um esquema de banco de dados completo, correto e executável para o gerenciamento de investidores, ações, negociações, histórico de cotações e saldo de carteira. Como objetivos específicos, buscou-se: (a) representar o domínio em um diagrama Entidade-Relacionamento; (b) derivar o esquema relacional normalizado; (c) implementar o esquema em PostgreSQL com as regras de negócio expressas no próprio banco; e (d) demonstrar, por meio de consultas, que o modelo atende às análises requeridas, inclusive as de séries temporais e as retrospectivas.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documento está organizado da seguinte forma: a seção 2 descreve o problema e os requisitos extraídos do enunciado; a seção 3 apresenta o modelo conceitual; a seção 4, o modelo lógico; a seção 5, o modelo físico; a seção 6 relata a validação e os resultados obtidos; e a seção 7 traz as considerações finais. O script SQL completo acompanha este relatório como arquivo anexo.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 DESCRIÇÃO DO PROBLEMA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Enunciado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Uma corretora deseja criar um sistema para gerenciar investidores, ações e suas negociações na bolsa de valores. Cada investidor é identificado por CPF ou CNPJ e possui nome completo, tipo (pessoa física ou jurídica), e-mail e telefone. Cada ação pertence a uma empresa listada na bolsa, identificada por seu ticker, com nome da empresa, setor de atuação e valor de mercado. Os investidores realizam negociações de compra ou venda, registrando-se data e hora, tipo de operação, quantidade e valor unitário no momento da transação. A corretora mantém ainda o histórico de cotações de cada ação (data, hora e valor) para análises de séries temporais, e acompanha o saldo de carteira de cada investidor, atualizado a partir das negociações e passível de análise retrospectiva com base no histórico de cotações.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Requisitos identificados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Da leitura do enunciado foram extraídos os requisitos funcionais (RF) e as premissas adicionais do projeto (RN) relacionados no Quadro 1. As RN não são exigências literais do professor.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1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Requisitos funcionais e regras de negócio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34"/>
        <w:gridCol w:w="7937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Código</w:t>
            </w:r>
          </w:p>
        </w:tc>
        <w:tc>
          <w:tcPr>
            <w:tcW w:type="dxa" w:w="7937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RF01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Cadastrar investidores pessoa física (CPF) e jurídica (CNPJ), sem duplicidade de documento.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RF02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Cadastrar empresas listadas e seus papéis; uma empresa pode ter mais de um ticker.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RF03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Registrar negociações de compra e venda com data/hora, quantidade e preço do momento.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RF04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Armazenar o histórico intradiário de cotações de cada ação.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RF05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Manter a posição (carteira) de cada investidor atualizada a partir das negociações.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RF06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Permitir análise retrospectiva: valor da carteira em qualquer instante passado.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RN01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Um investidor não pode vender mais ações do que possui.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RN02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 negociação é registro contábil: não pode ser alterada nem excluída.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RN03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Existe no máximo uma cotação por ação em cada instante.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RN04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Cada par investidor/ação recebe negociações em instantes estritamente crescentes; atrasos e empates são rejeitados.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Metodologia e ferramentas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Adotou-se a metodologia de projeto em três níveis (conceitual, lógico e físico). O modelo conceitual foi construído em notação de Chen com a ferramenta brModelo (BRMODELO, 2020); o modelo lógico foi derivado pelas regras de mapeamento ER-relacional e verificado quanto às formas normais e às materializações derivadas; o modelo físico foi implementado e testado no PostgreSQL 16 (POSTGRESQL GLOBAL DEVELOPMENT GROUP, 2026). Os diagramas foram gerados por scripts versionados, de modo que qualquer alteração no modelo pode ser reproduzida.</w:t>
      </w:r>
    </w:p>
    <w:p>
      <w:pPr>
        <w:sectPr>
          <w:headerReference w:type="default" r:id="rId11"/>
          <w:pgSz w:w="11906" w:h="16838"/>
          <w:pgMar w:top="1701" w:right="1134" w:bottom="1134" w:left="1701" w:header="1134" w:footer="85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 MODELO CONCEITUAL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conceitual (Figura 1) representa o domínio por meio de entidades, relacionamentos e atributos, sem compromisso com a tecnologia de armazenamento. Foram identificadas cinco entidades e cinco relacionamentos, descritos nos Quadros 2 e 3.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Figura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Figura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1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Modelo conceitual em notação Entidade-Relacionamento, elaborado no brModelo 3.31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55412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conceitual_brmode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55412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sectPr>
          <w:headerReference w:type="default" r:id="rId12"/>
          <w:pgSz w:w="16838" w:h="11906" w:orient="landscape"/>
          <w:pgMar w:top="1701" w:right="1134" w:bottom="1134" w:left="1701" w:header="1134" w:footer="850" w:gutter="0"/>
          <w:cols w:space="720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Entidades e atributos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2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Entidades e atributos do modelo conceitual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4"/>
        <w:gridCol w:w="2835"/>
        <w:gridCol w:w="4422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Entidade</w:t>
            </w:r>
          </w:p>
        </w:tc>
        <w:tc>
          <w:tcPr>
            <w:tcW w:type="dxa" w:w="2835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Descrição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Atributos (identificador em caixa alta)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EMPRESA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Companhia listada na bolsa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ID_EMPRESA, cnpj, nome, setor, valor_mercado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AÇÃO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Papel negociado, identificado pelo ticker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ID_ACAO, ticker, tipo_acao, ativa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INVESTIDOR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Cliente da corretora, PF ou PJ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ID_INVESTIDOR, documento (CPF/CNPJ), tipo_investidor, nome_completo, email, telefone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NEGOCIAÇÃO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Compra ou venda de uma ação por um investidor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ID_NEGOCIACAO, data_hora, tipo_operacao, quantidade, valor_unitario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COTAÇÃO (fraca)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Preço de uma ação em um instante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data_hora (chave parcial), valor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Relacionamentos e cardinalidades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3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Relacionamentos e cardinalidades (mínimo, máximo)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41"/>
        <w:gridCol w:w="2381"/>
        <w:gridCol w:w="2948"/>
        <w:gridCol w:w="1701"/>
      </w:tblGrid>
      <w:tr>
        <w:trPr>
          <w:tblHeader w:val="true"/>
          <w:cantSplit/>
        </w:trPr>
        <w:tc>
          <w:tcPr>
            <w:tcW w:type="dxa" w:w="204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Relacionamento</w:t>
            </w:r>
          </w:p>
        </w:tc>
        <w:tc>
          <w:tcPr>
            <w:tcW w:type="dxa" w:w="238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Entidades</w:t>
            </w:r>
          </w:p>
        </w:tc>
        <w:tc>
          <w:tcPr>
            <w:tcW w:type="dxa" w:w="294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Cardinalidade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Atributos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emite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EMPRESA – AÇÃO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EMPRESA (0,n); AÇÃO (1,1)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possui (identificador)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AÇÃO – COTAÇÃO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AÇÃO (0,n); COTAÇÃO (1,1)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realiza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INVESTIDOR – NEGOCIAÇÃO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INVESTIDOR (0,n); NEGOCIAÇÃO (1,1)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refere-se a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AÇÃO – NEGOCIAÇÃO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AÇÃO (0,n); NEGOCIAÇÃO (1,1)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mantém (carteira)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INVESTIDOR – AÇÃO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INVESTIDOR (0,n); AÇÃO (0,n)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quantidade, preco_medio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Decisões de modelagem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Negociação foi modelada como entidade, e não como relacionamento muitos-para-muitos entre Investidor e Ação. O enunciado afirma que um mesmo investidor pode negociar várias ações ao longo do tempo: o mesmo par (investidor, ação) ocorre muitas vezes, cada uma com data e hora, tipo, quantidade e preço próprios. Um relacionamento admitiria apenas uma ocorrência por par, o que não representaria o domínio.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A carteira, por sua vez, é exatamente um relacionamento muitos-para-muitos com atributos, pois a posição atual é única por par (investidor, ação). Trata-se de informação derivada das negociações, e essa derivação é implementada no modelo físico por um gatilho, garantindo consistência.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Cotação é uma entidade fraca de Ação: não existe cotação sem ação e sua identificação depende do par (ação, data_hora), razão pela qual o relacionamento possui é identificador. Empresa foi separada de Ação porque nome, setor e valor de mercado pertencem à companhia, que pode emitir mais de um papel, como PETR3 e PETR4. Por fim, o investidor guarda CPF ou CNPJ em um único atributo documento, qualificado pelo tipo de investidor; no modelo físico essa regra torna-se uma restrição de unicidade e uma restrição de verificação de onze ou catorze dígitos.</w:t>
      </w:r>
    </w:p>
    <w:p>
      <w:pPr>
        <w:sectPr>
          <w:headerReference w:type="default" r:id="rId14"/>
          <w:pgSz w:w="11906" w:h="16838"/>
          <w:pgMar w:top="1701" w:right="1134" w:bottom="1134" w:left="1701" w:header="1134" w:footer="85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 MODELO LÓGICO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lógico relacional (Figura 2) foi obtido a partir do conceitual pelas regras de mapeamento ER-relacional: cada entidade tornou-se uma tabela; relacionamentos um-para-muitos tornaram-se chaves estrangeiras no lado muitos; o relacionamento muitos-para-muitos com atributos tornou-se uma tabela associativa com chave primária composta; e a entidade fraca herdou a chave da entidade proprietária.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Figura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Figura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2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Modelo lógico relacional (esquema bolsa)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1999" cy="37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log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1999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sectPr>
          <w:headerReference w:type="default" r:id="rId15"/>
          <w:pgSz w:w="16838" w:h="11906" w:orient="landscape"/>
          <w:pgMar w:top="1701" w:right="1134" w:bottom="1134" w:left="1701" w:header="1134" w:footer="850" w:gutter="0"/>
          <w:cols w:space="720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Esquema relacional em notação textual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EMPRESA (id_empresa, cnpj, nome, setor, valor_mercado, atualizado_em)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PK: id_empresa   UQ: cnpj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ACAO (id_acao, ticker, id_empresa, tipo_acao, ativa)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PK: id_acao   UQ: ticker   FK: id_empresa -&gt; EMPRESA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INVESTIDOR (id_investidor, documento, tipo_investidor, nome_completo,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email, telefone, criado_em)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PK: id_investidor   UQ: documento   UQ: email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COTACAO (id_cotacao, id_acao, data_hora, valor)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PK: id_cotacao   UQ: (id_acao, data_hora)   FK: id_acao -&gt; ACAO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NEGOCIACAO (id_negociacao, id_investidor, id_acao, data_hora, tipo_operacao,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quantidade, valor_unitario, valor_total)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PK: id_negociacao   FK: id_investidor -&gt; INVESTIDOR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FK: id_acao -&gt; ACAO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CARTEIRA (id_investidor, id_acao, quantidade, preco_medio, atualizado_em)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PK: (id_investidor, id_acao)   FK: id_investidor -&gt; INVESTIDOR</w:t>
      </w:r>
    </w:p>
    <w:p>
      <w:pPr>
        <w:keepNext w:val="0"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FK: id_acao -&gt; ACAO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Mapeamento do modelo conceitual para o lógico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4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Regras de mapeamento aplicadas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48"/>
        <w:gridCol w:w="3628"/>
        <w:gridCol w:w="2494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Elemento conceitual</w:t>
            </w:r>
          </w:p>
        </w:tc>
        <w:tc>
          <w:tcPr>
            <w:tcW w:type="dxa" w:w="362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Resultado lógico</w:t>
            </w:r>
          </w:p>
        </w:tc>
        <w:tc>
          <w:tcPr>
            <w:tcW w:type="dxa" w:w="2494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Entidades EMPRESA, AÇÃO, INVESTIDOR, NEGOCIAÇÃO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Uma tabela cada, com chave substituta id_*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Entidade → tabela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emite (1:N)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 estrangeira acao.id_empresa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1:N → FK no lado N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COTAÇÃO (fraca) + possui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Tabela cotacao com FK id_acao e UNIQUE (id_acao, data_hora)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Entidade fraca herda a chave do dono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realiza e refere-se a (1:N)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FKs negociacao.id_investidor e negociacao.id_acao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1:N → FK no lado N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mantém (N:N com atributos)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Tabela carteira, PK composta (id_investidor, id_acao) e atributos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N:N → tabela associativa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Atributo derivado valor_total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Coluna gerada quantidade × valor_unitario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Derivado → calculado no SGBD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Dicionário de dados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Os Quadros 5 a 10 detalham as colunas, os tipos e as restrições de cada tabela do esquema.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5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Tabela EMPRESA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1"/>
        <w:gridCol w:w="2268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id_empresa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 identity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 primária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cnpj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único; 14 dígitos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setor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valor_mercado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numeric(18,2)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≥ 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padrão now()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6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Tabela 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1"/>
        <w:gridCol w:w="2268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 identity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 primária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ticker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único; 4 letras e 1–2 dígitos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id_empresa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FK → empresa (RESTRICT)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tipo_acao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ON, PN ou UNIT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ativa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padrão verdadeiro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7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Tabela INVESTIDOR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1"/>
        <w:gridCol w:w="2268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id_investidor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 identity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 primária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documento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único; 11 dígitos (PF) ou 14 (PJ)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tipo_investidor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PF ou PJ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nome_completo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único; formato básico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10–11 dígitos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padrão now()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8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Tabela COTACAO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1"/>
        <w:gridCol w:w="2268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id_cotacao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 identity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 primária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FK → acao (RESTRICT)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data_hora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único com id_acao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valor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numeric(12,4)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&gt; 0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9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Tabela NEGOCIACAO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1"/>
        <w:gridCol w:w="2268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id_negociacao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 identity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 primária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id_investidor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FK → investidor (RESTRICT)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FK → acao (RESTRICT)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data_hora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padrão now()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tipo_operacao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COMPRA ou VENDA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quantidade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&gt; 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valor_unitario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numeric(12,4)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&gt; 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valor_total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numeric(18,2)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Coluna gerada: quantidade × valor_unitario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10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Tabela CARTEIRA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81"/>
        <w:gridCol w:w="2268"/>
        <w:gridCol w:w="4422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id_investidor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PK; FK → investidor (CASCADE)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id_acao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PK; FK → acao (RESTRICT)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quantidade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≥ 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preco_medio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numeric(12,4)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Não nulo; ≥ 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Instante da última negociação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Normalização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cadastrais e os fatos independentes foram organizados para evitar redundâncias: nome, setor e valor de mercado pertencem à empresa e não são repetidos em cada ação. Os atributos são atômicos (1FN), e os atributos da carteira dependem do par completo investidor e ação (2FN). Na base normalizada, os atributos não chave dependem da chave, sem dependências transitivas.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Há materializações deliberadas no modelo físico. O valor_total depende de quantidade e valor_unitario; por isso não se afirma que a tabela física NEGOCIACAO, incluindo esse derivado, esteja estritamente em 3FN. O SGBD gera seu valor automaticamente. CARTEIRA armazena o resumo recalculável do histórico e é mantida pelos gatilhos, sem aceitar edição direta. Essas decisões preservam a rastreabilidade das informações derivadas.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A participação de EMPRESA em emite e de AÇÃO em possui é opcional (0,n): o cadastro pode anteceder a primeira ação ou cotação. Toda ação exige uma empresa e toda cotação exige uma ação. Documento, nome, tipo, e-mail e telefone do investidor são obrigatórios. CPF/CNPJ têm apenas validação de comprimento e caracteres; os exemplos sintéticos não validam dígitos verificadores.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 MODELO FÍSICO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físico foi implementado em PostgreSQL 16 no arquivo 00_bolsa_completo.sql, anexo a este relatório, que reúne as instruções de definição (DDL), manipulação (DML) e consulta (DQL) de dados. Os padrões adotados estão resumidos no Quadro 11.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11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Padrões adotados no modelo físico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Aspecto</w:t>
            </w:r>
          </w:p>
        </w:tc>
        <w:tc>
          <w:tcPr>
            <w:tcW w:type="dxa" w:w="7257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Decisão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Nomenclatura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Identificadores em snake_case; prefixos pk_, fk_, uq_, ck_, ix_, trg_, fn_, vw_.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Chaves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Chave primária bigint IDENTITY; chaves naturais (CPF/CNPJ, ticker) como UNIQUE.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Tipos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 em vez de varchar(n); numeric para valores monetários; timestamptz para data e hora.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Integridade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Regras de negócio no banco: CHECK, UNIQUE, FKs com ação explícita e gatilhos.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Índices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Toda FK indexada; compostos (igualdade antes de intervalo); BRIN na série temporal.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Segurança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Instalação em esquema novo, sem exclusão de dados ou criação de papéis globais; testada sem superusuário.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Documentação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COMMENT ON em esquema, tabelas, colunas e funções.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5.1 Definição de dados (DDL)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esquema bolsa contém seis tabelas. As regras de negócio foram traduzidas em restrições: o CPF de pessoa física deve ter onze dígitos e o CNPJ de pessoa jurídica, catorze; o ticker segue o padrão de quatro letras e um ou dois dígitos; quantidades e preços são positivos; e cada ação tem no máximo uma cotação por instante. Um gatilho AFTER INSERT em negociacao atualiza a carteira, recalculando o preço médio nas compras e rejeitando vendas sem saldo (RN01); outro gatilho bloqueia UPDATE e DELETE e TRUNCATE em negociacao (RN02). A função fn_carteira_em reconstrói a posição de um investidor em qualquer instante passado e a valoriza pela última cotação conhecida até aquele momento (RF06). Quatro visões (vw_cotacao_atual, vw_posicao_valorizada, vw_extrato_negociacoes e vw_evolucao_carteira) simplificam as consultas de uso frequente. O trecho a seguir ilustra a definição da tabela negociacao.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CREATE TABLE bolsa.negociacao (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id_negociacao   bigint        GENERATED ALWAYS AS IDENTITY,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id_investidor   bigint        NOT NULL,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id_acao         bigint        NOT NULL,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data_hora       timestamptz   NOT NULL DEFAULT now(),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tipo_operacao   text          NOT NULL,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quantidade      integer       NOT NULL,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valor_unitario  numeric(12,4) NOT NULL,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valor_total     numeric(18,2)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GENERATED ALWAYS AS (quantidade * valor_unitario) STORED,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CONSTRAINT pk_negociacao            PRIMARY KEY (id_negociacao),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CONSTRAINT fk_negociacao_investidor FOREIGN KEY (id_investidor)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REFERENCES bolsa.investidor (id_investidor)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ON UPDATE CASCADE ON DELETE RESTRICT,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CONSTRAINT fk_negociacao_acao       FOREIGN KEY (id_acao)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REFERENCES bolsa.acao (id_acao)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ON UPDATE CASCADE ON DELETE RESTRICT,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CONSTRAINT ck_negociacao_tipo       CHECK (tipo_operacao IN ('COMPRA','VENDA')),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CONSTRAINT ck_negociacao_quantidade CHECK (quantidade &gt; 0),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CONSTRAINT ck_negociacao_valor CHECK (valor_unitario &gt; 0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                      AND valor_unitario &lt;&gt; 'NaN'::numeric),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CONSTRAINT ck_negociacao_data CHECK (isfinite(data_hora))</w:t>
      </w:r>
    </w:p>
    <w:p>
      <w:pPr>
        <w:keepNext w:val="0"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);</w:t>
      </w:r>
    </w:p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5.2 Manipulação de dados (DML)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A carga de exemplo, com dados fictícios, contém seis investidores (quatro pessoas físicas e duas jurídicas), sete empresas, oito ações, seiscentas cotações intradiárias geradas com generate_series para cinco dias úteis simulados e dezenove negociações inseridas em ordem cronológica, de modo que o gatilho constrói a carteira. O período vai de 31/08 a 04/09/2026; há mais oito cotações em 08/09 e uma exclusão demonstrativa, restando 607 cotações. Nomes e documentos são sintéticos; os preços não representam o mercado real. O bloco inclui ainda instruções UPDATE e DELETE e quatro blocos anônimos que demonstram as regras de integridade, capturando o erro esperado sem interromper o script.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5.3 Consultas (DQL)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Foram elaboradas dezesseis consultas que cobrem os requisitos de análise do enunciado (Quadro 12).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12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Consultas analíticas do modelo físico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4"/>
        <w:gridCol w:w="4309"/>
        <w:gridCol w:w="3969"/>
      </w:tblGrid>
      <w:tr>
        <w:trPr>
          <w:tblHeader w:val="true"/>
          <w:cantSplit/>
        </w:trPr>
        <w:tc>
          <w:tcPr>
            <w:tcW w:type="dxa" w:w="794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Nº</w:t>
            </w:r>
          </w:p>
        </w:tc>
        <w:tc>
          <w:tcPr>
            <w:tcW w:type="dxa" w:w="4309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Consulta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Recursos de SQL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Q01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Carteira valorizada a mercado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Visão; DISTINCT ON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Q02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Patrimônio total por investidor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LEFT JOIN; agregação por identificador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Q03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Extrato de negociações por CPF/CNPJ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Busca pela chave natural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Q04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Volume por ação, compras e vendas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Agregação com FILTER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Q05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Série diária OHLC a partir do intradiário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FIRST_VALUE em janela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Q06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Variação entre cotações e média móvel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LAG; AVG com ROWS BETWEEN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Q07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Máxima e mínima com instante de ocorrência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ARRAY_AGG ordenado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Q08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Carteira em data passada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Função fn_carteira_em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Q09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Evolução diária do patrimônio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generate_series; LATERAL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Q10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Resultado realizado nas vendas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CTE recursiva; custo médio móvel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Q11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Ranking de investidores por volume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RANK()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Q12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Exposição da corretora por setor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Janela sobre agregado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Q13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Ações listadas sem negociação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NOT EXISTS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Q14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Comparativo pessoa física e jurídica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LEFT JOIN; agregações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Q15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Conferência carteira × negociações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FULL OUTER JOIN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Q16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Plano de execução de consulta temporal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EXPLAIN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 VALIDAÇÃO E RESULTADOS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script completo foi executado em PostgreSQL 16.15, com a opção ON_ERROR_STOP ativada, em um banco temporário isolado, com usuário sem superprivilégios. As instruções concluíram sem erros inesperados. Os quatro blocos de demonstração das regras de integridade produziram o resultado esperado: a venda acima do saldo foi rejeitada pelo gatilho; a exclusão de uma negociação foi bloqueada; um documento com tamanho de CNPJ cadastrado como pessoa física violou a restrição de verificação; e a exclusão de uma empresa com ações foi impedida pela chave estrangeira. O script scripts/validar.sh inicia uma instância PostgreSQL exclusiva, sem rede TCP, e a encerra ao concluir; os registros ficam em tmp/validacao/.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As 42 verificações de regressão cobriram custo médio após recompra, zeragem da posição, recusa de operações retroativas, campos obrigatórios, unicidade, proteção do histórico, carteira sem cotação e ausência de uso de preços futuros na análise retrospectiva. Duas sessões concorrentes confirmaram que a mesma quantidade não pode ser vendida duas vezes. Reexecutar o SQL em um esquema existente falhou como previsto, preservando a carga anterior.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Quadro 13 resume os principais resultados numéricos das consultas sobre a carga de exemplo.</w:t>
      </w:r>
    </w:p>
    <w:p>
      <w:pPr>
        <w:keepNext/>
        <w:spacing w:before="24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 xml:space="preserve">Quadro 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begin" w:dirty="true"/>
      </w:r>
      <w:r>
        <w:rPr>
          <w:rFonts w:ascii="Times New Roman" w:hAnsi="Times New Roman" w:eastAsia="Times New Roman"/>
          <w:b/>
          <w:color w:val="000000"/>
          <w:sz w:val="20"/>
        </w:rPr>
        <w:instrText xml:space="preserve"> SEQ Quadro \* ARABIC </w:instrTex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separate"/>
      </w:r>
      <w:r>
        <w:rPr>
          <w:rFonts w:ascii="Times New Roman" w:hAnsi="Times New Roman" w:eastAsia="Times New Roman"/>
          <w:b/>
          <w:color w:val="000000"/>
          <w:sz w:val="20"/>
        </w:rPr>
        <w:t>13</w:t>
      </w:r>
      <w:r>
        <w:rPr>
          <w:rFonts w:ascii="Times New Roman" w:hAnsi="Times New Roman" w:eastAsia="Times New Roman"/>
          <w:b/>
          <w:color w:val="000000"/>
          <w:sz w:val="20"/>
        </w:rPr>
        <w:fldChar w:fldCharType="end"/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– Resultados selecionados das consultas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insideH w:val="single" w:sz="6" w:space="0" w:color="D9D9D9"/>
          <w:left w:val="single" w:sz="6" w:space="0" w:color="D9D9D9"/>
          <w:right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61"/>
        <w:gridCol w:w="7710"/>
      </w:tblGrid>
      <w:tr>
        <w:trPr>
          <w:tblHeader w:val="true"/>
          <w:cantSplit/>
        </w:trPr>
        <w:tc>
          <w:tcPr>
            <w:tcW w:type="dxa" w:w="1361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Consulta</w:t>
            </w:r>
          </w:p>
        </w:tc>
        <w:tc>
          <w:tcPr>
            <w:tcW w:type="dxa" w:w="7710"/>
            <w:vAlign w:val="center"/>
            <w:shd w:fill="EDEDED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Q01/Q02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Nove posições em carteira; maior patrimônio em ações: R$ 329.900,00 (Investidor PJ 02).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Q04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Ação de maior volume negociado: PETR3, R$ 248.150,00.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Q05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Cinco pregões consolidados em abertura, máxima, mínima e fechamento para PETR4.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Q08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Carteira de Investidor PF 01 em 02/09/2026 às 17h: 300 PETR4 e 100 VALE3, R$ 17.172,60.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Q10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Seis vendas: cinco com lucro e uma com prejuízo de R$ 15,00. A venda após recompra parcial resulta em R$ 313,34; após zeragem e recompra, R$ 100,00.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Q13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Uma ação listada sem negociação (ABEV3), confirmando o anti-join.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Q15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Zero divergências entre a carteira mantida pelo gatilho e o saldo recalculado.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Q16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Plano de execução com Index Scan sobre o índice da restrição UNIQUE (id_acao, data_hora).</w:t>
            </w:r>
          </w:p>
        </w:tc>
      </w:tr>
    </w:tbl>
    <w:p>
      <w:pPr>
        <w:spacing w:before="120" w:after="360" w:line="240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Fonte: artefatos do projeto revisados para esta entrega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 CONSIDERAÇÕES FINAIS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cumpriu os objetivos propostos: o domínio da corretora foi representado em um modelo conceitual coerente com o enunciado, traduzido para um esquema relacional normalizado e implementado em um script executável, cujas regras de negócio residem no próprio banco de dados. As decisões de maior impacto foram tratar a negociação como entidade histórica e a carteira como relacionamento derivado, mantido por gatilho, o que permitiu conciliar o registro imutável das operações com a consulta imediata da posição atual.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4"/>
        </w:rPr>
        <w:t>O case usa preço médio móvel arredondado a quatro casas a cada compra, sem taxas, tributos ou eventos societários. Uma posição sem cotação mantém valor desconhecido (NULL). A inserção retroativa não é suportada; requereria reprocessar todo o histórico da posição. Como evolução, o modelo pode receber o particionamento da tabela de cotações por período, adequado ao crescimento contínuo de séries temporais, e a inclusão de eventos societários (desdobramentos e grupamentos) que afetam quantidades e preços médios.</w:t>
      </w:r>
    </w:p>
    <w:p>
      <w:pPr>
        <w:pageBreakBefore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REFERÊNCIAS</w:t>
      </w:r>
    </w:p>
    <w:p>
      <w:pPr>
        <w:spacing w:before="0" w:after="24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MATERIAL DA DISCIPLINA. </w:t>
      </w:r>
      <w:r>
        <w:rPr>
          <w:rFonts w:ascii="Times New Roman" w:hAnsi="Times New Roman" w:eastAsia="Times New Roman"/>
          <w:b/>
          <w:color w:val="000000"/>
          <w:sz w:val="24"/>
        </w:rPr>
        <w:t>TDP Atividade Avaliativa</w:t>
      </w:r>
      <w:r>
        <w:rPr>
          <w:rFonts w:ascii="Times New Roman" w:hAnsi="Times New Roman" w:eastAsia="Times New Roman"/>
          <w:color w:val="000000"/>
          <w:sz w:val="24"/>
        </w:rPr>
        <w:t>. Case Negociações na Bolsa de Valores. PDF fornecido para esta revisão, páginas 2 e 3. O enunciado informa entrega até 18/10, sem indicar o ano.</w:t>
      </w:r>
    </w:p>
    <w:p>
      <w:pPr>
        <w:spacing w:before="0" w:after="24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BRMODELO. </w:t>
      </w:r>
      <w:r>
        <w:rPr>
          <w:rFonts w:ascii="Times New Roman" w:hAnsi="Times New Roman" w:eastAsia="Times New Roman"/>
          <w:b/>
          <w:color w:val="000000"/>
          <w:sz w:val="24"/>
        </w:rPr>
        <w:t>Versão 3.31</w:t>
      </w:r>
      <w:r>
        <w:rPr>
          <w:rFonts w:ascii="Times New Roman" w:hAnsi="Times New Roman" w:eastAsia="Times New Roman"/>
          <w:color w:val="000000"/>
          <w:sz w:val="24"/>
        </w:rPr>
        <w:t>. 2020. Disponível em: https://github.com/chcandido/brModelo/releases/tag/3.31. Acesso em: 7 out. 2026.</w:t>
      </w:r>
    </w:p>
    <w:p>
      <w:pPr>
        <w:spacing w:before="0" w:after="24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ELMASRI, Ramez; NAVATHE, Shamkant B. </w:t>
      </w:r>
      <w:r>
        <w:rPr>
          <w:rFonts w:ascii="Times New Roman" w:hAnsi="Times New Roman" w:eastAsia="Times New Roman"/>
          <w:b/>
          <w:color w:val="000000"/>
          <w:sz w:val="24"/>
        </w:rPr>
        <w:t>Sistemas de banco de dados</w:t>
      </w:r>
      <w:r>
        <w:rPr>
          <w:rFonts w:ascii="Times New Roman" w:hAnsi="Times New Roman" w:eastAsia="Times New Roman"/>
          <w:color w:val="000000"/>
          <w:sz w:val="24"/>
        </w:rPr>
        <w:t>. 7. ed. São Paulo: Pearson, 2018. Referência bibliográfica indicada no enunciado.</w:t>
      </w:r>
    </w:p>
    <w:p>
      <w:pPr>
        <w:spacing w:before="0" w:after="240" w:line="24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POSTGRESQL GLOBAL DEVELOPMENT GROUP. </w:t>
      </w:r>
      <w:r>
        <w:rPr>
          <w:rFonts w:ascii="Times New Roman" w:hAnsi="Times New Roman" w:eastAsia="Times New Roman"/>
          <w:b/>
          <w:color w:val="000000"/>
          <w:sz w:val="24"/>
        </w:rPr>
        <w:t>PostgreSQL 16 documentation</w:t>
      </w:r>
      <w:r>
        <w:rPr>
          <w:rFonts w:ascii="Times New Roman" w:hAnsi="Times New Roman" w:eastAsia="Times New Roman"/>
          <w:color w:val="000000"/>
          <w:sz w:val="24"/>
        </w:rPr>
        <w:t>. Consultas recursivas e funções de gatilho. Disponível em: https://www.postgresql.org/docs/16/. Acesso em: 7 out. 2026.</w:t>
      </w:r>
    </w:p>
    <w:p>
      <w:pPr>
        <w:pageBreakBefore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APÊNDICE A – SCRIPT SQL DO MODELO FÍSICO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00_bolsa_completo.sql, entregue junto a este relatório, contém o modelo físico completo (DDL, DML e DQL) e pode ser executado com o comando a seguir.</w:t>
      </w:r>
    </w:p>
    <w:p>
      <w:pPr>
        <w:keepNext w:val="0"/>
        <w:spacing w:before="0" w:after="0" w:line="240" w:lineRule="auto"/>
        <w:ind w:firstLine="0" w:left="0"/>
        <w:jc w:val="left"/>
      </w:pPr>
      <w:r>
        <w:rPr>
          <w:rFonts w:ascii="Courier New" w:hAnsi="Courier New" w:eastAsia="Courier New"/>
          <w:color w:val="000000"/>
          <w:sz w:val="16"/>
        </w:rPr>
        <w:t>psql -v ON_ERROR_STOP=1 -d bolsa_valores -f 00_bolsa_completo.sql</w:t>
      </w:r>
    </w:p>
    <w:p/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A base desta revisão é o projeto clonado de https://github.com/alexander-stack1/TDP_Avaliacao_banco_de_dados. Os arquivos revisados estão no pacote local de entrega; o repositório original pode divergir desta versão.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4"/>
        </w:rPr>
        <w:t>Entregar o Word, o arquivo SQL, o modelo_conceitual.brM3 e seu PNG, além do arquivo textual modelo_logico.md e seu PNG. O PDF deste relatório é complementar. Preencher instituição, curso, cidade e integrantes antes do envio ao Classroom.</w:t>
      </w:r>
    </w:p>
    <w:sectPr w:rsidR="00FC693F" w:rsidRPr="0006063C" w:rsidSect="00034616">
      <w:headerReference w:type="default" r:id="rId17"/>
      <w:pgSz w:w="11906" w:h="16838"/>
      <w:pgMar w:top="1701" w:right="1134" w:bottom="1134" w:left="1701" w:header="1134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/>
        <w:color w:val="000000"/>
        <w:sz w:val="20"/>
      </w:rPr>
      <w:fldChar w:fldCharType="begin" w:dirty="true"/>
    </w:r>
    <w:r>
      <w:rPr>
        <w:rFonts w:ascii="Times New Roman" w:hAnsi="Times New Roman" w:eastAsia="Times New Roman"/>
        <w:color w:val="000000"/>
        <w:sz w:val="20"/>
      </w:rPr>
      <w:instrText xml:space="preserve"> PAGE </w:instrText>
    </w:r>
    <w:r>
      <w:rPr>
        <w:rFonts w:ascii="Times New Roman" w:hAnsi="Times New Roman" w:eastAsia="Times New Roman"/>
        <w:color w:val="000000"/>
        <w:sz w:val="20"/>
      </w:rPr>
      <w:fldChar w:fldCharType="separate"/>
    </w:r>
    <w:r>
      <w:rPr>
        <w:rFonts w:ascii="Times New Roman" w:hAnsi="Times New Roman" w:eastAsia="Times New Roman"/>
        <w:color w:val="000000"/>
        <w:sz w:val="20"/>
      </w:rPr>
      <w:t>1</w:t>
    </w:r>
    <w:r>
      <w:rPr>
        <w:rFonts w:ascii="Times New Roman" w:hAnsi="Times New Roman" w:eastAsia="Times New Roman"/>
        <w:color w:val="000000"/>
        <w:sz w:val="20"/>
      </w:rPr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/>
        <w:color w:val="000000"/>
        <w:sz w:val="20"/>
      </w:rPr>
      <w:fldChar w:fldCharType="begin" w:dirty="true"/>
    </w:r>
    <w:r>
      <w:rPr>
        <w:rFonts w:ascii="Times New Roman" w:hAnsi="Times New Roman" w:eastAsia="Times New Roman"/>
        <w:color w:val="000000"/>
        <w:sz w:val="20"/>
      </w:rPr>
      <w:instrText xml:space="preserve"> PAGE </w:instrText>
    </w:r>
    <w:r>
      <w:rPr>
        <w:rFonts w:ascii="Times New Roman" w:hAnsi="Times New Roman" w:eastAsia="Times New Roman"/>
        <w:color w:val="000000"/>
        <w:sz w:val="20"/>
      </w:rPr>
      <w:fldChar w:fldCharType="separate"/>
    </w:r>
    <w:r>
      <w:rPr>
        <w:rFonts w:ascii="Times New Roman" w:hAnsi="Times New Roman" w:eastAsia="Times New Roman"/>
        <w:color w:val="000000"/>
        <w:sz w:val="20"/>
      </w:rPr>
      <w:t>1</w:t>
    </w:r>
    <w:r>
      <w:rPr>
        <w:rFonts w:ascii="Times New Roman" w:hAnsi="Times New Roman" w:eastAsia="Times New Roman"/>
        <w:color w:val="000000"/>
        <w:sz w:val="20"/>
      </w:rPr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/>
        <w:color w:val="000000"/>
        <w:sz w:val="20"/>
      </w:rPr>
      <w:fldChar w:fldCharType="begin" w:dirty="true"/>
    </w:r>
    <w:r>
      <w:rPr>
        <w:rFonts w:ascii="Times New Roman" w:hAnsi="Times New Roman" w:eastAsia="Times New Roman"/>
        <w:color w:val="000000"/>
        <w:sz w:val="20"/>
      </w:rPr>
      <w:instrText xml:space="preserve"> PAGE </w:instrText>
    </w:r>
    <w:r>
      <w:rPr>
        <w:rFonts w:ascii="Times New Roman" w:hAnsi="Times New Roman" w:eastAsia="Times New Roman"/>
        <w:color w:val="000000"/>
        <w:sz w:val="20"/>
      </w:rPr>
      <w:fldChar w:fldCharType="separate"/>
    </w:r>
    <w:r>
      <w:rPr>
        <w:rFonts w:ascii="Times New Roman" w:hAnsi="Times New Roman" w:eastAsia="Times New Roman"/>
        <w:color w:val="000000"/>
        <w:sz w:val="20"/>
      </w:rPr>
      <w:t>1</w:t>
    </w:r>
    <w:r>
      <w:rPr>
        <w:rFonts w:ascii="Times New Roman" w:hAnsi="Times New Roman" w:eastAsia="Times New Roman"/>
        <w:color w:val="000000"/>
        <w:sz w:val="20"/>
      </w:rPr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/>
        <w:color w:val="000000"/>
        <w:sz w:val="20"/>
      </w:rPr>
      <w:fldChar w:fldCharType="begin" w:dirty="true"/>
    </w:r>
    <w:r>
      <w:rPr>
        <w:rFonts w:ascii="Times New Roman" w:hAnsi="Times New Roman" w:eastAsia="Times New Roman"/>
        <w:color w:val="000000"/>
        <w:sz w:val="20"/>
      </w:rPr>
      <w:instrText xml:space="preserve"> PAGE </w:instrText>
    </w:r>
    <w:r>
      <w:rPr>
        <w:rFonts w:ascii="Times New Roman" w:hAnsi="Times New Roman" w:eastAsia="Times New Roman"/>
        <w:color w:val="000000"/>
        <w:sz w:val="20"/>
      </w:rPr>
      <w:fldChar w:fldCharType="separate"/>
    </w:r>
    <w:r>
      <w:rPr>
        <w:rFonts w:ascii="Times New Roman" w:hAnsi="Times New Roman" w:eastAsia="Times New Roman"/>
        <w:color w:val="000000"/>
        <w:sz w:val="20"/>
      </w:rPr>
      <w:t>1</w:t>
    </w:r>
    <w:r>
      <w:rPr>
        <w:rFonts w:ascii="Times New Roman" w:hAnsi="Times New Roman" w:eastAsia="Times New Roman"/>
        <w:color w:val="000000"/>
        <w:sz w:val="20"/>
      </w:rPr>
      <w:fldChar w:fldCharType="end"/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/>
        <w:color w:val="000000"/>
        <w:sz w:val="20"/>
      </w:rPr>
      <w:fldChar w:fldCharType="begin" w:dirty="true"/>
    </w:r>
    <w:r>
      <w:rPr>
        <w:rFonts w:ascii="Times New Roman" w:hAnsi="Times New Roman" w:eastAsia="Times New Roman"/>
        <w:color w:val="000000"/>
        <w:sz w:val="20"/>
      </w:rPr>
      <w:instrText xml:space="preserve"> PAGE </w:instrText>
    </w:r>
    <w:r>
      <w:rPr>
        <w:rFonts w:ascii="Times New Roman" w:hAnsi="Times New Roman" w:eastAsia="Times New Roman"/>
        <w:color w:val="000000"/>
        <w:sz w:val="20"/>
      </w:rPr>
      <w:fldChar w:fldCharType="separate"/>
    </w:r>
    <w:r>
      <w:rPr>
        <w:rFonts w:ascii="Times New Roman" w:hAnsi="Times New Roman" w:eastAsia="Times New Roman"/>
        <w:color w:val="000000"/>
        <w:sz w:val="20"/>
      </w:rPr>
      <w:t>1</w:t>
    </w:r>
    <w:r>
      <w:rPr>
        <w:rFonts w:ascii="Times New Roman" w:hAnsi="Times New Roman" w:eastAsia="Times New Roman"/>
        <w:color w:val="000000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image" Target="media/image1.png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image" Target="media/image2.png"/><Relationship Id="rId17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