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AFB1F1" w14:textId="77777777" w:rsidR="007D34E5" w:rsidRPr="008E615A" w:rsidRDefault="007D34E5">
      <w:pPr>
        <w:spacing w:line="360" w:lineRule="auto"/>
        <w:ind w:left="357" w:firstLine="357"/>
        <w:jc w:val="center"/>
        <w:rPr>
          <w:lang w:val="en-US"/>
        </w:rPr>
      </w:pPr>
    </w:p>
    <w:p w14:paraId="6B4A2285" w14:textId="77777777" w:rsidR="007D34E5" w:rsidRDefault="007D34E5">
      <w:pPr>
        <w:spacing w:line="360" w:lineRule="auto"/>
        <w:ind w:left="357" w:firstLine="357"/>
        <w:jc w:val="center"/>
      </w:pPr>
    </w:p>
    <w:p w14:paraId="161B3C75" w14:textId="77777777" w:rsidR="007D34E5" w:rsidRDefault="007D34E5">
      <w:pPr>
        <w:spacing w:line="360" w:lineRule="auto"/>
        <w:ind w:left="357" w:firstLine="357"/>
        <w:jc w:val="center"/>
      </w:pPr>
    </w:p>
    <w:p w14:paraId="2DEB1CF6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7A1C7D6B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№__</w:t>
      </w:r>
    </w:p>
    <w:p w14:paraId="1CA787D5" w14:textId="77777777" w:rsidR="007D34E5" w:rsidRDefault="007D34E5">
      <w:pPr>
        <w:spacing w:line="360" w:lineRule="auto"/>
        <w:ind w:left="360" w:firstLine="360"/>
        <w:jc w:val="center"/>
        <w:rPr>
          <w:sz w:val="28"/>
          <w:szCs w:val="28"/>
        </w:rPr>
      </w:pPr>
    </w:p>
    <w:p w14:paraId="6212BA1D" w14:textId="5B6376F8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0F4FE5B8" w:rsidR="007D34E5" w:rsidRDefault="007D34E5" w:rsidP="00434340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—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 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434340">
        <w:rPr>
          <w:sz w:val="28"/>
          <w:szCs w:val="28"/>
        </w:rPr>
        <w:t xml:space="preserve"> 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32A15D9E" w:rsidR="007D34E5" w:rsidRDefault="00982BB5">
      <w:pPr>
        <w:autoSpaceDE w:val="0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Казанский государственный университет </w:t>
      </w:r>
      <w:r>
        <w:rPr>
          <w:sz w:val="28"/>
          <w:szCs w:val="28"/>
        </w:rPr>
        <w:t>им. В.И. Ульянова-Ленина.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73D9732F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 xml:space="preserve">в </w:t>
      </w:r>
      <w:r w:rsidR="005956DD">
        <w:rPr>
          <w:sz w:val="28"/>
          <w:szCs w:val="28"/>
        </w:rPr>
        <w:t>И</w:t>
      </w:r>
      <w:r w:rsidR="00F650AB" w:rsidRPr="00F650AB">
        <w:rPr>
          <w:sz w:val="28"/>
          <w:szCs w:val="28"/>
        </w:rPr>
        <w:t xml:space="preserve">нституте математики и механики (ИММ) им. Н.И. 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университет».</w:t>
      </w:r>
    </w:p>
    <w:p w14:paraId="49E8BF73" w14:textId="3CF170D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 xml:space="preserve">заслуженный деятель науки РТ,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зав.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lastRenderedPageBreak/>
        <w:t>Института математики и м</w:t>
      </w:r>
      <w:r w:rsidR="00F650AB">
        <w:rPr>
          <w:rFonts w:ascii="Times New Roman" w:hAnsi="Times New Roman" w:cs="Times New Roman"/>
          <w:sz w:val="28"/>
          <w:szCs w:val="28"/>
        </w:rPr>
        <w:t>еханики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Казанского (Приволжского) федерального университета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EE82907" w:rsidR="007D34E5" w:rsidRPr="00F650AB" w:rsidRDefault="00F650AB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Райхлин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="00B45FE5"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98CB3DC" w:rsidR="007D34E5" w:rsidRDefault="00F650AB">
      <w:pPr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МИСиС</w:t>
      </w:r>
      <w:r>
        <w:rPr>
          <w:sz w:val="28"/>
          <w:szCs w:val="28"/>
        </w:rPr>
        <w:t>.</w:t>
      </w:r>
    </w:p>
    <w:p w14:paraId="3D7FA7AC" w14:textId="77777777" w:rsidR="007D34E5" w:rsidRDefault="007D34E5">
      <w:pPr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36C58DC5" w:rsidR="007D34E5" w:rsidRPr="003E7DA5" w:rsidRDefault="007D34E5" w:rsidP="003E7DA5">
      <w:pPr>
        <w:spacing w:line="360" w:lineRule="auto"/>
        <w:ind w:left="35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Ведущая организация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д</w:t>
      </w:r>
      <w:r w:rsidR="00D030F1">
        <w:rPr>
          <w:bCs/>
          <w:sz w:val="28"/>
          <w:szCs w:val="28"/>
        </w:rPr>
        <w:t>.ф</w:t>
      </w:r>
      <w:r>
        <w:rPr>
          <w:bCs/>
          <w:sz w:val="28"/>
          <w:szCs w:val="28"/>
        </w:rPr>
        <w:t>.</w:t>
      </w:r>
      <w:r w:rsidR="00D030F1">
        <w:rPr>
          <w:bCs/>
          <w:sz w:val="28"/>
          <w:szCs w:val="28"/>
        </w:rPr>
        <w:t>-м.</w:t>
      </w:r>
      <w:r>
        <w:rPr>
          <w:bCs/>
          <w:sz w:val="28"/>
          <w:szCs w:val="28"/>
        </w:rPr>
        <w:t xml:space="preserve">н., заведующим </w:t>
      </w:r>
      <w:r w:rsidR="003E7DA5">
        <w:rPr>
          <w:bCs/>
          <w:sz w:val="28"/>
          <w:szCs w:val="28"/>
        </w:rPr>
        <w:t>отделом Систем Математического Обеспечения Вычислительного Центра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E7DA5">
        <w:rPr>
          <w:bCs/>
          <w:color w:val="000000"/>
          <w:sz w:val="28"/>
          <w:szCs w:val="28"/>
        </w:rPr>
        <w:t>Тощева</w:t>
      </w:r>
      <w:r w:rsidR="002F133C">
        <w:rPr>
          <w:bCs/>
          <w:color w:val="000000"/>
          <w:sz w:val="28"/>
          <w:szCs w:val="28"/>
        </w:rPr>
        <w:t xml:space="preserve"> </w:t>
      </w:r>
      <w:r w:rsidR="003E7DA5">
        <w:rPr>
          <w:bCs/>
          <w:color w:val="000000"/>
          <w:sz w:val="28"/>
          <w:szCs w:val="28"/>
        </w:rPr>
        <w:t>А. С</w:t>
      </w:r>
      <w:r>
        <w:rPr>
          <w:bCs/>
          <w:color w:val="000000"/>
          <w:sz w:val="28"/>
          <w:szCs w:val="28"/>
        </w:rPr>
        <w:t>. представляет собой законченное научное исследование.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</w:t>
      </w:r>
      <w:r w:rsidR="003F1A18">
        <w:rPr>
          <w:bCs/>
          <w:color w:val="000000"/>
          <w:sz w:val="28"/>
          <w:szCs w:val="28"/>
        </w:rPr>
        <w:t>базы</w:t>
      </w:r>
      <w:r w:rsidR="0083620F">
        <w:rPr>
          <w:bCs/>
          <w:color w:val="000000"/>
          <w:sz w:val="28"/>
          <w:szCs w:val="28"/>
        </w:rPr>
        <w:t xml:space="preserve">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77777777" w:rsidR="007D34E5" w:rsidRDefault="007D34E5">
      <w:pPr>
        <w:spacing w:line="360" w:lineRule="auto"/>
        <w:ind w:left="36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по теме диссертации: </w:t>
      </w:r>
    </w:p>
    <w:p w14:paraId="5A4EC864" w14:textId="2DBA2BB4" w:rsidR="00350E56" w:rsidRPr="00350E56" w:rsidRDefault="00350E56" w:rsidP="00B45FE5">
      <w:pPr>
        <w:widowControl w:val="0"/>
        <w:numPr>
          <w:ilvl w:val="0"/>
          <w:numId w:val="4"/>
        </w:numPr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</w:rPr>
      </w:pP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Pr="00350E56">
        <w:rPr>
          <w:i/>
          <w:sz w:val="28"/>
          <w:szCs w:val="28"/>
        </w:rPr>
        <w:t xml:space="preserve">̆ поддержки </w:t>
      </w:r>
      <w:r w:rsidR="00B45FE5">
        <w:rPr>
          <w:i/>
          <w:sz w:val="28"/>
          <w:szCs w:val="28"/>
        </w:rPr>
        <w:t>информационной</w:t>
      </w:r>
      <w:r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–– 2015. –– №. 4</w:t>
      </w:r>
      <w:r w:rsidRPr="00B45FE5">
        <w:rPr>
          <w:i/>
          <w:sz w:val="28"/>
          <w:szCs w:val="28"/>
        </w:rPr>
        <w:t>.2 (18)</w:t>
      </w:r>
      <w:r w:rsidRPr="00350E56">
        <w:rPr>
          <w:i/>
          <w:sz w:val="28"/>
          <w:szCs w:val="28"/>
        </w:rPr>
        <w:t xml:space="preserve">. –– С. 293 – 295. </w:t>
      </w:r>
      <w:r w:rsidRPr="00350E56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B6A8729" w14:textId="65566316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  <w:lang w:val="en-US"/>
        </w:rPr>
      </w:pPr>
      <w:r w:rsidRPr="00350E56">
        <w:rPr>
          <w:i/>
          <w:sz w:val="28"/>
          <w:szCs w:val="28"/>
          <w:lang w:val="en-US"/>
        </w:rPr>
        <w:t xml:space="preserve">Toshchev, A. Thinking lifecycle as an implementation of machine understanding in software maintenance automation domain [Text] / A. Toshchev, M. Talanov // Agent and Multi-Agent Systems: Technologies and Applications: 9th KES International </w:t>
      </w:r>
      <w:r w:rsidRPr="00350E56">
        <w:rPr>
          <w:i/>
          <w:sz w:val="28"/>
          <w:szCs w:val="28"/>
          <w:lang w:val="en-US"/>
        </w:rPr>
        <w:lastRenderedPageBreak/>
        <w:t xml:space="preserve">Conference, KES-AMSTA, 2015 Sorrento, Italy, June 2015, Proceedings (Smart Innovation, Systems and Technologies). — 2015. — Vol. 38. —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350E56">
        <w:rPr>
          <w:i/>
          <w:sz w:val="28"/>
          <w:szCs w:val="28"/>
          <w:lang w:val="en-US"/>
        </w:rPr>
        <w:t xml:space="preserve"> 8 </w:t>
      </w:r>
      <w:r w:rsidR="003F1A18">
        <w:rPr>
          <w:i/>
          <w:sz w:val="28"/>
          <w:szCs w:val="28"/>
        </w:rPr>
        <w:t>страниц</w:t>
      </w:r>
      <w:r w:rsidRPr="00350E56">
        <w:rPr>
          <w:i/>
          <w:sz w:val="28"/>
          <w:szCs w:val="28"/>
          <w:lang w:val="en-US"/>
        </w:rPr>
        <w:t>.</w:t>
      </w:r>
    </w:p>
    <w:p w14:paraId="25ADFE84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 С. Модель мышления и понимания в автоматической обработке запросов пользователя [Текст] / А.С. Тощев // Труды 16-й Всероссийской научной конференции “Электронные библиотеки: перспективные методы и технологии, электронные коллекции”. — 2014. — </w:t>
      </w:r>
      <w:r w:rsidRPr="00350E56">
        <w:rPr>
          <w:i/>
          <w:sz w:val="28"/>
          <w:szCs w:val="28"/>
          <w:lang w:val="en-US"/>
        </w:rPr>
        <w:t>P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78FD8515" w:rsidR="00350E56" w:rsidRPr="00054531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сетей [Текст] / А.С. Тощев, М.О. Таланов // Ученые записки Института социально-гуманитарных знаний. –– 2014. –– Вып.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 xml:space="preserve">. –– С. 288 – 292. Личный вклад 3 </w:t>
      </w:r>
      <w:r w:rsidR="001C4E33">
        <w:rPr>
          <w:i/>
          <w:sz w:val="28"/>
          <w:szCs w:val="28"/>
        </w:rPr>
        <w:t>страницы</w:t>
      </w:r>
    </w:p>
    <w:p w14:paraId="23D8EADB" w14:textId="4805E16C" w:rsidR="007D34E5" w:rsidRDefault="007D34E5">
      <w:pPr>
        <w:spacing w:line="360" w:lineRule="auto"/>
        <w:ind w:left="357" w:firstLine="3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официальных оппонентов </w:t>
      </w:r>
      <w:r w:rsidR="003F1A18">
        <w:rPr>
          <w:sz w:val="28"/>
          <w:szCs w:val="28"/>
        </w:rPr>
        <w:t>состоит в том</w:t>
      </w:r>
      <w:r>
        <w:rPr>
          <w:sz w:val="28"/>
          <w:szCs w:val="28"/>
        </w:rPr>
        <w:t>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21E6A4CB" w:rsidR="007D34E5" w:rsidRPr="006452AF" w:rsidRDefault="0038705B" w:rsidP="006452AF">
      <w:pPr>
        <w:spacing w:line="360" w:lineRule="auto"/>
        <w:ind w:left="360" w:firstLine="360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>, которая использует графовые базы данных в своей основе</w:t>
      </w:r>
      <w:r w:rsidR="007D34E5">
        <w:rPr>
          <w:sz w:val="28"/>
          <w:szCs w:val="28"/>
        </w:rPr>
        <w:t>;</w:t>
      </w:r>
    </w:p>
    <w:p w14:paraId="6FCD1508" w14:textId="507C4B16" w:rsidR="007D34E5" w:rsidRDefault="0038705B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</w:t>
      </w:r>
      <w:r w:rsidR="00B45FE5">
        <w:rPr>
          <w:b/>
          <w:sz w:val="28"/>
          <w:szCs w:val="28"/>
        </w:rPr>
        <w:t>ы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Марвина Мински и принципиально новый подход </w:t>
      </w:r>
      <w:r w:rsidR="00816289">
        <w:rPr>
          <w:sz w:val="28"/>
          <w:szCs w:val="28"/>
        </w:rPr>
        <w:t>к</w:t>
      </w:r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0849793D" w:rsidR="007D34E5" w:rsidRPr="00705EE2" w:rsidRDefault="00B45FE5" w:rsidP="00325BF9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создана</w:t>
      </w:r>
      <w:r w:rsidR="00705EE2">
        <w:rPr>
          <w:b/>
          <w:sz w:val="28"/>
          <w:szCs w:val="28"/>
        </w:rPr>
        <w:t xml:space="preserve">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</w:t>
      </w:r>
      <w:r>
        <w:rPr>
          <w:sz w:val="28"/>
          <w:szCs w:val="28"/>
        </w:rPr>
        <w:t>система по</w:t>
      </w:r>
      <w:r w:rsidR="00705EE2">
        <w:rPr>
          <w:sz w:val="28"/>
          <w:szCs w:val="28"/>
        </w:rPr>
        <w:t xml:space="preserve"> предложенн</w:t>
      </w:r>
      <w:r>
        <w:rPr>
          <w:sz w:val="28"/>
          <w:szCs w:val="28"/>
        </w:rPr>
        <w:t>ой модели, ее</w:t>
      </w:r>
      <w:r w:rsidR="00705EE2">
        <w:rPr>
          <w:sz w:val="28"/>
          <w:szCs w:val="28"/>
        </w:rPr>
        <w:t xml:space="preserve"> методов и алгоритмов, </w:t>
      </w:r>
      <w:r w:rsidR="0038705B">
        <w:rPr>
          <w:sz w:val="28"/>
          <w:szCs w:val="28"/>
        </w:rPr>
        <w:t xml:space="preserve">зарегистрированная в </w:t>
      </w:r>
      <w:r>
        <w:rPr>
          <w:sz w:val="28"/>
          <w:szCs w:val="28"/>
        </w:rPr>
        <w:t>Ф</w:t>
      </w:r>
      <w:r w:rsidR="0038705B">
        <w:rPr>
          <w:sz w:val="28"/>
          <w:szCs w:val="28"/>
        </w:rPr>
        <w:t xml:space="preserve">едеральной службе по интеллектуальной собственности </w:t>
      </w:r>
      <w:r>
        <w:rPr>
          <w:sz w:val="28"/>
          <w:szCs w:val="28"/>
        </w:rPr>
        <w:t>№</w:t>
      </w:r>
      <w:r w:rsidR="0038705B">
        <w:rPr>
          <w:sz w:val="28"/>
          <w:szCs w:val="28"/>
        </w:rPr>
        <w:t xml:space="preserve"> 2016618910</w:t>
      </w:r>
      <w:r w:rsidR="00D53E95">
        <w:rPr>
          <w:sz w:val="28"/>
          <w:szCs w:val="28"/>
        </w:rPr>
        <w:t>.</w:t>
      </w:r>
      <w:r w:rsidR="0038705B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Разработанная программная система</w:t>
      </w:r>
      <w:r w:rsidR="0038705B">
        <w:rPr>
          <w:sz w:val="28"/>
          <w:szCs w:val="28"/>
        </w:rPr>
        <w:t xml:space="preserve"> опубликован</w:t>
      </w:r>
      <w:r>
        <w:rPr>
          <w:sz w:val="28"/>
          <w:szCs w:val="28"/>
        </w:rPr>
        <w:t>а в интернете</w:t>
      </w:r>
      <w:r w:rsidR="0038705B">
        <w:rPr>
          <w:sz w:val="28"/>
          <w:szCs w:val="28"/>
        </w:rPr>
        <w:t xml:space="preserve"> как проект с открытым исходным кодом. </w:t>
      </w:r>
      <w:r>
        <w:rPr>
          <w:sz w:val="28"/>
          <w:szCs w:val="28"/>
        </w:rPr>
        <w:t>Диссертация</w:t>
      </w:r>
      <w:r w:rsidR="0038705B">
        <w:rPr>
          <w:sz w:val="28"/>
          <w:szCs w:val="28"/>
        </w:rPr>
        <w:t xml:space="preserve"> также имеет справку о внедрении.</w:t>
      </w:r>
    </w:p>
    <w:p w14:paraId="25A6B704" w14:textId="05BCC692" w:rsidR="007D34E5" w:rsidRDefault="00705EE2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</w:t>
      </w:r>
      <w:r w:rsidR="00B45FE5">
        <w:rPr>
          <w:sz w:val="28"/>
          <w:szCs w:val="28"/>
        </w:rPr>
        <w:t xml:space="preserve">программная </w:t>
      </w:r>
      <w:r w:rsidR="0038705B">
        <w:rPr>
          <w:sz w:val="28"/>
          <w:szCs w:val="28"/>
        </w:rPr>
        <w:t>система может использоваться для интеллектуального анализа информации и поиска решения по входному запросу</w:t>
      </w:r>
      <w:r w:rsidR="007D34E5">
        <w:rPr>
          <w:sz w:val="28"/>
          <w:szCs w:val="28"/>
        </w:rPr>
        <w:t xml:space="preserve">. </w:t>
      </w:r>
    </w:p>
    <w:p w14:paraId="07C7DA5D" w14:textId="327B0EB6" w:rsidR="007D34E5" w:rsidRPr="00823649" w:rsidRDefault="007D34E5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</w:t>
      </w:r>
      <w:r w:rsidR="00B45FE5">
        <w:rPr>
          <w:sz w:val="28"/>
          <w:szCs w:val="28"/>
        </w:rPr>
        <w:t>состоит в том</w:t>
      </w:r>
      <w:r>
        <w:rPr>
          <w:sz w:val="28"/>
          <w:szCs w:val="28"/>
        </w:rPr>
        <w:t>, что рассмотренные модели</w:t>
      </w:r>
      <w:r w:rsidR="00F616D3">
        <w:rPr>
          <w:sz w:val="28"/>
          <w:szCs w:val="28"/>
        </w:rPr>
        <w:t xml:space="preserve"> могут применяться в проектах по </w:t>
      </w:r>
      <w:r w:rsidR="0038705B">
        <w:rPr>
          <w:sz w:val="28"/>
          <w:szCs w:val="28"/>
        </w:rPr>
        <w:t>организации базы знаний и разрешению 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</w:rPr>
        <w:t xml:space="preserve">Следует подчеркнуть наличие внешних отзывов от зарубежных коллег, включая ведущего ученого в области искусственного интеллекта, сопредседателя конференции </w:t>
      </w:r>
      <w:r w:rsidR="00823649">
        <w:rPr>
          <w:sz w:val="28"/>
          <w:szCs w:val="28"/>
          <w:lang w:val="en-US"/>
        </w:rPr>
        <w:t>Artificial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Global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Intelligence</w:t>
      </w:r>
      <w:r w:rsidR="00823649" w:rsidRPr="00823649">
        <w:rPr>
          <w:sz w:val="28"/>
          <w:szCs w:val="28"/>
        </w:rPr>
        <w:t xml:space="preserve">, </w:t>
      </w:r>
      <w:r w:rsidR="00823649">
        <w:rPr>
          <w:sz w:val="28"/>
          <w:szCs w:val="28"/>
        </w:rPr>
        <w:t>профессора университета Темпл (США) Пея Вонга, который отметил весомый научный вклад работы в развитие моделей мышления.</w:t>
      </w:r>
    </w:p>
    <w:p w14:paraId="1910E752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выявила:</w:t>
      </w:r>
    </w:p>
    <w:p w14:paraId="3886FDD8" w14:textId="5AC8CFE2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</w:t>
      </w:r>
      <w:r w:rsidR="00B45FE5">
        <w:rPr>
          <w:sz w:val="28"/>
          <w:szCs w:val="28"/>
        </w:rPr>
        <w:t>теории</w:t>
      </w:r>
      <w:r w:rsidR="0038705B">
        <w:rPr>
          <w:sz w:val="28"/>
          <w:szCs w:val="28"/>
        </w:rPr>
        <w:t xml:space="preserve">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421D8D01" w:rsidR="0038705B" w:rsidRPr="0038705B" w:rsidRDefault="0038705B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Pr="0038705B">
        <w:rPr>
          <w:sz w:val="28"/>
          <w:szCs w:val="28"/>
        </w:rPr>
        <w:t>базиру</w:t>
      </w:r>
      <w:r w:rsidR="00B45FE5"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</w:t>
      </w:r>
      <w:r w:rsidR="00B45FE5">
        <w:rPr>
          <w:sz w:val="28"/>
          <w:szCs w:val="28"/>
        </w:rPr>
        <w:t>,</w:t>
      </w:r>
      <w:r w:rsidR="00F33383">
        <w:rPr>
          <w:sz w:val="28"/>
          <w:szCs w:val="28"/>
        </w:rPr>
        <w:t xml:space="preserve"> байесовской логики</w:t>
      </w:r>
      <w:r w:rsidRPr="0038705B">
        <w:rPr>
          <w:sz w:val="28"/>
          <w:szCs w:val="28"/>
        </w:rPr>
        <w:t>;</w:t>
      </w:r>
    </w:p>
    <w:p w14:paraId="0D5D947D" w14:textId="0BDAC933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базируется на результатах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</w:t>
      </w:r>
      <w:r w:rsidR="00B45FE5">
        <w:rPr>
          <w:bCs/>
          <w:sz w:val="28"/>
          <w:szCs w:val="28"/>
        </w:rPr>
        <w:t>, полученных ранее в Л</w:t>
      </w:r>
      <w:r w:rsidR="00F33383">
        <w:rPr>
          <w:bCs/>
          <w:sz w:val="28"/>
          <w:szCs w:val="28"/>
        </w:rPr>
        <w:t>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702D3D2A" w14:textId="77777777" w:rsidR="00054531" w:rsidRDefault="00054531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063235F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60683E90" w:rsidR="007D34E5" w:rsidRDefault="00E717AC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054531">
        <w:rPr>
          <w:rFonts w:ascii="Times New Roman" w:hAnsi="Times New Roman" w:cs="Times New Roman"/>
          <w:sz w:val="28"/>
          <w:szCs w:val="28"/>
        </w:rPr>
        <w:t>А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054531">
        <w:rPr>
          <w:rFonts w:ascii="Times New Roman" w:hAnsi="Times New Roman" w:cs="Times New Roman"/>
          <w:sz w:val="28"/>
          <w:szCs w:val="28"/>
        </w:rPr>
        <w:t xml:space="preserve"> С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7D34E5">
        <w:rPr>
          <w:rFonts w:ascii="Times New Roman" w:hAnsi="Times New Roman" w:cs="Times New Roman"/>
          <w:sz w:val="28"/>
          <w:szCs w:val="28"/>
        </w:rPr>
        <w:t xml:space="preserve"> 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35479C">
        <w:rPr>
          <w:rFonts w:ascii="Times New Roman" w:hAnsi="Times New Roman" w:cs="Times New Roman"/>
          <w:sz w:val="28"/>
          <w:szCs w:val="28"/>
        </w:rPr>
        <w:t xml:space="preserve">ических наук (протокол №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3344D8F0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B45FE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262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докторов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B45FE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lastRenderedPageBreak/>
        <w:t xml:space="preserve">за присуждение учёной степени </w:t>
      </w:r>
      <w:r w:rsidR="00B45FE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6137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6137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953C7F" w14:textId="77777777" w:rsidR="00EB4C95" w:rsidRPr="00EB4C95" w:rsidRDefault="00EB4C95" w:rsidP="00EB4C95">
      <w:pPr>
        <w:spacing w:line="288" w:lineRule="auto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Зам. председателя </w:t>
      </w:r>
    </w:p>
    <w:p w14:paraId="503EAC8D" w14:textId="77777777" w:rsidR="00EB4C95" w:rsidRPr="00EB4C95" w:rsidRDefault="00EB4C95" w:rsidP="00EB4C95">
      <w:pPr>
        <w:spacing w:line="288" w:lineRule="auto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</w:t>
      </w:r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Д 212.081.35 ,</w:t>
      </w:r>
    </w:p>
    <w:p w14:paraId="0F6E83F4" w14:textId="77777777" w:rsidR="00EB4C95" w:rsidRPr="00EB4C95" w:rsidRDefault="00EB4C95" w:rsidP="00EB4C95">
      <w:pPr>
        <w:spacing w:line="288" w:lineRule="auto"/>
        <w:jc w:val="both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технических наук,</w:t>
      </w:r>
    </w:p>
    <w:p w14:paraId="1DC8DC3E" w14:textId="4DEE5A9E" w:rsidR="00EB4C95" w:rsidRDefault="00EB4C95" w:rsidP="00EB4C95">
      <w:pPr>
        <w:spacing w:line="288" w:lineRule="auto"/>
        <w:jc w:val="both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b/>
          <w:bCs/>
          <w:spacing w:val="-2"/>
          <w:sz w:val="28"/>
          <w:szCs w:val="28"/>
        </w:rPr>
        <w:tab/>
      </w:r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Латыпов</w:t>
      </w:r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 xml:space="preserve"> Рустем Хафизович</w:t>
      </w:r>
      <w:bookmarkStart w:id="0" w:name="_GoBack"/>
      <w:bookmarkEnd w:id="0"/>
    </w:p>
    <w:p w14:paraId="3DB5FDA1" w14:textId="77777777" w:rsidR="007D34E5" w:rsidRDefault="007D34E5">
      <w:pPr>
        <w:autoSpaceDE w:val="0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FF1C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097BA63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67A4E2B9" w14:textId="77777777" w:rsidR="007D34E5" w:rsidRDefault="007D34E5">
      <w:pPr>
        <w:spacing w:line="360" w:lineRule="auto"/>
        <w:ind w:left="35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>
      <w:pPr>
        <w:spacing w:line="360" w:lineRule="auto"/>
        <w:ind w:left="36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>
      <w:pPr>
        <w:spacing w:line="360" w:lineRule="auto"/>
        <w:ind w:left="360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r>
        <w:rPr>
          <w:sz w:val="28"/>
          <w:szCs w:val="28"/>
        </w:rPr>
        <w:t>Еникеев Арслан Ильясович</w:t>
      </w:r>
    </w:p>
    <w:p w14:paraId="5F1D5942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</w:p>
    <w:p w14:paraId="03F61D76" w14:textId="7C688D02" w:rsidR="007D34E5" w:rsidRDefault="00F650AB">
      <w:pPr>
        <w:autoSpaceDE w:val="0"/>
        <w:spacing w:line="360" w:lineRule="auto"/>
        <w:ind w:left="360"/>
        <w:jc w:val="both"/>
      </w:pPr>
      <w:r>
        <w:rPr>
          <w:sz w:val="28"/>
          <w:szCs w:val="28"/>
        </w:rPr>
        <w:t>«__» ___________ 2017</w:t>
      </w:r>
      <w:r w:rsidR="007D34E5">
        <w:rPr>
          <w:sz w:val="28"/>
          <w:szCs w:val="28"/>
        </w:rPr>
        <w:t xml:space="preserve"> г.</w:t>
      </w:r>
    </w:p>
    <w:sectPr w:rsidR="007D34E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AD6A1" w14:textId="77777777" w:rsidR="006D6D77" w:rsidRDefault="006D6D77">
      <w:r>
        <w:separator/>
      </w:r>
    </w:p>
  </w:endnote>
  <w:endnote w:type="continuationSeparator" w:id="0">
    <w:p w14:paraId="51C10325" w14:textId="77777777" w:rsidR="006D6D77" w:rsidRDefault="006D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;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9143D" w14:textId="77777777" w:rsidR="006D6D77" w:rsidRDefault="006D6D77">
      <w:r>
        <w:separator/>
      </w:r>
    </w:p>
  </w:footnote>
  <w:footnote w:type="continuationSeparator" w:id="0">
    <w:p w14:paraId="346440CF" w14:textId="77777777" w:rsidR="006D6D77" w:rsidRDefault="006D6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59D61632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B45FE5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278CD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" stroked="f">
              <v:fill opacity="0"/>
              <v:textbox inset="0,0,0,0">
                <w:txbxContent>
                  <w:p w14:paraId="5F77DE15" w14:textId="59D61632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816289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A"/>
    <w:rsid w:val="000072FE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C4E33"/>
    <w:rsid w:val="001D5BB8"/>
    <w:rsid w:val="001E6C77"/>
    <w:rsid w:val="001F7CEC"/>
    <w:rsid w:val="00231E94"/>
    <w:rsid w:val="0025087B"/>
    <w:rsid w:val="00252435"/>
    <w:rsid w:val="00262222"/>
    <w:rsid w:val="00271832"/>
    <w:rsid w:val="002B4592"/>
    <w:rsid w:val="002F133C"/>
    <w:rsid w:val="00325BF9"/>
    <w:rsid w:val="00350E56"/>
    <w:rsid w:val="0035479C"/>
    <w:rsid w:val="0038705B"/>
    <w:rsid w:val="003D4E7C"/>
    <w:rsid w:val="003E7DA5"/>
    <w:rsid w:val="003F1A18"/>
    <w:rsid w:val="00417A0A"/>
    <w:rsid w:val="00434340"/>
    <w:rsid w:val="00435EB6"/>
    <w:rsid w:val="0046373F"/>
    <w:rsid w:val="00491B96"/>
    <w:rsid w:val="005033F3"/>
    <w:rsid w:val="00516BC4"/>
    <w:rsid w:val="005229D8"/>
    <w:rsid w:val="00523F79"/>
    <w:rsid w:val="005956DD"/>
    <w:rsid w:val="005B54AA"/>
    <w:rsid w:val="005F2CE5"/>
    <w:rsid w:val="006137E7"/>
    <w:rsid w:val="00627078"/>
    <w:rsid w:val="006452AF"/>
    <w:rsid w:val="00691FF0"/>
    <w:rsid w:val="006C4601"/>
    <w:rsid w:val="006D6D77"/>
    <w:rsid w:val="006E26D8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71CDC"/>
    <w:rsid w:val="00A74591"/>
    <w:rsid w:val="00A753AB"/>
    <w:rsid w:val="00A77146"/>
    <w:rsid w:val="00AA5AB1"/>
    <w:rsid w:val="00AD0CB5"/>
    <w:rsid w:val="00B0314E"/>
    <w:rsid w:val="00B45FE5"/>
    <w:rsid w:val="00B464FC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E13913"/>
    <w:rsid w:val="00E717AC"/>
    <w:rsid w:val="00E9643D"/>
    <w:rsid w:val="00EB4C95"/>
    <w:rsid w:val="00EE5310"/>
    <w:rsid w:val="00F025BA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  <w:style w:type="character" w:styleId="af3">
    <w:name w:val="annotation reference"/>
    <w:basedOn w:val="a1"/>
    <w:uiPriority w:val="99"/>
    <w:semiHidden/>
    <w:unhideWhenUsed/>
    <w:rsid w:val="003F1A1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3F1A18"/>
  </w:style>
  <w:style w:type="character" w:customStyle="1" w:styleId="af5">
    <w:name w:val="Текст примечания Знак"/>
    <w:basedOn w:val="a1"/>
    <w:link w:val="af4"/>
    <w:uiPriority w:val="99"/>
    <w:semiHidden/>
    <w:rsid w:val="003F1A18"/>
    <w:rPr>
      <w:sz w:val="24"/>
      <w:szCs w:val="24"/>
      <w:lang w:eastAsia="zh-C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1A18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1A18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1196</Words>
  <Characters>6818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subject/>
  <dc:creator>user</dc:creator>
  <cp:keywords/>
  <dc:description/>
  <cp:lastModifiedBy>Александр Тощев</cp:lastModifiedBy>
  <cp:revision>11</cp:revision>
  <cp:lastPrinted>2017-05-23T14:05:00Z</cp:lastPrinted>
  <dcterms:created xsi:type="dcterms:W3CDTF">2017-05-22T18:27:00Z</dcterms:created>
  <dcterms:modified xsi:type="dcterms:W3CDTF">2017-05-26T06:08:00Z</dcterms:modified>
</cp:coreProperties>
</file>