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Модульная работа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ссылка на psd-макет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имеет 3 уровня сложности (по наростающей):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“красные блоки” - обязательный уровень, за который можно максимально получить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2й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“желтые блоки” - дополнительные задания к предыдущему. Максимальная оценка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8,5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3й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“зеленые блоки” - усложненный, но вполне выполнимый уровень, за который вы можете получить максимум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Уровень считается закрытым, если выполнены все общие требования.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нельзя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выполнить верстку всей страницы, например, но без респонсива)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Общие требования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Валидность кода (проверяем на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Гибкость верстки (при добавлении/уменьшении контента сайт не валится)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Идентичность макету (PixelPerfect)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Чистота кода (нет лишних непонятных стилей и оберток)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Респонсив (изменения макета при уменьшении окна браузера до 320px)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Все материалы, которые вам могут понадобиться(картинки, иконки...), берем 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7368" cy="8912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368" cy="891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https://monosnap.com/file/Vv9B0SYWvuxTyQd4cOgLUs3qBXILIY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133.858267716535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nosnap.com/file/Vv9B0SYWvuxTyQd4cOgLUs3qBXILIY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BJXfJxs31h527am-bdE2iqSvrf-i0Yx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drive.google.com/open?id=12oMOVguwUoa9YZavw_GjS7CTlwo25H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