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0D2A8D">
        <w:rPr>
          <w:rFonts w:ascii="Times New Roman" w:hAnsi="Times New Roman" w:cs="Times New Roman"/>
          <w:sz w:val="28"/>
          <w:szCs w:val="28"/>
        </w:rPr>
        <w:t xml:space="preserve"> </w:t>
      </w:r>
      <w:r w:rsidRPr="000D2A8D">
        <w:rPr>
          <w:rFonts w:ascii="Times New Roman" w:hAnsi="Times New Roman" w:cs="Times New Roman"/>
          <w:sz w:val="28"/>
          <w:szCs w:val="28"/>
        </w:rPr>
        <w:t>МЕД</w:t>
      </w:r>
      <w:r w:rsidR="000D2A8D" w:rsidRPr="000D2A8D">
        <w:rPr>
          <w:rFonts w:ascii="Times New Roman" w:hAnsi="Times New Roman" w:cs="Times New Roman"/>
          <w:sz w:val="28"/>
          <w:szCs w:val="28"/>
        </w:rPr>
        <w:t>И</w:t>
      </w:r>
      <w:r w:rsidRPr="000D2A8D">
        <w:rPr>
          <w:rFonts w:ascii="Times New Roman" w:hAnsi="Times New Roman" w:cs="Times New Roman"/>
          <w:sz w:val="28"/>
          <w:szCs w:val="28"/>
        </w:rPr>
        <w:t>ЦИНСКОЕ ПРЕДПРИЯТИЕ</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Цель проекта </w:t>
      </w:r>
      <w:proofErr w:type="gramStart"/>
      <w:r w:rsidRPr="000D2A8D">
        <w:rPr>
          <w:rFonts w:ascii="Times New Roman" w:hAnsi="Times New Roman" w:cs="Times New Roman"/>
          <w:sz w:val="28"/>
          <w:szCs w:val="28"/>
        </w:rPr>
        <w:t>—п</w:t>
      </w:r>
      <w:proofErr w:type="gramEnd"/>
      <w:r w:rsidRPr="000D2A8D">
        <w:rPr>
          <w:rFonts w:ascii="Times New Roman" w:hAnsi="Times New Roman" w:cs="Times New Roman"/>
          <w:sz w:val="28"/>
          <w:szCs w:val="28"/>
        </w:rPr>
        <w:t>рограммных средств обеспечивающих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обеспечение взаимодействия медперсонала внутри медицинской организации</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0D2A8D">
        <w:rPr>
          <w:rFonts w:ascii="Times New Roman" w:hAnsi="Times New Roman" w:cs="Times New Roman"/>
          <w:spacing w:val="-2"/>
          <w:sz w:val="28"/>
          <w:szCs w:val="28"/>
        </w:rPr>
        <w:t>медицинские организации</w:t>
      </w:r>
      <w:r w:rsidRPr="000D2A8D">
        <w:rPr>
          <w:rFonts w:ascii="Times New Roman" w:hAnsi="Times New Roman" w:cs="Times New Roman"/>
          <w:spacing w:val="-2"/>
          <w:sz w:val="28"/>
          <w:szCs w:val="28"/>
        </w:rPr>
        <w:t>.</w:t>
      </w: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lastRenderedPageBreak/>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lastRenderedPageBreak/>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proofErr w:type="gramStart"/>
      <w:r>
        <w:rPr>
          <w:rFonts w:ascii="Times New Roman" w:hAnsi="Times New Roman" w:cs="Times New Roman"/>
          <w:sz w:val="28"/>
          <w:szCs w:val="28"/>
        </w:rPr>
        <w:t>ВО</w:t>
      </w:r>
      <w:proofErr w:type="gramEnd"/>
      <w:r w:rsidR="00107A22">
        <w:rPr>
          <w:rFonts w:ascii="Times New Roman" w:hAnsi="Times New Roman" w:cs="Times New Roman"/>
          <w:sz w:val="28"/>
          <w:szCs w:val="28"/>
        </w:rPr>
        <w:t xml:space="preserve"> </w:t>
      </w:r>
      <w:r>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виртуальная организация</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lastRenderedPageBreak/>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что в их 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lastRenderedPageBreak/>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 xml:space="preserve">разработку программного обеспечения повышающего качество </w:t>
      </w:r>
      <w:r w:rsidR="00A7646D" w:rsidRPr="00A7646D">
        <w:rPr>
          <w:rFonts w:ascii="Times New Roman" w:eastAsia="Times New Roman" w:hAnsi="Times New Roman" w:cs="Times New Roman"/>
          <w:color w:val="000000"/>
          <w:sz w:val="28"/>
          <w:szCs w:val="28"/>
          <w:lang w:eastAsia="ru-RU"/>
        </w:rPr>
        <w:lastRenderedPageBreak/>
        <w:t>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F730E6">
      <w:pPr>
        <w:pStyle w:val="ListParagraph"/>
        <w:numPr>
          <w:ilvl w:val="0"/>
          <w:numId w:val="24"/>
        </w:numPr>
        <w:jc w:val="both"/>
        <w:rPr>
          <w:rFonts w:ascii="Times New Roman" w:hAnsi="Times New Roman" w:cs="Times New Roman"/>
          <w:sz w:val="28"/>
          <w:szCs w:val="28"/>
        </w:rPr>
      </w:pPr>
      <w:r w:rsidRPr="00F730E6">
        <w:rPr>
          <w:rFonts w:ascii="Times New Roman" w:hAnsi="Times New Roman" w:cs="Times New Roman"/>
          <w:sz w:val="28"/>
          <w:szCs w:val="28"/>
        </w:rPr>
        <w:t xml:space="preserve">Обеспечение коммуникации сотрудников предприятия </w:t>
      </w:r>
      <w:r w:rsidR="00F730E6">
        <w:rPr>
          <w:rFonts w:ascii="Times New Roman" w:hAnsi="Times New Roman" w:cs="Times New Roman"/>
          <w:sz w:val="28"/>
          <w:szCs w:val="28"/>
        </w:rPr>
        <w:t>с помощью чата</w:t>
      </w:r>
      <w:r w:rsidRPr="00F730E6">
        <w:rPr>
          <w:rFonts w:ascii="Times New Roman" w:hAnsi="Times New Roman" w:cs="Times New Roman"/>
          <w:sz w:val="28"/>
          <w:szCs w:val="28"/>
        </w:rPr>
        <w:t>;</w:t>
      </w:r>
    </w:p>
    <w:p w:rsidR="00F730E6" w:rsidRPr="00F730E6" w:rsidRDefault="00F730E6" w:rsidP="00F730E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Возможность анализа вклада каждого участника в проект</w:t>
      </w:r>
      <w:r w:rsidRPr="00F730E6">
        <w:rPr>
          <w:rFonts w:ascii="Times New Roman" w:hAnsi="Times New Roman" w:cs="Times New Roman"/>
          <w:sz w:val="28"/>
          <w:szCs w:val="28"/>
        </w:rPr>
        <w:t>;</w:t>
      </w:r>
    </w:p>
    <w:p w:rsidR="00F730E6" w:rsidRPr="00F730E6" w:rsidRDefault="00F730E6" w:rsidP="00F730E6">
      <w:pPr>
        <w:pStyle w:val="ListParagraph"/>
        <w:numPr>
          <w:ilvl w:val="0"/>
          <w:numId w:val="24"/>
        </w:numPr>
        <w:jc w:val="both"/>
        <w:rPr>
          <w:rFonts w:ascii="Times New Roman" w:hAnsi="Times New Roman" w:cs="Times New Roman"/>
          <w:sz w:val="28"/>
          <w:szCs w:val="28"/>
        </w:rPr>
      </w:pPr>
      <w:proofErr w:type="gramStart"/>
      <w:r>
        <w:rPr>
          <w:rFonts w:ascii="Times New Roman" w:hAnsi="Times New Roman" w:cs="Times New Roman"/>
          <w:sz w:val="28"/>
          <w:szCs w:val="28"/>
        </w:rPr>
        <w:t>Менеджер задач позволяющий отслеживать все задачи предприятия и назначать ответственных за их выполнение</w:t>
      </w:r>
      <w:r w:rsidRPr="00F730E6">
        <w:rPr>
          <w:rFonts w:ascii="Times New Roman" w:hAnsi="Times New Roman" w:cs="Times New Roman"/>
          <w:sz w:val="28"/>
          <w:szCs w:val="28"/>
        </w:rPr>
        <w:t>;</w:t>
      </w:r>
      <w:proofErr w:type="gramEnd"/>
    </w:p>
    <w:p w:rsidR="00F730E6" w:rsidRPr="00F730E6" w:rsidRDefault="00F730E6" w:rsidP="00F730E6">
      <w:pPr>
        <w:pStyle w:val="ListParagraph"/>
        <w:numPr>
          <w:ilvl w:val="0"/>
          <w:numId w:val="24"/>
        </w:numPr>
        <w:jc w:val="both"/>
        <w:rPr>
          <w:rFonts w:ascii="Times New Roman" w:hAnsi="Times New Roman" w:cs="Times New Roman"/>
          <w:sz w:val="28"/>
          <w:szCs w:val="28"/>
        </w:rPr>
      </w:pPr>
      <w:proofErr w:type="gramStart"/>
      <w:r>
        <w:rPr>
          <w:rFonts w:ascii="Times New Roman" w:hAnsi="Times New Roman" w:cs="Times New Roman"/>
          <w:sz w:val="28"/>
          <w:szCs w:val="28"/>
        </w:rPr>
        <w:t>Быстрое</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имформирование</w:t>
      </w:r>
      <w:proofErr w:type="spellEnd"/>
      <w:r>
        <w:rPr>
          <w:rFonts w:ascii="Times New Roman" w:hAnsi="Times New Roman" w:cs="Times New Roman"/>
          <w:sz w:val="28"/>
          <w:szCs w:val="28"/>
        </w:rPr>
        <w:t xml:space="preserve"> всех необходимых сотрудников</w:t>
      </w:r>
      <w:r w:rsidRPr="00F730E6">
        <w:rPr>
          <w:rFonts w:ascii="Times New Roman" w:hAnsi="Times New Roman" w:cs="Times New Roman"/>
          <w:sz w:val="28"/>
          <w:szCs w:val="28"/>
        </w:rPr>
        <w:t>.</w:t>
      </w:r>
    </w:p>
    <w:p w:rsidR="00F730E6" w:rsidRDefault="00F730E6" w:rsidP="0095691C">
      <w:pPr>
        <w:ind w:firstLine="567"/>
        <w:jc w:val="both"/>
        <w:rPr>
          <w:rFonts w:ascii="Times New Roman" w:hAnsi="Times New Roman" w:cs="Times New Roman"/>
          <w:sz w:val="28"/>
          <w:szCs w:val="28"/>
        </w:rPr>
      </w:pP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bookmarkStart w:id="1" w:name="_GoBack"/>
      <w:bookmarkEnd w:id="1"/>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9A48B2" w:rsidRDefault="009A48B2" w:rsidP="0095691C">
      <w:pPr>
        <w:pStyle w:val="NoSpacing"/>
        <w:jc w:val="both"/>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2"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2"/>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w:t>
      </w:r>
      <w:r w:rsidRPr="00557420">
        <w:rPr>
          <w:rFonts w:ascii="Times New Roman" w:eastAsia="Calibri" w:hAnsi="Times New Roman" w:cs="Times New Roman"/>
          <w:sz w:val="28"/>
        </w:rPr>
        <w:lastRenderedPageBreak/>
        <w:t>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реализации описанных выше требований используются следующие подходы:</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Использование промежуточного программного обеспечения асинхронного обмена сообщениями.</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Для обмена сообщениями используются каналы типа публикация-подписка.</w:t>
      </w:r>
    </w:p>
    <w:p w:rsidR="00624322" w:rsidRPr="00557420" w:rsidRDefault="00624322" w:rsidP="0095691C">
      <w:pPr>
        <w:numPr>
          <w:ilvl w:val="0"/>
          <w:numId w:val="2"/>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При подключении новых агентов, уже существующие подписки моментально доставляются этому агенту, и он сразу же может публиковать собственные сообщения.</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3"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3"/>
    </w:p>
    <w:p w:rsidR="00FC43F6" w:rsidRPr="00071799" w:rsidRDefault="004C118B" w:rsidP="00F55A96">
      <w:pPr>
        <w:spacing w:before="120" w:after="120" w:line="360" w:lineRule="auto"/>
        <w:ind w:firstLine="709"/>
        <w:contextualSpacing/>
        <w:jc w:val="both"/>
        <w:rPr>
          <w:rFonts w:ascii="Times New Roman" w:eastAsia="Lucida Sans Unicode"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для планирования задач компании. Также 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rPr>
        <w:t xml:space="preserve"> При разработке данного </w:t>
      </w:r>
      <w:r w:rsidR="00071799" w:rsidRPr="00071799">
        <w:rPr>
          <w:rFonts w:ascii="Times New Roman" w:eastAsia="Lucida Sans Unicode" w:hAnsi="Times New Roman" w:cs="Times New Roman"/>
          <w:sz w:val="28"/>
          <w:szCs w:val="28"/>
        </w:rPr>
        <w:lastRenderedPageBreak/>
        <w:t>дипломного проекта был произведен анализ этих прог</w:t>
      </w:r>
      <w:r w:rsidR="00071799">
        <w:rPr>
          <w:rFonts w:ascii="Times New Roman" w:eastAsia="Lucida Sans Unicode" w:hAnsi="Times New Roman" w:cs="Times New Roman"/>
          <w:sz w:val="28"/>
          <w:szCs w:val="28"/>
        </w:rPr>
        <w:t>раммных продуктов</w:t>
      </w:r>
      <w:r w:rsidR="00071799" w:rsidRPr="00071799">
        <w:rPr>
          <w:rFonts w:ascii="Times New Roman" w:eastAsia="Lucida Sans Unicode" w:hAnsi="Times New Roman" w:cs="Times New Roman"/>
          <w:sz w:val="28"/>
          <w:szCs w:val="28"/>
        </w:rPr>
        <w:t xml:space="preserve"> </w:t>
      </w:r>
      <w:r w:rsidR="00071799">
        <w:rPr>
          <w:rFonts w:ascii="Times New Roman" w:eastAsia="Lucida Sans Unicode" w:hAnsi="Times New Roman" w:cs="Times New Roman"/>
          <w:sz w:val="28"/>
          <w:szCs w:val="28"/>
        </w:rPr>
        <w:t>и выделены плюсы и минусы каждого из них.</w:t>
      </w:r>
    </w:p>
    <w:p w:rsidR="00C22074"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F55A96">
      <w:pPr>
        <w:pStyle w:val="ListParagraph"/>
        <w:numPr>
          <w:ilvl w:val="0"/>
          <w:numId w:val="21"/>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55A96">
      <w:pPr>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55A96">
      <w:pPr>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F55A96">
      <w:pPr>
        <w:pStyle w:val="ListParagraph"/>
        <w:numPr>
          <w:ilvl w:val="0"/>
          <w:numId w:val="22"/>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p>
    <w:p w:rsidR="00EB6BE7" w:rsidRPr="00F55A96" w:rsidRDefault="00EB6BE7" w:rsidP="00F55A96">
      <w:pPr>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лицензия программы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4" w:name="_Toc389427410"/>
      <w:bookmarkEnd w:id="0"/>
      <w:r w:rsidRPr="00EC58F1">
        <w:rPr>
          <w:rFonts w:ascii="Times New Roman" w:eastAsia="Times New Roman" w:hAnsi="Times New Roman" w:cs="Times New Roman"/>
          <w:b/>
          <w:sz w:val="28"/>
          <w:szCs w:val="20"/>
          <w:lang w:eastAsia="ru-RU"/>
        </w:rPr>
        <w:lastRenderedPageBreak/>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4"/>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w:t>
      </w:r>
      <w:r w:rsidRPr="00EC58F1">
        <w:rPr>
          <w:rFonts w:ascii="Times New Roman" w:eastAsia="Lucida Sans Unicode" w:hAnsi="Times New Roman" w:cs="Times New Roman"/>
          <w:sz w:val="28"/>
          <w:szCs w:val="28"/>
          <w:lang w:eastAsia="ru-RU"/>
        </w:rPr>
        <w:lastRenderedPageBreak/>
        <w:t xml:space="preserve">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lastRenderedPageBreak/>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lastRenderedPageBreak/>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w:t>
      </w:r>
      <w:r w:rsidRPr="00B45F80">
        <w:rPr>
          <w:rFonts w:ascii="Times New Roman" w:hAnsi="Times New Roman" w:cs="Times New Roman"/>
          <w:sz w:val="28"/>
          <w:szCs w:val="28"/>
          <w:lang w:eastAsia="ru-RU"/>
        </w:rPr>
        <w:lastRenderedPageBreak/>
        <w:t>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5"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5"/>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w:t>
      </w:r>
      <w:r w:rsidRPr="00B45F80">
        <w:rPr>
          <w:rFonts w:ascii="Times New Roman" w:hAnsi="Times New Roman" w:cs="Times New Roman"/>
          <w:sz w:val="28"/>
          <w:szCs w:val="28"/>
          <w:lang w:eastAsia="ru-RU"/>
        </w:rPr>
        <w:lastRenderedPageBreak/>
        <w:t>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w:t>
      </w:r>
      <w:r w:rsidRPr="00B45F80">
        <w:rPr>
          <w:rFonts w:ascii="Times New Roman" w:hAnsi="Times New Roman" w:cs="Times New Roman"/>
          <w:sz w:val="28"/>
          <w:szCs w:val="28"/>
          <w:lang w:eastAsia="ru-RU"/>
        </w:rPr>
        <w:lastRenderedPageBreak/>
        <w:t>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6"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w:t>
      </w:r>
      <w:r w:rsidRPr="00B45F80">
        <w:rPr>
          <w:rFonts w:ascii="Times New Roman" w:hAnsi="Times New Roman" w:cs="Times New Roman"/>
          <w:sz w:val="28"/>
          <w:szCs w:val="28"/>
          <w:lang w:eastAsia="ru-RU"/>
        </w:rPr>
        <w:lastRenderedPageBreak/>
        <w:t xml:space="preserve">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7"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8"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8"/>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w:t>
      </w:r>
      <w:r w:rsidRPr="005F1560">
        <w:rPr>
          <w:rFonts w:ascii="Times New Roman" w:hAnsi="Times New Roman" w:cs="Times New Roman"/>
          <w:sz w:val="28"/>
          <w:szCs w:val="28"/>
          <w:lang w:eastAsia="ru-RU"/>
        </w:rPr>
        <w:lastRenderedPageBreak/>
        <w:t>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9"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9"/>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8.  способность успешно сотрудничать в виртуальной среде (что не только обусловливается психологическими особенностями индивидов, но и тесно </w:t>
      </w:r>
      <w:r w:rsidRPr="005F1560">
        <w:rPr>
          <w:rFonts w:ascii="Times New Roman" w:hAnsi="Times New Roman" w:cs="Times New Roman"/>
          <w:sz w:val="28"/>
          <w:szCs w:val="28"/>
          <w:lang w:eastAsia="ru-RU"/>
        </w:rPr>
        <w:lastRenderedPageBreak/>
        <w:t>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w:t>
      </w:r>
      <w:r w:rsidRPr="005F1560">
        <w:rPr>
          <w:rFonts w:ascii="Times New Roman" w:hAnsi="Times New Roman" w:cs="Times New Roman"/>
          <w:sz w:val="28"/>
          <w:szCs w:val="28"/>
          <w:lang w:eastAsia="ru-RU"/>
        </w:rPr>
        <w:lastRenderedPageBreak/>
        <w:t>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10"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10"/>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1" w:name="_ftnref17"/>
      <w:r>
        <w:rPr>
          <w:rFonts w:ascii="Times New Roman" w:hAnsi="Times New Roman" w:cs="Times New Roman"/>
          <w:sz w:val="28"/>
          <w:szCs w:val="28"/>
          <w:lang w:eastAsia="ru-RU"/>
        </w:rPr>
        <w:t>нтракту) от реализации проекта;</w:t>
      </w:r>
      <w:bookmarkEnd w:id="11"/>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FC43F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FC43F6" w:rsidRDefault="00FC43F6" w:rsidP="00FC43F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67BA6" w:rsidRDefault="00D67BA6"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b/>
          <w:kern w:val="1"/>
          <w:sz w:val="28"/>
          <w:szCs w:val="28"/>
          <w:lang w:eastAsia="ar-SA"/>
        </w:rPr>
        <w:t xml:space="preserve">1. Безопасность и </w:t>
      </w:r>
      <w:proofErr w:type="spellStart"/>
      <w:r w:rsidRPr="00AD555D">
        <w:rPr>
          <w:rFonts w:ascii="Times New Roman" w:eastAsia="Times New Roman" w:hAnsi="Times New Roman" w:cs="Times New Roman"/>
          <w:b/>
          <w:kern w:val="1"/>
          <w:sz w:val="28"/>
          <w:szCs w:val="28"/>
          <w:lang w:eastAsia="ar-SA"/>
        </w:rPr>
        <w:t>экологичность</w:t>
      </w:r>
      <w:proofErr w:type="spellEnd"/>
      <w:r w:rsidRPr="00AD555D">
        <w:rPr>
          <w:rFonts w:ascii="Times New Roman" w:eastAsia="Times New Roman" w:hAnsi="Times New Roman" w:cs="Times New Roman"/>
          <w:b/>
          <w:kern w:val="1"/>
          <w:sz w:val="28"/>
          <w:szCs w:val="28"/>
          <w:lang w:eastAsia="ar-SA"/>
        </w:rPr>
        <w:t xml:space="preserve">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12" w:name="_Toc283701421"/>
      <w:bookmarkStart w:id="13" w:name="_Toc251257640"/>
      <w:bookmarkStart w:id="14" w:name="_Toc356245716"/>
      <w:bookmarkStart w:id="15" w:name="_Toc389215479"/>
      <w:bookmarkEnd w:id="12"/>
      <w:bookmarkEnd w:id="13"/>
      <w:bookmarkEnd w:id="14"/>
      <w:bookmarkEnd w:id="15"/>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Площадь помещения 12 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Pr="00AD555D">
        <w:rPr>
          <w:rFonts w:ascii="Times New Roman" w:eastAsia="Times New Roman" w:hAnsi="Times New Roman" w:cs="Times New Roman"/>
          <w:kern w:val="1"/>
          <w:sz w:val="28"/>
          <w:szCs w:val="28"/>
          <w:lang w:eastAsia="ar-SA"/>
        </w:rPr>
        <w:t>Т(</w:t>
      </w:r>
      <w:proofErr w:type="gramEnd"/>
      <w:r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 xml:space="preserve">Количество ПЭВМ </w:t>
      </w:r>
      <w:proofErr w:type="spellStart"/>
      <w:r w:rsidRPr="00AD555D">
        <w:rPr>
          <w:rFonts w:ascii="Times New Roman" w:eastAsia="Times New Roman" w:hAnsi="Times New Roman" w:cs="Times New Roman"/>
          <w:i/>
          <w:iCs/>
          <w:color w:val="000000"/>
          <w:kern w:val="1"/>
          <w:sz w:val="28"/>
          <w:szCs w:val="28"/>
          <w:lang w:eastAsia="ar-SA"/>
        </w:rPr>
        <w:t>N</w:t>
      </w:r>
      <w:r w:rsidRPr="00AD555D">
        <w:rPr>
          <w:rFonts w:ascii="Times New Roman" w:eastAsia="Times New Roman" w:hAnsi="Times New Roman" w:cs="Times New Roman"/>
          <w:i/>
          <w:iCs/>
          <w:color w:val="000000"/>
          <w:kern w:val="1"/>
          <w:sz w:val="28"/>
          <w:szCs w:val="28"/>
          <w:vertAlign w:val="subscript"/>
          <w:lang w:eastAsia="ar-SA"/>
        </w:rPr>
        <w:t>к</w:t>
      </w:r>
      <w:proofErr w:type="spellEnd"/>
      <w:r w:rsidRPr="00AD555D">
        <w:rPr>
          <w:rFonts w:ascii="Times New Roman" w:eastAsia="Times New Roman" w:hAnsi="Times New Roman" w:cs="Times New Roman"/>
          <w:i/>
          <w:iCs/>
          <w:color w:val="000000"/>
          <w:kern w:val="1"/>
          <w:sz w:val="28"/>
          <w:szCs w:val="28"/>
          <w:lang w:eastAsia="ar-SA"/>
        </w:rPr>
        <w:t>= 1 шт</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kern w:val="1"/>
          <w:sz w:val="28"/>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roofErr w:type="gramEnd"/>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left="720"/>
        <w:contextualSpacing/>
        <w:jc w:val="both"/>
        <w:rPr>
          <w:rFonts w:ascii="Times New Roman" w:eastAsia="Times New Roman" w:hAnsi="Times New Roman" w:cs="Times New Roman"/>
          <w:kern w:val="1"/>
          <w:sz w:val="28"/>
          <w:szCs w:val="28"/>
          <w:lang w:eastAsia="ar-SA"/>
        </w:rPr>
      </w:pP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1.2.1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w:t>
      </w:r>
      <w:r w:rsidRPr="00AD555D">
        <w:rPr>
          <w:rFonts w:ascii="Times New Roman" w:eastAsia="Times New Roman" w:hAnsi="Times New Roman" w:cs="Times New Roman"/>
          <w:color w:val="000000"/>
          <w:kern w:val="1"/>
          <w:sz w:val="28"/>
          <w:szCs w:val="28"/>
          <w:lang w:eastAsia="ar-SA"/>
        </w:rPr>
        <w:lastRenderedPageBreak/>
        <w:t xml:space="preserve">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w:t>
      </w:r>
      <w:r w:rsidRPr="00AD555D">
        <w:rPr>
          <w:rFonts w:ascii="Times New Roman" w:eastAsia="Times New Roman" w:hAnsi="Times New Roman" w:cs="Times New Roman"/>
          <w:color w:val="000000"/>
          <w:kern w:val="1"/>
          <w:sz w:val="28"/>
          <w:szCs w:val="28"/>
          <w:lang w:eastAsia="ar-SA"/>
        </w:rPr>
        <w:lastRenderedPageBreak/>
        <w:t>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w:t>
      </w:r>
      <w:r w:rsidRPr="00AD555D">
        <w:rPr>
          <w:rFonts w:ascii="Times New Roman" w:eastAsia="Times New Roman" w:hAnsi="Times New Roman" w:cs="Times New Roman"/>
          <w:color w:val="000000"/>
          <w:kern w:val="1"/>
          <w:sz w:val="28"/>
          <w:szCs w:val="28"/>
          <w:lang w:eastAsia="ar-SA"/>
        </w:rPr>
        <w:lastRenderedPageBreak/>
        <w:t>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150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Светильники выбирают с учетом характеристик рабочей среды в помещении. Рабочая среда помещения - нормальная, т.е. содержание пыли, дыма и копоти не превышает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 Для нормальной среды подходят светильники серии ЛСПО-1, ЛОУ1П, ЛД.</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Число рядов светильников в помещении</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=3/1,8=1,66</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=4/1,8=2,22.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16" w:name="_Toc283701430"/>
      <w:bookmarkStart w:id="17" w:name="_Toc356245722"/>
      <w:bookmarkStart w:id="18" w:name="_Toc389215487"/>
      <w:bookmarkEnd w:id="16"/>
      <w:bookmarkEnd w:id="17"/>
      <w:bookmarkEnd w:id="18"/>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w:t>
      </w:r>
      <w:r w:rsidRPr="00AD555D">
        <w:rPr>
          <w:rFonts w:ascii="Times New Roman" w:eastAsia="Times New Roman" w:hAnsi="Times New Roman" w:cs="Times New Roman"/>
          <w:kern w:val="1"/>
          <w:sz w:val="28"/>
          <w:szCs w:val="28"/>
          <w:lang w:eastAsia="ar-SA"/>
        </w:rPr>
        <w:lastRenderedPageBreak/>
        <w:t>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AD555D" w:rsidRPr="00AD555D" w:rsidTr="00AD555D">
        <w:trPr>
          <w:trHeight w:val="195"/>
        </w:trPr>
        <w:tc>
          <w:tcPr>
            <w:tcW w:w="1873"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tcBorders>
              <w:top w:val="double" w:sz="1" w:space="0" w:color="000000"/>
              <w:left w:val="double" w:sz="1" w:space="0" w:color="000000"/>
              <w:bottom w:val="double" w:sz="1" w:space="0" w:color="000000"/>
              <w:right w:val="double" w:sz="1" w:space="0" w:color="000000"/>
            </w:tcBorders>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1pt;height:18.8pt" o:ole="">
            <v:imagedata r:id="rId9" o:title=""/>
          </v:shape>
          <o:OLEObject Type="Embed" ProgID="Equation.3" ShapeID="_x0000_i1025" DrawAspect="Content" ObjectID="_1491581065" r:id="rId10"/>
        </w:object>
      </w:r>
      <w:r w:rsidRPr="00AD555D">
        <w:rPr>
          <w:rFonts w:ascii="Times New Roman" w:eastAsia="SimSun" w:hAnsi="Times New Roman" w:cs="Times New Roman"/>
          <w:kern w:val="1"/>
          <w:sz w:val="28"/>
          <w:szCs w:val="28"/>
          <w:lang w:eastAsia="ar-SA"/>
        </w:rPr>
        <w:t>,                                                          (1.3.1)</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lastRenderedPageBreak/>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3pt;height:30.7pt" o:ole="">
            <v:imagedata r:id="rId11" o:title=""/>
          </v:shape>
          <o:OLEObject Type="Embed" ProgID="Equation.3" ShapeID="_x0000_i1026" DrawAspect="Content" ObjectID="_1491581066" r:id="rId12"/>
        </w:object>
      </w:r>
      <w:r w:rsidRPr="00AD555D">
        <w:rPr>
          <w:rFonts w:ascii="Times New Roman" w:eastAsia="SimSun" w:hAnsi="Times New Roman" w:cs="Times New Roman"/>
          <w:kern w:val="1"/>
          <w:sz w:val="28"/>
          <w:szCs w:val="28"/>
          <w:lang w:eastAsia="ar-SA"/>
        </w:rPr>
        <w:t>,                                                            (1.3.2)</w:t>
      </w:r>
    </w:p>
    <w:p w:rsidR="00AD555D" w:rsidRPr="00AD555D" w:rsidRDefault="00AD555D" w:rsidP="00AD555D">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AD555D" w:rsidRPr="00AD555D" w:rsidRDefault="00AD555D" w:rsidP="00AD555D">
      <w:pPr>
        <w:tabs>
          <w:tab w:val="left" w:pos="709"/>
        </w:tabs>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деревянные плинтуса;</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AD555D" w:rsidRPr="00AD555D" w:rsidRDefault="00AD555D" w:rsidP="00AD555D">
      <w:pPr>
        <w:numPr>
          <w:ilvl w:val="0"/>
          <w:numId w:val="18"/>
        </w:numPr>
        <w:suppressAutoHyphens/>
        <w:spacing w:before="28" w:after="0" w:line="100" w:lineRule="atLeast"/>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AD555D" w:rsidRPr="00AD555D" w:rsidRDefault="00AD555D" w:rsidP="00AD555D">
      <w:pPr>
        <w:suppressAutoHyphens/>
        <w:spacing w:before="28" w:after="0" w:line="100" w:lineRule="atLeast"/>
        <w:ind w:left="720"/>
        <w:jc w:val="both"/>
        <w:rPr>
          <w:rFonts w:ascii="Times New Roman" w:eastAsia="Times New Roman" w:hAnsi="Times New Roman" w:cs="Times New Roman"/>
          <w:kern w:val="1"/>
          <w:sz w:val="28"/>
          <w:szCs w:val="28"/>
          <w:lang w:eastAsia="ar-SA"/>
        </w:rPr>
      </w:pP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w:t>
      </w:r>
      <w:r w:rsidRPr="00AD555D">
        <w:rPr>
          <w:rFonts w:ascii="Times New Roman" w:eastAsia="Times New Roman" w:hAnsi="Times New Roman" w:cs="Times New Roman"/>
          <w:kern w:val="1"/>
          <w:sz w:val="28"/>
          <w:szCs w:val="28"/>
          <w:lang w:eastAsia="ar-SA"/>
        </w:rPr>
        <w:lastRenderedPageBreak/>
        <w:t xml:space="preserve">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в процессе 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AD555D" w:rsidRPr="00AD555D" w:rsidRDefault="00AD555D" w:rsidP="00AD555D">
      <w:pPr>
        <w:numPr>
          <w:ilvl w:val="0"/>
          <w:numId w:val="19"/>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9"/>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AD555D" w:rsidRPr="00AD555D" w:rsidRDefault="00AD555D" w:rsidP="00AD555D">
      <w:pPr>
        <w:suppressAutoHyphens/>
        <w:spacing w:before="28" w:after="0" w:line="100" w:lineRule="atLeast"/>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AD555D" w:rsidRPr="00AD555D" w:rsidRDefault="00AD555D" w:rsidP="00AD555D">
      <w:pPr>
        <w:numPr>
          <w:ilvl w:val="0"/>
          <w:numId w:val="20"/>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AD555D" w:rsidRPr="00AD555D" w:rsidRDefault="00AD555D" w:rsidP="00AD555D">
      <w:pPr>
        <w:suppressAutoHyphens/>
        <w:spacing w:before="28" w:after="0" w:line="100" w:lineRule="atLeast"/>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Б и В, помещения с вычислительной техникой и дорогостоящей аппаратурой, а также объекты государственной важности.</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lastRenderedPageBreak/>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AD555D" w:rsidRPr="00AD555D" w:rsidRDefault="00AD555D" w:rsidP="00AD555D">
      <w:pPr>
        <w:suppressAutoHyphens/>
        <w:spacing w:before="28" w:after="0" w:line="100" w:lineRule="atLeast"/>
        <w:ind w:firstLine="567"/>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before="28" w:after="0" w:line="100" w:lineRule="atLeast"/>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 </w:t>
      </w:r>
    </w:p>
    <w:p w:rsidR="00AD555D" w:rsidRPr="00AD555D" w:rsidRDefault="00AD555D" w:rsidP="00AD555D">
      <w:pPr>
        <w:keepNext/>
        <w:suppressAutoHyphens/>
        <w:spacing w:after="0"/>
        <w:contextualSpacing/>
        <w:jc w:val="both"/>
        <w:rPr>
          <w:rFonts w:ascii="Times New Roman" w:eastAsia="Times New Roman" w:hAnsi="Times New Roman" w:cs="Times New Roman"/>
          <w:kern w:val="1"/>
          <w:sz w:val="28"/>
          <w:szCs w:val="28"/>
          <w:lang w:eastAsia="ar-SA"/>
        </w:rPr>
      </w:pPr>
      <w:bookmarkStart w:id="19" w:name="_Toc283701433"/>
      <w:bookmarkStart w:id="20" w:name="_Toc356245725"/>
      <w:bookmarkStart w:id="21" w:name="_Toc389215488"/>
      <w:bookmarkEnd w:id="19"/>
      <w:bookmarkEnd w:id="20"/>
      <w:bookmarkEnd w:id="21"/>
      <w:r w:rsidRPr="00AD555D">
        <w:rPr>
          <w:rFonts w:ascii="Times New Roman" w:eastAsia="Times New Roman" w:hAnsi="Times New Roman" w:cs="Times New Roman"/>
          <w:b/>
          <w:bCs/>
          <w:iCs/>
          <w:kern w:val="1"/>
          <w:sz w:val="28"/>
          <w:szCs w:val="28"/>
          <w:lang w:eastAsia="ar-SA"/>
        </w:rPr>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AD555D">
      <w:pPr>
        <w:suppressAutoHyphens/>
        <w:spacing w:before="28" w:after="0"/>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AD555D">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Pr="003C0713"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22"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22"/>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23"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23"/>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24"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24"/>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25"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25"/>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lastRenderedPageBreak/>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 3.</w:t>
      </w:r>
      <w:proofErr w:type="gramEnd"/>
    </w:p>
    <w:p w:rsidR="00663C24" w:rsidRPr="00663C24"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http://www.it.ru/academy/vue-form.html.</w:t>
      </w:r>
    </w:p>
    <w:p w:rsidR="002552C4" w:rsidRPr="00663C24" w:rsidRDefault="002552C4" w:rsidP="007E6BBB">
      <w:pPr>
        <w:rPr>
          <w:rFonts w:ascii="Times New Roman" w:eastAsia="Times New Roman" w:hAnsi="Times New Roman" w:cs="Times New Roman"/>
          <w:color w:val="000000"/>
          <w:sz w:val="27"/>
          <w:szCs w:val="27"/>
          <w:lang w:val="en-US" w:eastAsia="ru-RU"/>
        </w:rPr>
      </w:pPr>
    </w:p>
    <w:p w:rsidR="007E6BBB" w:rsidRPr="00663C24"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val="en-US" w:eastAsia="ru-RU"/>
        </w:rPr>
      </w:pPr>
    </w:p>
    <w:p w:rsidR="007E6BBB" w:rsidRPr="00663C24" w:rsidRDefault="007E6BBB" w:rsidP="002E4311">
      <w:pPr>
        <w:rPr>
          <w:rFonts w:ascii="Times New Roman" w:hAnsi="Times New Roman" w:cs="Times New Roman"/>
          <w:sz w:val="28"/>
          <w:szCs w:val="28"/>
          <w:lang w:val="en-US" w:eastAsia="ru-RU"/>
        </w:rPr>
      </w:pPr>
    </w:p>
    <w:p w:rsidR="00120EF0" w:rsidRPr="00663C24" w:rsidRDefault="00120EF0" w:rsidP="002E4311">
      <w:pPr>
        <w:rPr>
          <w:lang w:val="en-US"/>
        </w:rPr>
      </w:pPr>
    </w:p>
    <w:sectPr w:rsidR="00120EF0" w:rsidRPr="00663C2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570" w:rsidRDefault="002A5570" w:rsidP="009A48B2">
      <w:pPr>
        <w:spacing w:after="0" w:line="240" w:lineRule="auto"/>
      </w:pPr>
      <w:r>
        <w:separator/>
      </w:r>
    </w:p>
  </w:endnote>
  <w:endnote w:type="continuationSeparator" w:id="0">
    <w:p w:rsidR="002A5570" w:rsidRDefault="002A5570"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570" w:rsidRDefault="002A5570" w:rsidP="009A48B2">
      <w:pPr>
        <w:spacing w:after="0" w:line="240" w:lineRule="auto"/>
      </w:pPr>
      <w:r>
        <w:separator/>
      </w:r>
    </w:p>
  </w:footnote>
  <w:footnote w:type="continuationSeparator" w:id="0">
    <w:p w:rsidR="002A5570" w:rsidRDefault="002A5570"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0">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8845F6"/>
    <w:multiLevelType w:val="hybridMultilevel"/>
    <w:tmpl w:val="5732B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55B00E0E"/>
    <w:multiLevelType w:val="hybridMultilevel"/>
    <w:tmpl w:val="08BE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20">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2">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FB10CEF"/>
    <w:multiLevelType w:val="hybridMultilevel"/>
    <w:tmpl w:val="BE38F4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9"/>
  </w:num>
  <w:num w:numId="2">
    <w:abstractNumId w:val="17"/>
  </w:num>
  <w:num w:numId="3">
    <w:abstractNumId w:val="19"/>
  </w:num>
  <w:num w:numId="4">
    <w:abstractNumId w:val="11"/>
  </w:num>
  <w:num w:numId="5">
    <w:abstractNumId w:val="13"/>
  </w:num>
  <w:num w:numId="6">
    <w:abstractNumId w:val="15"/>
  </w:num>
  <w:num w:numId="7">
    <w:abstractNumId w:val="10"/>
  </w:num>
  <w:num w:numId="8">
    <w:abstractNumId w:val="20"/>
  </w:num>
  <w:num w:numId="9">
    <w:abstractNumId w:val="22"/>
  </w:num>
  <w:num w:numId="10">
    <w:abstractNumId w:val="7"/>
  </w:num>
  <w:num w:numId="11">
    <w:abstractNumId w:val="8"/>
  </w:num>
  <w:num w:numId="12">
    <w:abstractNumId w:val="12"/>
  </w:num>
  <w:num w:numId="13">
    <w:abstractNumId w:val="21"/>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16"/>
  </w:num>
  <w:num w:numId="22">
    <w:abstractNumId w:val="18"/>
  </w:num>
  <w:num w:numId="23">
    <w:abstractNumId w:val="23"/>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2289B"/>
    <w:rsid w:val="000434F8"/>
    <w:rsid w:val="00071799"/>
    <w:rsid w:val="00084737"/>
    <w:rsid w:val="00094E85"/>
    <w:rsid w:val="000B445E"/>
    <w:rsid w:val="000D1D8D"/>
    <w:rsid w:val="000D2A8D"/>
    <w:rsid w:val="00107A22"/>
    <w:rsid w:val="00114196"/>
    <w:rsid w:val="00120EF0"/>
    <w:rsid w:val="00126928"/>
    <w:rsid w:val="00132886"/>
    <w:rsid w:val="00144EEA"/>
    <w:rsid w:val="00155F9E"/>
    <w:rsid w:val="0016128C"/>
    <w:rsid w:val="0017038B"/>
    <w:rsid w:val="001A756D"/>
    <w:rsid w:val="001C5A36"/>
    <w:rsid w:val="001D1F32"/>
    <w:rsid w:val="00205006"/>
    <w:rsid w:val="002166E6"/>
    <w:rsid w:val="00217610"/>
    <w:rsid w:val="002552C4"/>
    <w:rsid w:val="00257020"/>
    <w:rsid w:val="002775BA"/>
    <w:rsid w:val="002810B9"/>
    <w:rsid w:val="0029381D"/>
    <w:rsid w:val="0029559C"/>
    <w:rsid w:val="0029787A"/>
    <w:rsid w:val="002A5570"/>
    <w:rsid w:val="002B0F00"/>
    <w:rsid w:val="002B7831"/>
    <w:rsid w:val="002D45DA"/>
    <w:rsid w:val="002E4311"/>
    <w:rsid w:val="002F780D"/>
    <w:rsid w:val="00312F64"/>
    <w:rsid w:val="003344C9"/>
    <w:rsid w:val="003529C1"/>
    <w:rsid w:val="00356F79"/>
    <w:rsid w:val="00357B47"/>
    <w:rsid w:val="00360D4C"/>
    <w:rsid w:val="003614A8"/>
    <w:rsid w:val="00363649"/>
    <w:rsid w:val="00390DBE"/>
    <w:rsid w:val="0039458C"/>
    <w:rsid w:val="003A10DB"/>
    <w:rsid w:val="003B1524"/>
    <w:rsid w:val="003B2E12"/>
    <w:rsid w:val="003B36D6"/>
    <w:rsid w:val="003C0713"/>
    <w:rsid w:val="003D0299"/>
    <w:rsid w:val="003D1A5F"/>
    <w:rsid w:val="003E0D09"/>
    <w:rsid w:val="003E2FEB"/>
    <w:rsid w:val="003E539A"/>
    <w:rsid w:val="003F072F"/>
    <w:rsid w:val="004226A8"/>
    <w:rsid w:val="00430212"/>
    <w:rsid w:val="004649A3"/>
    <w:rsid w:val="00474507"/>
    <w:rsid w:val="004978F7"/>
    <w:rsid w:val="004B121E"/>
    <w:rsid w:val="004C118B"/>
    <w:rsid w:val="004C3609"/>
    <w:rsid w:val="004E5DEF"/>
    <w:rsid w:val="004F6110"/>
    <w:rsid w:val="005153CB"/>
    <w:rsid w:val="00522975"/>
    <w:rsid w:val="00526E14"/>
    <w:rsid w:val="00531E6A"/>
    <w:rsid w:val="005435FA"/>
    <w:rsid w:val="005561C4"/>
    <w:rsid w:val="00557420"/>
    <w:rsid w:val="005600DF"/>
    <w:rsid w:val="005726C4"/>
    <w:rsid w:val="00576E2A"/>
    <w:rsid w:val="00584EB7"/>
    <w:rsid w:val="0058622A"/>
    <w:rsid w:val="005A6C26"/>
    <w:rsid w:val="005B1E37"/>
    <w:rsid w:val="005E301C"/>
    <w:rsid w:val="005E3107"/>
    <w:rsid w:val="005F1560"/>
    <w:rsid w:val="00624322"/>
    <w:rsid w:val="00631813"/>
    <w:rsid w:val="00650254"/>
    <w:rsid w:val="00655507"/>
    <w:rsid w:val="00656FB5"/>
    <w:rsid w:val="00663C24"/>
    <w:rsid w:val="006672DB"/>
    <w:rsid w:val="006854E7"/>
    <w:rsid w:val="0068795C"/>
    <w:rsid w:val="006A4612"/>
    <w:rsid w:val="006E43EC"/>
    <w:rsid w:val="00700BE0"/>
    <w:rsid w:val="00733726"/>
    <w:rsid w:val="007749A0"/>
    <w:rsid w:val="0078568F"/>
    <w:rsid w:val="007948E7"/>
    <w:rsid w:val="007A2527"/>
    <w:rsid w:val="007A6E7E"/>
    <w:rsid w:val="007E3E14"/>
    <w:rsid w:val="007E6BBB"/>
    <w:rsid w:val="00801840"/>
    <w:rsid w:val="00804115"/>
    <w:rsid w:val="00810682"/>
    <w:rsid w:val="0081110A"/>
    <w:rsid w:val="008436F5"/>
    <w:rsid w:val="00844308"/>
    <w:rsid w:val="00856C90"/>
    <w:rsid w:val="00857C07"/>
    <w:rsid w:val="0088164B"/>
    <w:rsid w:val="008D1581"/>
    <w:rsid w:val="00913C48"/>
    <w:rsid w:val="00934F64"/>
    <w:rsid w:val="0095691C"/>
    <w:rsid w:val="00965B8E"/>
    <w:rsid w:val="00970809"/>
    <w:rsid w:val="00977885"/>
    <w:rsid w:val="00981304"/>
    <w:rsid w:val="00986F0F"/>
    <w:rsid w:val="00987071"/>
    <w:rsid w:val="009A48B2"/>
    <w:rsid w:val="009B12E9"/>
    <w:rsid w:val="009C0D45"/>
    <w:rsid w:val="009C17CB"/>
    <w:rsid w:val="009C6E9C"/>
    <w:rsid w:val="009E6379"/>
    <w:rsid w:val="009F06F8"/>
    <w:rsid w:val="00A22328"/>
    <w:rsid w:val="00A22D3C"/>
    <w:rsid w:val="00A3161D"/>
    <w:rsid w:val="00A47431"/>
    <w:rsid w:val="00A7646D"/>
    <w:rsid w:val="00A92921"/>
    <w:rsid w:val="00AC5E0D"/>
    <w:rsid w:val="00AD1DA1"/>
    <w:rsid w:val="00AD555D"/>
    <w:rsid w:val="00AE170C"/>
    <w:rsid w:val="00AE3809"/>
    <w:rsid w:val="00B0589A"/>
    <w:rsid w:val="00B1584A"/>
    <w:rsid w:val="00B45F80"/>
    <w:rsid w:val="00B67F36"/>
    <w:rsid w:val="00B869B5"/>
    <w:rsid w:val="00BA20EB"/>
    <w:rsid w:val="00BA67E7"/>
    <w:rsid w:val="00BD535E"/>
    <w:rsid w:val="00BF3C9D"/>
    <w:rsid w:val="00C041BC"/>
    <w:rsid w:val="00C22074"/>
    <w:rsid w:val="00C34EAF"/>
    <w:rsid w:val="00CB71E6"/>
    <w:rsid w:val="00CB7E3F"/>
    <w:rsid w:val="00CC7872"/>
    <w:rsid w:val="00CD1873"/>
    <w:rsid w:val="00D54863"/>
    <w:rsid w:val="00D67BA6"/>
    <w:rsid w:val="00D762C3"/>
    <w:rsid w:val="00D765DD"/>
    <w:rsid w:val="00D81067"/>
    <w:rsid w:val="00D85AF5"/>
    <w:rsid w:val="00D85D5B"/>
    <w:rsid w:val="00DC6E04"/>
    <w:rsid w:val="00DD29FB"/>
    <w:rsid w:val="00DE0C6A"/>
    <w:rsid w:val="00E061D7"/>
    <w:rsid w:val="00E10154"/>
    <w:rsid w:val="00E209C9"/>
    <w:rsid w:val="00E43826"/>
    <w:rsid w:val="00E465A8"/>
    <w:rsid w:val="00E95C8A"/>
    <w:rsid w:val="00E968FD"/>
    <w:rsid w:val="00EB0FEB"/>
    <w:rsid w:val="00EB6BE7"/>
    <w:rsid w:val="00EC58F1"/>
    <w:rsid w:val="00ED1938"/>
    <w:rsid w:val="00EE1769"/>
    <w:rsid w:val="00EE34B3"/>
    <w:rsid w:val="00EE6B52"/>
    <w:rsid w:val="00EF1112"/>
    <w:rsid w:val="00EF1FC8"/>
    <w:rsid w:val="00EF2138"/>
    <w:rsid w:val="00EF62E5"/>
    <w:rsid w:val="00F22065"/>
    <w:rsid w:val="00F55A96"/>
    <w:rsid w:val="00F6147B"/>
    <w:rsid w:val="00F64E60"/>
    <w:rsid w:val="00F730E6"/>
    <w:rsid w:val="00FC43F6"/>
    <w:rsid w:val="00FC574A"/>
    <w:rsid w:val="00FD0E41"/>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8357</TotalTime>
  <Pages>49</Pages>
  <Words>11019</Words>
  <Characters>62811</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56</cp:revision>
  <cp:lastPrinted>2015-04-21T11:16:00Z</cp:lastPrinted>
  <dcterms:created xsi:type="dcterms:W3CDTF">2015-03-03T18:02:00Z</dcterms:created>
  <dcterms:modified xsi:type="dcterms:W3CDTF">2015-04-26T16:18:00Z</dcterms:modified>
</cp:coreProperties>
</file>