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br/>
        <w:br/>
        <w:t>AI-Native Dental Implant Clinic Operating System</w:t>
      </w:r>
    </w:p>
    <w:p>
      <w:pPr>
        <w:jc w:val="center"/>
      </w:pPr>
      <w:r>
        <w:rPr>
          <w:rFonts w:ascii="Arial" w:hAnsi="Arial"/>
          <w:color w:val="595959"/>
          <w:sz w:val="30"/>
        </w:rPr>
        <w:t>Foundational White Paper and Strategic Plan</w:t>
      </w:r>
    </w:p>
    <w:p>
      <w:pPr>
        <w:jc w:val="center"/>
      </w:pPr>
      <w:r>
        <w:rPr>
          <w:color w:val="595959"/>
          <w:sz w:val="22"/>
        </w:rPr>
        <w:br/>
        <w:t>Version 0.1 | April 27, 2026</w:t>
      </w:r>
    </w:p>
    <w:p>
      <w:pPr>
        <w:jc w:val="center"/>
      </w:pPr>
      <w:r>
        <w:rPr>
          <w:i/>
          <w:sz w:val="22"/>
        </w:rPr>
        <w:br/>
        <w:t>Strategic doctrine for launching, operating, and scaling an AI-native dental implant clinic.</w:t>
      </w:r>
    </w:p>
    <w:p>
      <w:pPr>
        <w:pStyle w:val="Callout"/>
        <w:shd w:fill="EAF2F8"/>
      </w:pPr>
      <w:r>
        <w:rPr>
          <w:b/>
          <w:color w:val="1F4E79"/>
        </w:rPr>
        <w:t xml:space="preserve">Document role: </w:t>
      </w:r>
      <w:r>
        <w:t>This document is the top-level strategic operating doctrine for founders, clinical leadership, operations, product/engineering, compliance, and AI agents that will participate in future planning and execution.</w:t>
      </w:r>
    </w:p>
    <w:tbl>
      <w:tblPr>
        <w:tblStyle w:val="TableGrid"/>
        <w:tblW w:type="auto" w:w="0"/>
        <w:jc w:val="center"/>
        <w:tblLook w:firstColumn="1" w:firstRow="1" w:lastColumn="0" w:lastRow="0" w:noHBand="0" w:noVBand="1" w:val="04A0"/>
      </w:tblPr>
      <w:tblGrid>
        <w:gridCol w:w="4997"/>
        <w:gridCol w:w="4997"/>
      </w:tblGrid>
      <w:tr>
        <w:tc>
          <w:tcPr>
            <w:tcW w:type="dxa" w:w="2160"/>
            <w:shd w:fill="D9EAF7"/>
            <w:vAlign w:val="center"/>
          </w:tcPr>
          <w:p>
            <w:pPr>
              <w:spacing w:after="20"/>
            </w:pPr>
            <w:r/>
            <w:r>
              <w:rPr>
                <w:rFonts w:ascii="Arial" w:hAnsi="Arial" w:eastAsia="Arial"/>
                <w:b/>
                <w:color w:val="1F4E79"/>
                <w:sz w:val="16"/>
              </w:rPr>
              <w:t>Field</w:t>
            </w:r>
          </w:p>
        </w:tc>
        <w:tc>
          <w:tcPr>
            <w:tcW w:type="dxa" w:w="8352"/>
            <w:shd w:fill="D9EAF7"/>
            <w:vAlign w:val="center"/>
          </w:tcPr>
          <w:p>
            <w:pPr>
              <w:spacing w:after="20"/>
            </w:pPr>
            <w:r/>
            <w:r>
              <w:rPr>
                <w:rFonts w:ascii="Arial" w:hAnsi="Arial" w:eastAsia="Arial"/>
                <w:b/>
                <w:color w:val="1F4E79"/>
                <w:sz w:val="16"/>
              </w:rPr>
              <w:t>Value</w:t>
            </w:r>
          </w:p>
        </w:tc>
      </w:tr>
      <w:tr>
        <w:tc>
          <w:tcPr>
            <w:tcW w:type="dxa" w:w="2160"/>
            <w:vAlign w:val="top"/>
          </w:tcPr>
          <w:p>
            <w:pPr>
              <w:spacing w:after="20"/>
            </w:pPr>
            <w:r/>
            <w:r>
              <w:rPr>
                <w:rFonts w:ascii="Arial" w:hAnsi="Arial" w:eastAsia="Arial"/>
                <w:b w:val="0"/>
                <w:sz w:val="16"/>
              </w:rPr>
              <w:t>Document status</w:t>
            </w:r>
          </w:p>
        </w:tc>
        <w:tc>
          <w:tcPr>
            <w:tcW w:type="dxa" w:w="8352"/>
            <w:vAlign w:val="top"/>
          </w:tcPr>
          <w:p>
            <w:pPr>
              <w:spacing w:after="20"/>
            </w:pPr>
            <w:r/>
            <w:r>
              <w:rPr>
                <w:rFonts w:ascii="Arial" w:hAnsi="Arial" w:eastAsia="Arial"/>
                <w:b w:val="0"/>
                <w:sz w:val="16"/>
              </w:rPr>
              <w:t>Strategic draft v0.1 for internal planning and implementation.</w:t>
            </w:r>
          </w:p>
        </w:tc>
      </w:tr>
      <w:tr>
        <w:tc>
          <w:tcPr>
            <w:tcW w:type="dxa" w:w="2160"/>
            <w:vAlign w:val="top"/>
          </w:tcPr>
          <w:p>
            <w:pPr>
              <w:spacing w:after="20"/>
            </w:pPr>
            <w:r/>
            <w:r>
              <w:rPr>
                <w:rFonts w:ascii="Arial" w:hAnsi="Arial" w:eastAsia="Arial"/>
                <w:b w:val="0"/>
                <w:sz w:val="16"/>
              </w:rPr>
              <w:t>Primary audience</w:t>
            </w:r>
          </w:p>
        </w:tc>
        <w:tc>
          <w:tcPr>
            <w:tcW w:type="dxa" w:w="8352"/>
            <w:vAlign w:val="top"/>
          </w:tcPr>
          <w:p>
            <w:pPr>
              <w:spacing w:after="20"/>
            </w:pPr>
            <w:r/>
            <w:r>
              <w:rPr>
                <w:rFonts w:ascii="Arial" w:hAnsi="Arial" w:eastAsia="Arial"/>
                <w:b w:val="0"/>
                <w:sz w:val="16"/>
              </w:rPr>
              <w:t>Founders, dental/clinical leadership, growth team, clinic operations, product/engineering, compliance, and AI agents.</w:t>
            </w:r>
          </w:p>
        </w:tc>
      </w:tr>
      <w:tr>
        <w:tc>
          <w:tcPr>
            <w:tcW w:type="dxa" w:w="2160"/>
            <w:vAlign w:val="top"/>
          </w:tcPr>
          <w:p>
            <w:pPr>
              <w:spacing w:after="20"/>
            </w:pPr>
            <w:r/>
            <w:r>
              <w:rPr>
                <w:rFonts w:ascii="Arial" w:hAnsi="Arial" w:eastAsia="Arial"/>
                <w:b w:val="0"/>
                <w:sz w:val="16"/>
              </w:rPr>
              <w:t>Core thesis</w:t>
            </w:r>
          </w:p>
        </w:tc>
        <w:tc>
          <w:tcPr>
            <w:tcW w:type="dxa" w:w="8352"/>
            <w:vAlign w:val="top"/>
          </w:tcPr>
          <w:p>
            <w:pPr>
              <w:spacing w:after="20"/>
            </w:pPr>
            <w:r/>
            <w:r>
              <w:rPr>
                <w:rFonts w:ascii="Arial" w:hAnsi="Arial" w:eastAsia="Arial"/>
                <w:b w:val="0"/>
                <w:sz w:val="16"/>
              </w:rPr>
              <w:t>Build the clinic as an AI-native operating system, not as a traditional dental office with AI tools added later.</w:t>
            </w:r>
          </w:p>
        </w:tc>
      </w:tr>
      <w:tr>
        <w:tc>
          <w:tcPr>
            <w:tcW w:type="dxa" w:w="2160"/>
            <w:vAlign w:val="top"/>
          </w:tcPr>
          <w:p>
            <w:pPr>
              <w:spacing w:after="20"/>
            </w:pPr>
            <w:r/>
            <w:r>
              <w:rPr>
                <w:rFonts w:ascii="Arial" w:hAnsi="Arial" w:eastAsia="Arial"/>
                <w:b w:val="0"/>
                <w:sz w:val="16"/>
              </w:rPr>
              <w:t>Regulatory posture</w:t>
            </w:r>
          </w:p>
        </w:tc>
        <w:tc>
          <w:tcPr>
            <w:tcW w:type="dxa" w:w="8352"/>
            <w:vAlign w:val="top"/>
          </w:tcPr>
          <w:p>
            <w:pPr>
              <w:spacing w:after="20"/>
            </w:pPr>
            <w:r/>
            <w:r>
              <w:rPr>
                <w:rFonts w:ascii="Arial" w:hAnsi="Arial" w:eastAsia="Arial"/>
                <w:b w:val="0"/>
                <w:sz w:val="16"/>
              </w:rPr>
              <w:t>Compliance-by-design. This document is not legal, medical, or regulatory advice; final implementation must be reviewed by qualified counsel, licensed clinicians, and jurisdiction-specific compliance advisors.</w:t>
            </w:r>
          </w:p>
        </w:tc>
      </w:tr>
      <w:tr>
        <w:tc>
          <w:tcPr>
            <w:tcW w:type="dxa" w:w="2160"/>
            <w:vAlign w:val="top"/>
          </w:tcPr>
          <w:p>
            <w:pPr>
              <w:spacing w:after="20"/>
            </w:pPr>
            <w:r/>
            <w:r>
              <w:rPr>
                <w:rFonts w:ascii="Arial" w:hAnsi="Arial" w:eastAsia="Arial"/>
                <w:b w:val="0"/>
                <w:sz w:val="16"/>
              </w:rPr>
              <w:t>Vendor assumption</w:t>
            </w:r>
          </w:p>
        </w:tc>
        <w:tc>
          <w:tcPr>
            <w:tcW w:type="dxa" w:w="8352"/>
            <w:vAlign w:val="top"/>
          </w:tcPr>
          <w:p>
            <w:pPr>
              <w:spacing w:after="20"/>
            </w:pPr>
            <w:r/>
            <w:r>
              <w:rPr>
                <w:rFonts w:ascii="Arial" w:hAnsi="Arial" w:eastAsia="Arial"/>
                <w:b w:val="0"/>
                <w:sz w:val="16"/>
              </w:rPr>
              <w:t>Google BAA and OpenAI API BAA are already executed. Anthropic/Claude Code or Claude API BAA is planned/pending final execution and approved configuration.</w:t>
            </w:r>
          </w:p>
        </w:tc>
      </w:tr>
      <w:tr>
        <w:tc>
          <w:tcPr>
            <w:tcW w:type="dxa" w:w="2160"/>
            <w:vAlign w:val="top"/>
          </w:tcPr>
          <w:p>
            <w:pPr>
              <w:spacing w:after="20"/>
            </w:pPr>
            <w:r/>
            <w:r>
              <w:rPr>
                <w:rFonts w:ascii="Arial" w:hAnsi="Arial" w:eastAsia="Arial"/>
                <w:b w:val="0"/>
                <w:sz w:val="16"/>
              </w:rPr>
              <w:t>Source foundation</w:t>
            </w:r>
          </w:p>
        </w:tc>
        <w:tc>
          <w:tcPr>
            <w:tcW w:type="dxa" w:w="8352"/>
            <w:vAlign w:val="top"/>
          </w:tcPr>
          <w:p>
            <w:pPr>
              <w:spacing w:after="20"/>
            </w:pPr>
            <w:r/>
            <w:r>
              <w:rPr>
                <w:rFonts w:ascii="Arial" w:hAnsi="Arial" w:eastAsia="Arial"/>
                <w:b w:val="0"/>
                <w:sz w:val="16"/>
              </w:rPr>
              <w:t>Founder-provided AI-native company transcript and subsequent founder guidance for the dental implant clinic operating model.</w:t>
            </w:r>
          </w:p>
        </w:tc>
      </w:tr>
    </w:tbl>
    <w:p>
      <w:pPr>
        <w:pStyle w:val="Small"/>
      </w:pPr>
    </w:p>
    <w:p>
      <w:r>
        <w:br w:type="page"/>
      </w:r>
    </w:p>
    <w:p>
      <w:pPr>
        <w:pStyle w:val="Heading1"/>
      </w:pPr>
      <w:r>
        <w:t>Machine-Readable Operating Brief for AI Agents</w:t>
      </w:r>
    </w:p>
    <w:p>
      <w:pPr/>
      <w:r>
        <w:t>AI agents that ingest this document should treat it as a high-level operating doctrine and strategic policy source. It is not a substitute for signed contracts, laws, clinical judgment, patient consent, detailed SOPs, or system-specific access policies. When this document conflicts with law, safety, privacy, signed agreements, or approved clinical SOPs, the stricter and more specific rule controls.</w:t>
      </w:r>
    </w:p>
    <w:p>
      <w:pPr>
        <w:pStyle w:val="CodeBlock"/>
        <w:shd w:fill="F2F2F2"/>
      </w:pPr>
      <w:r>
        <w:rPr>
          <w:rFonts w:ascii="Courier New" w:hAnsi="Courier New" w:eastAsia="Courier New"/>
          <w:sz w:val="16"/>
        </w:rPr>
        <w:t>document_role: top_level_operating_doctrine</w:t>
      </w:r>
      <w:r>
        <w:br/>
      </w:r>
      <w:r>
        <w:rPr>
          <w:rFonts w:ascii="Courier New" w:hAnsi="Courier New" w:eastAsia="Courier New"/>
          <w:sz w:val="16"/>
        </w:rPr>
        <w:t>version: 0.1</w:t>
      </w:r>
      <w:r>
        <w:br/>
      </w:r>
      <w:r>
        <w:rPr>
          <w:rFonts w:ascii="Courier New" w:hAnsi="Courier New" w:eastAsia="Courier New"/>
          <w:sz w:val="16"/>
        </w:rPr>
        <w:t>date: 2026-04-27</w:t>
      </w:r>
      <w:r>
        <w:br/>
      </w:r>
      <w:r>
        <w:rPr>
          <w:rFonts w:ascii="Courier New" w:hAnsi="Courier New" w:eastAsia="Courier New"/>
          <w:sz w:val="16"/>
        </w:rPr>
        <w:t>organization_type: ai_native_dental_implant_clinic</w:t>
      </w:r>
      <w:r>
        <w:br/>
      </w:r>
      <w:r>
        <w:rPr>
          <w:rFonts w:ascii="Courier New" w:hAnsi="Courier New" w:eastAsia="Courier New"/>
          <w:sz w:val="16"/>
        </w:rPr>
        <w:t>canonical_mission: build_and_operate_a_self_improving_clinic_os</w:t>
      </w:r>
      <w:r>
        <w:br/>
      </w:r>
      <w:r>
        <w:rPr>
          <w:rFonts w:ascii="Courier New" w:hAnsi="Courier New" w:eastAsia="Courier New"/>
          <w:sz w:val="16"/>
        </w:rPr>
        <w:t>core_domains:</w:t>
      </w:r>
      <w:r>
        <w:br/>
      </w:r>
      <w:r>
        <w:rPr>
          <w:rFonts w:ascii="Courier New" w:hAnsi="Courier New" w:eastAsia="Courier New"/>
          <w:sz w:val="16"/>
        </w:rPr>
        <w:t xml:space="preserve">  - growth_marketing_sales_patient_acquisition</w:t>
      </w:r>
      <w:r>
        <w:br/>
      </w:r>
      <w:r>
        <w:rPr>
          <w:rFonts w:ascii="Courier New" w:hAnsi="Courier New" w:eastAsia="Courier New"/>
          <w:sz w:val="16"/>
        </w:rPr>
        <w:t xml:space="preserve">  - medical_clinical_operations_clinic_management</w:t>
      </w:r>
      <w:r>
        <w:br/>
      </w:r>
      <w:r>
        <w:rPr>
          <w:rFonts w:ascii="Courier New" w:hAnsi="Courier New" w:eastAsia="Courier New"/>
          <w:sz w:val="16"/>
        </w:rPr>
        <w:t>control_model: closed_loop_by_default</w:t>
      </w:r>
      <w:r>
        <w:br/>
      </w:r>
      <w:r>
        <w:rPr>
          <w:rFonts w:ascii="Courier New" w:hAnsi="Courier New" w:eastAsia="Courier New"/>
          <w:sz w:val="16"/>
        </w:rPr>
        <w:t>agent_interpretation_rules:</w:t>
      </w:r>
      <w:r>
        <w:br/>
      </w:r>
      <w:r>
        <w:rPr>
          <w:rFonts w:ascii="Courier New" w:hAnsi="Courier New" w:eastAsia="Courier New"/>
          <w:sz w:val="16"/>
        </w:rPr>
        <w:t xml:space="preserve">  - classify_data_before_processing</w:t>
      </w:r>
      <w:r>
        <w:br/>
      </w:r>
      <w:r>
        <w:rPr>
          <w:rFonts w:ascii="Courier New" w:hAnsi="Courier New" w:eastAsia="Courier New"/>
          <w:sz w:val="16"/>
        </w:rPr>
        <w:t xml:space="preserve">  - use_minimum_necessary_context</w:t>
      </w:r>
      <w:r>
        <w:br/>
      </w:r>
      <w:r>
        <w:rPr>
          <w:rFonts w:ascii="Courier New" w:hAnsi="Courier New" w:eastAsia="Courier New"/>
          <w:sz w:val="16"/>
        </w:rPr>
        <w:t xml:space="preserve">  - operate_only_within_approved_tools_and_permissions</w:t>
      </w:r>
      <w:r>
        <w:br/>
      </w:r>
      <w:r>
        <w:rPr>
          <w:rFonts w:ascii="Courier New" w:hAnsi="Courier New" w:eastAsia="Courier New"/>
          <w:sz w:val="16"/>
        </w:rPr>
        <w:t xml:space="preserve">  - never_autonomously_diagnose_or_change_treatment</w:t>
      </w:r>
      <w:r>
        <w:br/>
      </w:r>
      <w:r>
        <w:rPr>
          <w:rFonts w:ascii="Courier New" w:hAnsi="Courier New" w:eastAsia="Courier New"/>
          <w:sz w:val="16"/>
        </w:rPr>
        <w:t xml:space="preserve">  - never_disclose_phi_to_unapproved_systems_or_channels</w:t>
      </w:r>
      <w:r>
        <w:br/>
      </w:r>
      <w:r>
        <w:rPr>
          <w:rFonts w:ascii="Courier New" w:hAnsi="Courier New" w:eastAsia="Courier New"/>
          <w:sz w:val="16"/>
        </w:rPr>
        <w:t xml:space="preserve">  - escalate_uncertainty_in_clinical_security_privacy_or_financial_risk</w:t>
      </w:r>
      <w:r>
        <w:br/>
      </w:r>
      <w:r>
        <w:rPr>
          <w:rFonts w:ascii="Courier New" w:hAnsi="Courier New" w:eastAsia="Courier New"/>
          <w:sz w:val="16"/>
        </w:rPr>
        <w:t xml:space="preserve">  - log_inputs_outputs_actions_sources_model_version_and_human_approvals</w:t>
      </w:r>
      <w:r>
        <w:br/>
      </w:r>
      <w:r>
        <w:rPr>
          <w:rFonts w:ascii="Courier New" w:hAnsi="Courier New" w:eastAsia="Courier New"/>
          <w:sz w:val="16"/>
        </w:rPr>
        <w:t>active_vendor_assumptions:</w:t>
      </w:r>
      <w:r>
        <w:br/>
      </w:r>
      <w:r>
        <w:rPr>
          <w:rFonts w:ascii="Courier New" w:hAnsi="Courier New" w:eastAsia="Courier New"/>
          <w:sz w:val="16"/>
        </w:rPr>
        <w:t xml:space="preserve">  google_baa: executed</w:t>
      </w:r>
      <w:r>
        <w:br/>
      </w:r>
      <w:r>
        <w:rPr>
          <w:rFonts w:ascii="Courier New" w:hAnsi="Courier New" w:eastAsia="Courier New"/>
          <w:sz w:val="16"/>
        </w:rPr>
        <w:t xml:space="preserve">  openai_api_baa: executed</w:t>
      </w:r>
      <w:r>
        <w:br/>
      </w:r>
      <w:r>
        <w:rPr>
          <w:rFonts w:ascii="Courier New" w:hAnsi="Courier New" w:eastAsia="Courier New"/>
          <w:sz w:val="16"/>
        </w:rPr>
        <w:t xml:space="preserve">  anthropic_claude_code_or_api_baa: planned_pending</w:t>
      </w:r>
      <w:r>
        <w:br/>
      </w:r>
      <w:r>
        <w:rPr>
          <w:rFonts w:ascii="Courier New" w:hAnsi="Courier New" w:eastAsia="Courier New"/>
          <w:sz w:val="16"/>
        </w:rPr>
        <w:t>non_negotiables:</w:t>
      </w:r>
      <w:r>
        <w:br/>
      </w:r>
      <w:r>
        <w:rPr>
          <w:rFonts w:ascii="Courier New" w:hAnsi="Courier New" w:eastAsia="Courier New"/>
          <w:sz w:val="16"/>
        </w:rPr>
        <w:t xml:space="preserve">  - patient_safety</w:t>
      </w:r>
      <w:r>
        <w:br/>
      </w:r>
      <w:r>
        <w:rPr>
          <w:rFonts w:ascii="Courier New" w:hAnsi="Courier New" w:eastAsia="Courier New"/>
          <w:sz w:val="16"/>
        </w:rPr>
        <w:t xml:space="preserve">  - hipaa_phi_security</w:t>
      </w:r>
      <w:r>
        <w:br/>
      </w:r>
      <w:r>
        <w:rPr>
          <w:rFonts w:ascii="Courier New" w:hAnsi="Courier New" w:eastAsia="Courier New"/>
          <w:sz w:val="16"/>
        </w:rPr>
        <w:t xml:space="preserve">  - human_clinician_final_authority</w:t>
      </w:r>
      <w:r>
        <w:br/>
      </w:r>
      <w:r>
        <w:rPr>
          <w:rFonts w:ascii="Courier New" w:hAnsi="Courier New" w:eastAsia="Courier New"/>
          <w:sz w:val="16"/>
        </w:rPr>
        <w:t xml:space="preserve">  - auditability</w:t>
      </w:r>
      <w:r>
        <w:br/>
      </w:r>
      <w:r>
        <w:rPr>
          <w:rFonts w:ascii="Courier New" w:hAnsi="Courier New" w:eastAsia="Courier New"/>
          <w:sz w:val="16"/>
        </w:rPr>
        <w:t xml:space="preserve">  - role_based_access</w:t>
      </w:r>
      <w:r>
        <w:br/>
      </w:r>
      <w:r>
        <w:rPr>
          <w:rFonts w:ascii="Courier New" w:hAnsi="Courier New" w:eastAsia="Courier New"/>
          <w:sz w:val="16"/>
        </w:rPr>
        <w:t xml:space="preserve">  - vendor_feature_eligibility_check_before_phi_use</w:t>
      </w:r>
      <w:r>
        <w:br/>
      </w:r>
    </w:p>
    <w:p>
      <w:pPr>
        <w:pStyle w:val="Callout"/>
        <w:shd w:fill="FFF2CC"/>
      </w:pPr>
      <w:r>
        <w:rPr>
          <w:b/>
          <w:color w:val="1F4E79"/>
        </w:rPr>
        <w:t xml:space="preserve">Normative language: </w:t>
      </w:r>
      <w:r>
        <w:t>In this document, MUST and MUST NOT define mandatory policy. SHOULD defines a strong default unless a DRI documents a justified exception. MAY defines an optional implementation pattern.</w:t>
      </w:r>
    </w:p>
    <w:p>
      <w:r>
        <w:br w:type="page"/>
      </w:r>
    </w:p>
    <w:p>
      <w:pPr>
        <w:pStyle w:val="Heading1"/>
      </w:pPr>
      <w:r>
        <w:t>Table of Contents</w:t>
      </w:r>
    </w:p>
    <w:p>
      <w:pPr>
        <w:pStyle w:val="ListBullet"/>
        <w:ind w:left="317"/>
      </w:pPr>
      <w:r>
        <w:t>1. Executive Summary</w:t>
      </w:r>
    </w:p>
    <w:p>
      <w:pPr>
        <w:pStyle w:val="ListBullet"/>
        <w:ind w:left="317"/>
      </w:pPr>
      <w:r>
        <w:t>2. Strategic Thesis</w:t>
      </w:r>
    </w:p>
    <w:p>
      <w:pPr>
        <w:pStyle w:val="ListBullet"/>
        <w:ind w:left="317"/>
      </w:pPr>
      <w:r>
        <w:t>3. Two-Layer Company Model</w:t>
      </w:r>
    </w:p>
    <w:p>
      <w:pPr>
        <w:pStyle w:val="ListBullet"/>
        <w:ind w:left="317"/>
      </w:pPr>
      <w:r>
        <w:t>4. Design Principles</w:t>
      </w:r>
    </w:p>
    <w:p>
      <w:pPr>
        <w:pStyle w:val="ListBullet"/>
        <w:ind w:left="317"/>
      </w:pPr>
      <w:r>
        <w:t>5. Closed-Loop Operating Model</w:t>
      </w:r>
    </w:p>
    <w:p>
      <w:pPr>
        <w:pStyle w:val="ListBullet"/>
        <w:ind w:left="317"/>
      </w:pPr>
      <w:r>
        <w:t>6. Data Architecture and Governance</w:t>
      </w:r>
    </w:p>
    <w:p>
      <w:pPr>
        <w:pStyle w:val="ListBullet"/>
        <w:ind w:left="317"/>
      </w:pPr>
      <w:r>
        <w:t>7. Vendor and BAA Strategy</w:t>
      </w:r>
    </w:p>
    <w:p>
      <w:pPr>
        <w:pStyle w:val="ListBullet"/>
        <w:ind w:left="317"/>
      </w:pPr>
      <w:r>
        <w:t>8. AI Agent Operating Charter</w:t>
      </w:r>
    </w:p>
    <w:p>
      <w:pPr>
        <w:pStyle w:val="ListBullet"/>
        <w:ind w:left="317"/>
      </w:pPr>
      <w:r>
        <w:t>9. AI Agent Architecture</w:t>
      </w:r>
    </w:p>
    <w:p>
      <w:pPr>
        <w:pStyle w:val="ListBullet"/>
        <w:ind w:left="317"/>
      </w:pPr>
      <w:r>
        <w:t>10. Human Operating Model and DRIs</w:t>
      </w:r>
    </w:p>
    <w:p>
      <w:pPr>
        <w:pStyle w:val="ListBullet"/>
        <w:ind w:left="317"/>
      </w:pPr>
      <w:r>
        <w:t>11. AI-Native Software Factory</w:t>
      </w:r>
    </w:p>
    <w:p>
      <w:pPr>
        <w:pStyle w:val="ListBullet"/>
        <w:ind w:left="317"/>
      </w:pPr>
      <w:r>
        <w:t>12. Dashboards, Metrics, and Queryable Management</w:t>
      </w:r>
    </w:p>
    <w:p>
      <w:pPr>
        <w:pStyle w:val="ListBullet"/>
        <w:ind w:left="317"/>
      </w:pPr>
      <w:r>
        <w:t>13. Operating Cadence</w:t>
      </w:r>
    </w:p>
    <w:p>
      <w:pPr>
        <w:pStyle w:val="ListBullet"/>
        <w:ind w:left="317"/>
      </w:pPr>
      <w:r>
        <w:t>14. Compliance, Privacy, and Clinical Safety Framework</w:t>
      </w:r>
    </w:p>
    <w:p>
      <w:pPr>
        <w:pStyle w:val="ListBullet"/>
        <w:ind w:left="317"/>
      </w:pPr>
      <w:r>
        <w:t>15. Implementation Roadmap</w:t>
      </w:r>
    </w:p>
    <w:p>
      <w:pPr>
        <w:pStyle w:val="ListBullet"/>
        <w:ind w:left="317"/>
      </w:pPr>
      <w:r>
        <w:t>16. 30/60/90-Day Launch Plan</w:t>
      </w:r>
    </w:p>
    <w:p>
      <w:pPr>
        <w:pStyle w:val="ListBullet"/>
        <w:ind w:left="317"/>
      </w:pPr>
      <w:r>
        <w:t>17. Risk Register and Mitigations</w:t>
      </w:r>
    </w:p>
    <w:p>
      <w:pPr>
        <w:pStyle w:val="ListBullet"/>
        <w:ind w:left="317"/>
      </w:pPr>
      <w:r>
        <w:t>18. Required Next Documents and Artifacts</w:t>
      </w:r>
    </w:p>
    <w:p>
      <w:pPr>
        <w:pStyle w:val="ListBullet"/>
        <w:ind w:left="317"/>
      </w:pPr>
      <w:r>
        <w:t>19. Open Questions</w:t>
      </w:r>
    </w:p>
    <w:p>
      <w:pPr>
        <w:pStyle w:val="ListBullet"/>
        <w:ind w:left="317"/>
      </w:pPr>
      <w:r>
        <w:t>20. Closing Doctrine</w:t>
      </w:r>
    </w:p>
    <w:p>
      <w:pPr>
        <w:pStyle w:val="ListBullet"/>
        <w:ind w:left="317"/>
      </w:pPr>
      <w:r>
        <w:t>Appendices: Agent Prompt, Agent Spec Template, Event Taxonomy, Escalation Matrix, References, Glossary</w:t>
      </w:r>
    </w:p>
    <w:p>
      <w:r>
        <w:br w:type="page"/>
      </w:r>
    </w:p>
    <w:p>
      <w:pPr>
        <w:pStyle w:val="Heading1"/>
      </w:pPr>
      <w:r>
        <w:t>1. Executive Summary</w:t>
      </w:r>
    </w:p>
    <w:p>
      <w:pPr/>
      <w:r>
        <w:t>This white paper defines the strategic foundation for launching a new AI-native dental implant clinic. The clinic should not be built as a conventional dental practice with AI tools attached later. It should be designed from day one as a self-improving operating system: a Dental Implant Clinic OS where patient acquisition, patient experience, clinical operations, surgery readiness, post-op monitoring, compliance, finance, and management are connected through closed data loops.</w:t>
      </w:r>
    </w:p>
    <w:p>
      <w:pPr/>
      <w:r>
        <w:t>The central strategic move is to treat AI as the operating system of the company. Every important workflow should produce structured artifacts. Every meaningful event should be captured. Every result should feed back into the system. Every AI agent should operate with explicit permissions, data boundaries, audit logs, and human review rules. Every human role should be designed around outcomes, not information routing.</w:t>
      </w:r>
    </w:p>
    <w:p>
      <w:pPr/>
      <w:r>
        <w:t>The company has two major layers:</w:t>
      </w:r>
    </w:p>
    <w:p>
      <w:pPr>
        <w:pStyle w:val="ListBullet"/>
        <w:ind w:left="317"/>
      </w:pPr>
      <w:r>
        <w:t>Layer 1 - Growth, marketing, sales, lead generation, patient acquisition, and patient-facing commercial operations.</w:t>
      </w:r>
    </w:p>
    <w:p>
      <w:pPr>
        <w:pStyle w:val="ListBullet"/>
        <w:ind w:left="317"/>
      </w:pPr>
      <w:r>
        <w:t>Layer 2 - Medical, clinical operations, surgical workflows, quality, compliance, finance, staffing, and internal clinic management.</w:t>
      </w:r>
    </w:p>
    <w:p>
      <w:pPr/>
      <w:r>
        <w:t>These layers must be separated for privacy and safety, but connected through a controlled event layer. The medical domain contains protected health information and clinical records. The growth domain contains campaigns, lead sources, call transcripts, objections, appointment status, reviews, referrals, and revenue attribution. The shared event layer connects the two with minimum necessary, de-identified, or aggregated data where possible.</w:t>
      </w:r>
    </w:p>
    <w:p>
      <w:pPr/>
      <w:r>
        <w:t>The desired outcome is a clinic that can answer operational and strategic questions in near real time: which campaigns produce accepted implant cases, which objections block treatment acceptance, which patients are at no-show risk, which charts are incomplete, which surgeries are not ready, which post-op patients require escalation, and where the clinic is losing time, money, or quality.</w:t>
      </w:r>
    </w:p>
    <w:p>
      <w:pPr>
        <w:pStyle w:val="Callout"/>
        <w:shd w:fill="EAF2F8"/>
      </w:pPr>
      <w:r>
        <w:rPr>
          <w:b/>
          <w:color w:val="1F4E79"/>
        </w:rPr>
        <w:t xml:space="preserve">Core doctrine: </w:t>
      </w:r>
      <w:r>
        <w:t>Do not copy the old dental office model. Build the clinic as an AI-native company from day one: closed loops, queryable operations, artifact-rich work, human clinical authority, and AI agents embedded into every safe and compliant workflow.</w:t>
      </w:r>
    </w:p>
    <w:p>
      <w:pPr>
        <w:pStyle w:val="Heading1"/>
      </w:pPr>
      <w:r>
        <w:t>2. Strategic Thesis</w:t>
      </w:r>
    </w:p>
    <w:p>
      <w:pPr>
        <w:pStyle w:val="Heading2"/>
      </w:pPr>
      <w:r>
        <w:t>2.1 AI is not a productivity layer; it is a capability layer</w:t>
      </w:r>
    </w:p>
    <w:p>
      <w:pPr/>
      <w:r>
        <w:t>Traditional AI adoption asks how to make existing employees faster. AI-native company building asks a different question: what can one capable person now do with a system of agents that previously required a team, a department, or an impossible level of coordination?</w:t>
      </w:r>
    </w:p>
    <w:p>
      <w:pPr/>
      <w:r>
        <w:t>For a dental implant clinic, this means AI is not merely a chatbot, call summarizer, marketing helper, or documentation assistant. AI becomes the connective tissue between the market, patient demand, clinical readiness, surgical execution, compliance, and management. The operating model should be designed around new capabilities, not incremental efficiency.</w:t>
      </w:r>
    </w:p>
    <w:p>
      <w:pPr>
        <w:pStyle w:val="Heading2"/>
      </w:pPr>
      <w:r>
        <w:t>2.2 The clinic as a closed-loop system</w:t>
      </w:r>
    </w:p>
    <w:p>
      <w:pPr/>
      <w:r>
        <w:t>A conventional clinic often runs as an open loop: leads come in, calls happen, consultations happen, surgeries happen, reviews happen, and management receives partial reports later. Information is fragmented across systems and interpreted manually. Mistakes repeat because the system does not systematically learn.</w:t>
      </w:r>
    </w:p>
    <w:p>
      <w:pPr/>
      <w:r>
        <w:t>An AI-native clinic runs as a closed loop. Each workflow captures inputs, actions, decisions, outcomes, and feedback. The next cycle improves because the system learns from what happened. Closed loops should exist across growth, consultation, clinical intake, surgery, post-op, operations, quality, finance, and AI system performance.</w:t>
      </w:r>
    </w:p>
    <w:tbl>
      <w:tblPr>
        <w:tblStyle w:val="TableGrid"/>
        <w:tblW w:type="auto" w:w="0"/>
        <w:jc w:val="center"/>
        <w:tblLook w:firstColumn="1" w:firstRow="1" w:lastColumn="0" w:lastRow="0" w:noHBand="0" w:noVBand="1" w:val="04A0"/>
      </w:tblPr>
      <w:tblGrid>
        <w:gridCol w:w="4997"/>
        <w:gridCol w:w="4997"/>
      </w:tblGrid>
      <w:tr>
        <w:tc>
          <w:tcPr>
            <w:tcW w:type="dxa" w:w="4608"/>
            <w:shd w:fill="D9EAF7"/>
            <w:vAlign w:val="center"/>
          </w:tcPr>
          <w:p>
            <w:pPr>
              <w:spacing w:after="20"/>
            </w:pPr>
            <w:r/>
            <w:r>
              <w:rPr>
                <w:rFonts w:ascii="Arial" w:hAnsi="Arial" w:eastAsia="Arial"/>
                <w:b/>
                <w:color w:val="1F4E79"/>
                <w:sz w:val="16"/>
              </w:rPr>
              <w:t>Old model</w:t>
            </w:r>
          </w:p>
        </w:tc>
        <w:tc>
          <w:tcPr>
            <w:tcW w:type="dxa" w:w="5904"/>
            <w:shd w:fill="D9EAF7"/>
            <w:vAlign w:val="center"/>
          </w:tcPr>
          <w:p>
            <w:pPr>
              <w:spacing w:after="20"/>
            </w:pPr>
            <w:r/>
            <w:r>
              <w:rPr>
                <w:rFonts w:ascii="Arial" w:hAnsi="Arial" w:eastAsia="Arial"/>
                <w:b/>
                <w:color w:val="1F4E79"/>
                <w:sz w:val="16"/>
              </w:rPr>
              <w:t>AI-native model</w:t>
            </w:r>
          </w:p>
        </w:tc>
      </w:tr>
      <w:tr>
        <w:tc>
          <w:tcPr>
            <w:tcW w:type="dxa" w:w="4608"/>
            <w:vAlign w:val="top"/>
          </w:tcPr>
          <w:p>
            <w:pPr>
              <w:spacing w:after="20"/>
            </w:pPr>
            <w:r/>
            <w:r>
              <w:rPr>
                <w:rFonts w:ascii="Arial" w:hAnsi="Arial" w:eastAsia="Arial"/>
                <w:b w:val="0"/>
                <w:sz w:val="16"/>
              </w:rPr>
              <w:t>Departments work in silos.</w:t>
            </w:r>
          </w:p>
        </w:tc>
        <w:tc>
          <w:tcPr>
            <w:tcW w:type="dxa" w:w="5904"/>
            <w:vAlign w:val="top"/>
          </w:tcPr>
          <w:p>
            <w:pPr>
              <w:spacing w:after="20"/>
            </w:pPr>
            <w:r/>
            <w:r>
              <w:rPr>
                <w:rFonts w:ascii="Arial" w:hAnsi="Arial" w:eastAsia="Arial"/>
                <w:b w:val="0"/>
                <w:sz w:val="16"/>
              </w:rPr>
              <w:t>Domains are separated for safety but connected through a controlled event layer.</w:t>
            </w:r>
          </w:p>
        </w:tc>
      </w:tr>
      <w:tr>
        <w:tc>
          <w:tcPr>
            <w:tcW w:type="dxa" w:w="4608"/>
            <w:vAlign w:val="top"/>
          </w:tcPr>
          <w:p>
            <w:pPr>
              <w:spacing w:after="20"/>
            </w:pPr>
            <w:r/>
            <w:r>
              <w:rPr>
                <w:rFonts w:ascii="Arial" w:hAnsi="Arial" w:eastAsia="Arial"/>
                <w:b w:val="0"/>
                <w:sz w:val="16"/>
              </w:rPr>
              <w:t>Reports are created manually after the fact.</w:t>
            </w:r>
          </w:p>
        </w:tc>
        <w:tc>
          <w:tcPr>
            <w:tcW w:type="dxa" w:w="5904"/>
            <w:vAlign w:val="top"/>
          </w:tcPr>
          <w:p>
            <w:pPr>
              <w:spacing w:after="20"/>
            </w:pPr>
            <w:r/>
            <w:r>
              <w:rPr>
                <w:rFonts w:ascii="Arial" w:hAnsi="Arial" w:eastAsia="Arial"/>
                <w:b w:val="0"/>
                <w:sz w:val="16"/>
              </w:rPr>
              <w:t>Dashboards and agents maintain current operational state.</w:t>
            </w:r>
          </w:p>
        </w:tc>
      </w:tr>
      <w:tr>
        <w:tc>
          <w:tcPr>
            <w:tcW w:type="dxa" w:w="4608"/>
            <w:vAlign w:val="top"/>
          </w:tcPr>
          <w:p>
            <w:pPr>
              <w:spacing w:after="20"/>
            </w:pPr>
            <w:r/>
            <w:r>
              <w:rPr>
                <w:rFonts w:ascii="Arial" w:hAnsi="Arial" w:eastAsia="Arial"/>
                <w:b w:val="0"/>
                <w:sz w:val="16"/>
              </w:rPr>
              <w:t>Managers route information up and down.</w:t>
            </w:r>
          </w:p>
        </w:tc>
        <w:tc>
          <w:tcPr>
            <w:tcW w:type="dxa" w:w="5904"/>
            <w:vAlign w:val="top"/>
          </w:tcPr>
          <w:p>
            <w:pPr>
              <w:spacing w:after="20"/>
            </w:pPr>
            <w:r/>
            <w:r>
              <w:rPr>
                <w:rFonts w:ascii="Arial" w:hAnsi="Arial" w:eastAsia="Arial"/>
                <w:b w:val="0"/>
                <w:sz w:val="16"/>
              </w:rPr>
              <w:t>AI layer makes the company queryable and reduces human middleware.</w:t>
            </w:r>
          </w:p>
        </w:tc>
      </w:tr>
      <w:tr>
        <w:tc>
          <w:tcPr>
            <w:tcW w:type="dxa" w:w="4608"/>
            <w:vAlign w:val="top"/>
          </w:tcPr>
          <w:p>
            <w:pPr>
              <w:spacing w:after="20"/>
            </w:pPr>
            <w:r/>
            <w:r>
              <w:rPr>
                <w:rFonts w:ascii="Arial" w:hAnsi="Arial" w:eastAsia="Arial"/>
                <w:b w:val="0"/>
                <w:sz w:val="16"/>
              </w:rPr>
              <w:t>Processes depend on memory and habit.</w:t>
            </w:r>
          </w:p>
        </w:tc>
        <w:tc>
          <w:tcPr>
            <w:tcW w:type="dxa" w:w="5904"/>
            <w:vAlign w:val="top"/>
          </w:tcPr>
          <w:p>
            <w:pPr>
              <w:spacing w:after="20"/>
            </w:pPr>
            <w:r/>
            <w:r>
              <w:rPr>
                <w:rFonts w:ascii="Arial" w:hAnsi="Arial" w:eastAsia="Arial"/>
                <w:b w:val="0"/>
                <w:sz w:val="16"/>
              </w:rPr>
              <w:t>Processes produce artifacts, tests, logs, and measurable outcomes.</w:t>
            </w:r>
          </w:p>
        </w:tc>
      </w:tr>
      <w:tr>
        <w:tc>
          <w:tcPr>
            <w:tcW w:type="dxa" w:w="4608"/>
            <w:vAlign w:val="top"/>
          </w:tcPr>
          <w:p>
            <w:pPr>
              <w:spacing w:after="20"/>
            </w:pPr>
            <w:r/>
            <w:r>
              <w:rPr>
                <w:rFonts w:ascii="Arial" w:hAnsi="Arial" w:eastAsia="Arial"/>
                <w:b w:val="0"/>
                <w:sz w:val="16"/>
              </w:rPr>
              <w:t>AI is added to old workflows.</w:t>
            </w:r>
          </w:p>
        </w:tc>
        <w:tc>
          <w:tcPr>
            <w:tcW w:type="dxa" w:w="5904"/>
            <w:vAlign w:val="top"/>
          </w:tcPr>
          <w:p>
            <w:pPr>
              <w:spacing w:after="20"/>
            </w:pPr>
            <w:r/>
            <w:r>
              <w:rPr>
                <w:rFonts w:ascii="Arial" w:hAnsi="Arial" w:eastAsia="Arial"/>
                <w:b w:val="0"/>
                <w:sz w:val="16"/>
              </w:rPr>
              <w:t>Workflows are redesigned around AI capabilities, data capture, and feedback loops.</w:t>
            </w:r>
          </w:p>
        </w:tc>
      </w:tr>
    </w:tbl>
    <w:p>
      <w:pPr>
        <w:pStyle w:val="Small"/>
      </w:pPr>
    </w:p>
    <w:p>
      <w:pPr>
        <w:pStyle w:val="Heading1"/>
      </w:pPr>
      <w:r>
        <w:t>3. Two-Layer Company Model</w:t>
      </w:r>
    </w:p>
    <w:p>
      <w:pPr>
        <w:pStyle w:val="Heading2"/>
      </w:pPr>
      <w:r>
        <w:t>3.1 Layer 1 - Growth, marketing, sales, and patient acquisition</w:t>
      </w:r>
    </w:p>
    <w:p>
      <w:pPr/>
      <w:r>
        <w:t>This layer is responsible for turning market demand into qualified implant patients with predictable economics. It includes lead generation, advertising, landing pages, SEO, social content, call center operations, CRM, qualification, scheduling, reminders, no-show prevention, consultation conversion, financing, reviews, referrals, and reactivation.</w:t>
      </w:r>
    </w:p>
    <w:p>
      <w:pPr>
        <w:pStyle w:val="ListBullet"/>
        <w:ind w:left="317"/>
      </w:pPr>
      <w:r>
        <w:t>Primary objective: generate a consistent flow of qualified implant patients.</w:t>
      </w:r>
    </w:p>
    <w:p>
      <w:pPr>
        <w:pStyle w:val="ListBullet"/>
        <w:ind w:left="317"/>
      </w:pPr>
      <w:r>
        <w:t>Primary economic metric: cost per accepted implant case, not only cost per lead.</w:t>
      </w:r>
    </w:p>
    <w:p>
      <w:pPr>
        <w:pStyle w:val="ListBullet"/>
        <w:ind w:left="317"/>
      </w:pPr>
      <w:r>
        <w:t>Primary operational risk: optimizing for lead volume while ignoring clinical fit, patient expectations, or case acceptance quality.</w:t>
      </w:r>
    </w:p>
    <w:p>
      <w:pPr>
        <w:pStyle w:val="ListBullet"/>
        <w:ind w:left="317"/>
      </w:pPr>
      <w:r>
        <w:t>Primary AI opportunity: connect real patient outcomes back to campaigns, scripts, offers, education, and follow-up logic.</w:t>
      </w:r>
    </w:p>
    <w:p>
      <w:pPr>
        <w:pStyle w:val="Heading2"/>
      </w:pPr>
      <w:r>
        <w:t>3.2 Layer 2 - Medical, clinical operations, and clinic management</w:t>
      </w:r>
    </w:p>
    <w:p>
      <w:pPr/>
      <w:r>
        <w:t>This layer is responsible for patient safety, clinical quality, surgical readiness, documentation, compliance, staff coordination, inventory, finance, and internal clinic operations. It includes medical history, imaging, scans, clinical notes, treatment planning, consent, surgical workflows, post-op monitoring, infection control, sterilization, provider scheduling, lab coordination, billing, HR, training, and SOP adherence.</w:t>
      </w:r>
    </w:p>
    <w:p>
      <w:pPr>
        <w:pStyle w:val="ListBullet"/>
        <w:ind w:left="317"/>
      </w:pPr>
      <w:r>
        <w:t>Primary objective: deliver safe, high-quality, efficient implant care.</w:t>
      </w:r>
    </w:p>
    <w:p>
      <w:pPr>
        <w:pStyle w:val="ListBullet"/>
        <w:ind w:left="317"/>
      </w:pPr>
      <w:r>
        <w:t>Primary clinical metric: complete, timely, and clinician-approved treatment workflows with documented outcomes.</w:t>
      </w:r>
    </w:p>
    <w:p>
      <w:pPr>
        <w:pStyle w:val="ListBullet"/>
        <w:ind w:left="317"/>
      </w:pPr>
      <w:r>
        <w:t>Primary operational risk: allowing commercial speed to outrun clinical safety or documentation quality.</w:t>
      </w:r>
    </w:p>
    <w:p>
      <w:pPr>
        <w:pStyle w:val="ListBullet"/>
        <w:ind w:left="317"/>
      </w:pPr>
      <w:r>
        <w:t>Primary AI opportunity: prepare context, detect missing information, support documentation, flag risks, monitor follow-up, and improve protocols under clinician oversight.</w:t>
      </w:r>
    </w:p>
    <w:p>
      <w:pPr>
        <w:pStyle w:val="Heading2"/>
      </w:pPr>
      <w:r>
        <w:t>3.3 Where the layers intersect</w:t>
      </w:r>
    </w:p>
    <w:p>
      <w:pPr/>
      <w:r>
        <w:t>The layers intersect at the patient journey. A lead becomes a patient. A marketing promise becomes a clinical expectation. A treatment plan becomes a financial decision. A surgery outcome becomes a review, referral, and learning signal for future acquisition. These intersections are the highest leverage and highest risk parts of the company.</w:t>
      </w:r>
    </w:p>
    <w:p>
      <w:pPr>
        <w:pStyle w:val="Callout"/>
        <w:shd w:fill="FFF2CC"/>
      </w:pPr>
      <w:r>
        <w:rPr>
          <w:b/>
          <w:color w:val="1F4E79"/>
        </w:rPr>
        <w:t xml:space="preserve">Boundary rule: </w:t>
      </w:r>
      <w:r>
        <w:t>The growth domain may learn from medical outcomes only through approved, minimum necessary, de-identified, aggregated, or event-level data. It MUST NOT receive unrestricted access to clinical records or protected health information.</w:t>
      </w:r>
    </w:p>
    <w:p>
      <w:pPr>
        <w:pStyle w:val="Heading1"/>
      </w:pPr>
      <w:r>
        <w:t>4. Design Principles</w:t>
      </w:r>
    </w:p>
    <w:tbl>
      <w:tblPr>
        <w:tblStyle w:val="TableGrid"/>
        <w:tblW w:type="auto" w:w="0"/>
        <w:jc w:val="center"/>
        <w:tblLook w:firstColumn="1" w:firstRow="1" w:lastColumn="0" w:lastRow="0" w:noHBand="0" w:noVBand="1" w:val="04A0"/>
      </w:tblPr>
      <w:tblGrid>
        <w:gridCol w:w="4997"/>
        <w:gridCol w:w="4997"/>
      </w:tblGrid>
      <w:tr>
        <w:tc>
          <w:tcPr>
            <w:tcW w:type="dxa" w:w="2952"/>
            <w:shd w:fill="D9EAF7"/>
            <w:vAlign w:val="center"/>
          </w:tcPr>
          <w:p>
            <w:pPr>
              <w:spacing w:after="20"/>
            </w:pPr>
            <w:r/>
            <w:r>
              <w:rPr>
                <w:rFonts w:ascii="Arial" w:hAnsi="Arial" w:eastAsia="Arial"/>
                <w:b/>
                <w:color w:val="1F4E79"/>
                <w:sz w:val="16"/>
              </w:rPr>
              <w:t>Principle</w:t>
            </w:r>
          </w:p>
        </w:tc>
        <w:tc>
          <w:tcPr>
            <w:tcW w:type="dxa" w:w="7560"/>
            <w:shd w:fill="D9EAF7"/>
            <w:vAlign w:val="center"/>
          </w:tcPr>
          <w:p>
            <w:pPr>
              <w:spacing w:after="20"/>
            </w:pPr>
            <w:r/>
            <w:r>
              <w:rPr>
                <w:rFonts w:ascii="Arial" w:hAnsi="Arial" w:eastAsia="Arial"/>
                <w:b/>
                <w:color w:val="1F4E79"/>
                <w:sz w:val="16"/>
              </w:rPr>
              <w:t>Operating meaning</w:t>
            </w:r>
          </w:p>
        </w:tc>
      </w:tr>
      <w:tr>
        <w:tc>
          <w:tcPr>
            <w:tcW w:type="dxa" w:w="2952"/>
            <w:vAlign w:val="top"/>
          </w:tcPr>
          <w:p>
            <w:pPr>
              <w:spacing w:after="20"/>
            </w:pPr>
            <w:r/>
            <w:r>
              <w:rPr>
                <w:rFonts w:ascii="Arial" w:hAnsi="Arial" w:eastAsia="Arial"/>
                <w:b w:val="0"/>
                <w:sz w:val="16"/>
              </w:rPr>
              <w:t>Patient safety first</w:t>
            </w:r>
          </w:p>
        </w:tc>
        <w:tc>
          <w:tcPr>
            <w:tcW w:type="dxa" w:w="7560"/>
            <w:vAlign w:val="top"/>
          </w:tcPr>
          <w:p>
            <w:pPr>
              <w:spacing w:after="20"/>
            </w:pPr>
            <w:r/>
            <w:r>
              <w:rPr>
                <w:rFonts w:ascii="Arial" w:hAnsi="Arial" w:eastAsia="Arial"/>
                <w:b w:val="0"/>
                <w:sz w:val="16"/>
              </w:rPr>
              <w:t>No growth, automation, or operational target overrides patient safety or licensed clinician judgment.</w:t>
            </w:r>
          </w:p>
        </w:tc>
      </w:tr>
      <w:tr>
        <w:tc>
          <w:tcPr>
            <w:tcW w:type="dxa" w:w="2952"/>
            <w:vAlign w:val="top"/>
          </w:tcPr>
          <w:p>
            <w:pPr>
              <w:spacing w:after="20"/>
            </w:pPr>
            <w:r/>
            <w:r>
              <w:rPr>
                <w:rFonts w:ascii="Arial" w:hAnsi="Arial" w:eastAsia="Arial"/>
                <w:b w:val="0"/>
                <w:sz w:val="16"/>
              </w:rPr>
              <w:t>Privacy by design</w:t>
            </w:r>
          </w:p>
        </w:tc>
        <w:tc>
          <w:tcPr>
            <w:tcW w:type="dxa" w:w="7560"/>
            <w:vAlign w:val="top"/>
          </w:tcPr>
          <w:p>
            <w:pPr>
              <w:spacing w:after="20"/>
            </w:pPr>
            <w:r/>
            <w:r>
              <w:rPr>
                <w:rFonts w:ascii="Arial" w:hAnsi="Arial" w:eastAsia="Arial"/>
                <w:b w:val="0"/>
                <w:sz w:val="16"/>
              </w:rPr>
              <w:t>PHI/ePHI is classified, isolated, permissioned, logged, and processed only through approved HIPAA-eligible systems and contracts.</w:t>
            </w:r>
          </w:p>
        </w:tc>
      </w:tr>
      <w:tr>
        <w:tc>
          <w:tcPr>
            <w:tcW w:type="dxa" w:w="2952"/>
            <w:vAlign w:val="top"/>
          </w:tcPr>
          <w:p>
            <w:pPr>
              <w:spacing w:after="20"/>
            </w:pPr>
            <w:r/>
            <w:r>
              <w:rPr>
                <w:rFonts w:ascii="Arial" w:hAnsi="Arial" w:eastAsia="Arial"/>
                <w:b w:val="0"/>
                <w:sz w:val="16"/>
              </w:rPr>
              <w:t>Closed loop by default</w:t>
            </w:r>
          </w:p>
        </w:tc>
        <w:tc>
          <w:tcPr>
            <w:tcW w:type="dxa" w:w="7560"/>
            <w:vAlign w:val="top"/>
          </w:tcPr>
          <w:p>
            <w:pPr>
              <w:spacing w:after="20"/>
            </w:pPr>
            <w:r/>
            <w:r>
              <w:rPr>
                <w:rFonts w:ascii="Arial" w:hAnsi="Arial" w:eastAsia="Arial"/>
                <w:b w:val="0"/>
                <w:sz w:val="16"/>
              </w:rPr>
              <w:t>Every important process must capture inputs, actions, outcomes, and feedback so the system improves over time.</w:t>
            </w:r>
          </w:p>
        </w:tc>
      </w:tr>
      <w:tr>
        <w:tc>
          <w:tcPr>
            <w:tcW w:type="dxa" w:w="2952"/>
            <w:vAlign w:val="top"/>
          </w:tcPr>
          <w:p>
            <w:pPr>
              <w:spacing w:after="20"/>
            </w:pPr>
            <w:r/>
            <w:r>
              <w:rPr>
                <w:rFonts w:ascii="Arial" w:hAnsi="Arial" w:eastAsia="Arial"/>
                <w:b w:val="0"/>
                <w:sz w:val="16"/>
              </w:rPr>
              <w:t>Queryable company</w:t>
            </w:r>
          </w:p>
        </w:tc>
        <w:tc>
          <w:tcPr>
            <w:tcW w:type="dxa" w:w="7560"/>
            <w:vAlign w:val="top"/>
          </w:tcPr>
          <w:p>
            <w:pPr>
              <w:spacing w:after="20"/>
            </w:pPr>
            <w:r/>
            <w:r>
              <w:rPr>
                <w:rFonts w:ascii="Arial" w:hAnsi="Arial" w:eastAsia="Arial"/>
                <w:b w:val="0"/>
                <w:sz w:val="16"/>
              </w:rPr>
              <w:t>Founders and authorized DRIs should be able to ask operational questions and receive evidence-backed answers from the system.</w:t>
            </w:r>
          </w:p>
        </w:tc>
      </w:tr>
      <w:tr>
        <w:tc>
          <w:tcPr>
            <w:tcW w:type="dxa" w:w="2952"/>
            <w:vAlign w:val="top"/>
          </w:tcPr>
          <w:p>
            <w:pPr>
              <w:spacing w:after="20"/>
            </w:pPr>
            <w:r/>
            <w:r>
              <w:rPr>
                <w:rFonts w:ascii="Arial" w:hAnsi="Arial" w:eastAsia="Arial"/>
                <w:b w:val="0"/>
                <w:sz w:val="16"/>
              </w:rPr>
              <w:t>Artifact-rich work</w:t>
            </w:r>
          </w:p>
        </w:tc>
        <w:tc>
          <w:tcPr>
            <w:tcW w:type="dxa" w:w="7560"/>
            <w:vAlign w:val="top"/>
          </w:tcPr>
          <w:p>
            <w:pPr>
              <w:spacing w:after="20"/>
            </w:pPr>
            <w:r/>
            <w:r>
              <w:rPr>
                <w:rFonts w:ascii="Arial" w:hAnsi="Arial" w:eastAsia="Arial"/>
                <w:b w:val="0"/>
                <w:sz w:val="16"/>
              </w:rPr>
              <w:t>Calls, consultations, surgeries, meetings, decisions, incidents, and follow-ups must create structured artifacts.</w:t>
            </w:r>
          </w:p>
        </w:tc>
      </w:tr>
      <w:tr>
        <w:tc>
          <w:tcPr>
            <w:tcW w:type="dxa" w:w="2952"/>
            <w:vAlign w:val="top"/>
          </w:tcPr>
          <w:p>
            <w:pPr>
              <w:spacing w:after="20"/>
            </w:pPr>
            <w:r/>
            <w:r>
              <w:rPr>
                <w:rFonts w:ascii="Arial" w:hAnsi="Arial" w:eastAsia="Arial"/>
                <w:b w:val="0"/>
                <w:sz w:val="16"/>
              </w:rPr>
              <w:t>Human clinical authority</w:t>
            </w:r>
          </w:p>
        </w:tc>
        <w:tc>
          <w:tcPr>
            <w:tcW w:type="dxa" w:w="7560"/>
            <w:vAlign w:val="top"/>
          </w:tcPr>
          <w:p>
            <w:pPr>
              <w:spacing w:after="20"/>
            </w:pPr>
            <w:r/>
            <w:r>
              <w:rPr>
                <w:rFonts w:ascii="Arial" w:hAnsi="Arial" w:eastAsia="Arial"/>
                <w:b w:val="0"/>
                <w:sz w:val="16"/>
              </w:rPr>
              <w:t>AI may summarize, draft, check, flag, route, and recommend consideration. Final clinical decisions remain with licensed clinicians.</w:t>
            </w:r>
          </w:p>
        </w:tc>
      </w:tr>
      <w:tr>
        <w:tc>
          <w:tcPr>
            <w:tcW w:type="dxa" w:w="2952"/>
            <w:vAlign w:val="top"/>
          </w:tcPr>
          <w:p>
            <w:pPr>
              <w:spacing w:after="20"/>
            </w:pPr>
            <w:r/>
            <w:r>
              <w:rPr>
                <w:rFonts w:ascii="Arial" w:hAnsi="Arial" w:eastAsia="Arial"/>
                <w:b w:val="0"/>
                <w:sz w:val="16"/>
              </w:rPr>
              <w:t>No human middleware</w:t>
            </w:r>
          </w:p>
        </w:tc>
        <w:tc>
          <w:tcPr>
            <w:tcW w:type="dxa" w:w="7560"/>
            <w:vAlign w:val="top"/>
          </w:tcPr>
          <w:p>
            <w:pPr>
              <w:spacing w:after="20"/>
            </w:pPr>
            <w:r/>
            <w:r>
              <w:rPr>
                <w:rFonts w:ascii="Arial" w:hAnsi="Arial" w:eastAsia="Arial"/>
                <w:b w:val="0"/>
                <w:sz w:val="16"/>
              </w:rPr>
              <w:t>The organization should minimize roles that only route information. Humans should own outcomes, judgment, relationships, care, and system improvement.</w:t>
            </w:r>
          </w:p>
        </w:tc>
      </w:tr>
      <w:tr>
        <w:tc>
          <w:tcPr>
            <w:tcW w:type="dxa" w:w="2952"/>
            <w:vAlign w:val="top"/>
          </w:tcPr>
          <w:p>
            <w:pPr>
              <w:spacing w:after="20"/>
            </w:pPr>
            <w:r/>
            <w:r>
              <w:rPr>
                <w:rFonts w:ascii="Arial" w:hAnsi="Arial" w:eastAsia="Arial"/>
                <w:b w:val="0"/>
                <w:sz w:val="16"/>
              </w:rPr>
              <w:t>Agents as controlled workers</w:t>
            </w:r>
          </w:p>
        </w:tc>
        <w:tc>
          <w:tcPr>
            <w:tcW w:type="dxa" w:w="7560"/>
            <w:vAlign w:val="top"/>
          </w:tcPr>
          <w:p>
            <w:pPr>
              <w:spacing w:after="20"/>
            </w:pPr>
            <w:r/>
            <w:r>
              <w:rPr>
                <w:rFonts w:ascii="Arial" w:hAnsi="Arial" w:eastAsia="Arial"/>
                <w:b w:val="0"/>
                <w:sz w:val="16"/>
              </w:rPr>
              <w:t>Agents need role definitions, permissions, tools, logs, evaluation, and escalation rules.</w:t>
            </w:r>
          </w:p>
        </w:tc>
      </w:tr>
      <w:tr>
        <w:tc>
          <w:tcPr>
            <w:tcW w:type="dxa" w:w="2952"/>
            <w:vAlign w:val="top"/>
          </w:tcPr>
          <w:p>
            <w:pPr>
              <w:spacing w:after="20"/>
            </w:pPr>
            <w:r/>
            <w:r>
              <w:rPr>
                <w:rFonts w:ascii="Arial" w:hAnsi="Arial" w:eastAsia="Arial"/>
                <w:b w:val="0"/>
                <w:sz w:val="16"/>
              </w:rPr>
              <w:t>Software factory mindset</w:t>
            </w:r>
          </w:p>
        </w:tc>
        <w:tc>
          <w:tcPr>
            <w:tcW w:type="dxa" w:w="7560"/>
            <w:vAlign w:val="top"/>
          </w:tcPr>
          <w:p>
            <w:pPr>
              <w:spacing w:after="20"/>
            </w:pPr>
            <w:r/>
            <w:r>
              <w:rPr>
                <w:rFonts w:ascii="Arial" w:hAnsi="Arial" w:eastAsia="Arial"/>
                <w:b w:val="0"/>
                <w:sz w:val="16"/>
              </w:rPr>
              <w:t>Humans define specifications and tests; AI agents help implement, evaluate, and iterate.</w:t>
            </w:r>
          </w:p>
        </w:tc>
      </w:tr>
      <w:tr>
        <w:tc>
          <w:tcPr>
            <w:tcW w:type="dxa" w:w="2952"/>
            <w:vAlign w:val="top"/>
          </w:tcPr>
          <w:p>
            <w:pPr>
              <w:spacing w:after="20"/>
            </w:pPr>
            <w:r/>
            <w:r>
              <w:rPr>
                <w:rFonts w:ascii="Arial" w:hAnsi="Arial" w:eastAsia="Arial"/>
                <w:b w:val="0"/>
                <w:sz w:val="16"/>
              </w:rPr>
              <w:t>Token-maxing, not headcount-maxing</w:t>
            </w:r>
          </w:p>
        </w:tc>
        <w:tc>
          <w:tcPr>
            <w:tcW w:type="dxa" w:w="7560"/>
            <w:vAlign w:val="top"/>
          </w:tcPr>
          <w:p>
            <w:pPr>
              <w:spacing w:after="20"/>
            </w:pPr>
            <w:r/>
            <w:r>
              <w:rPr>
                <w:rFonts w:ascii="Arial" w:hAnsi="Arial" w:eastAsia="Arial"/>
                <w:b w:val="0"/>
                <w:sz w:val="16"/>
              </w:rPr>
              <w:t>A high AI/tooling bill may be strategically correct if it replaces unnecessary headcount and improves speed, quality, and predictability.</w:t>
            </w:r>
          </w:p>
        </w:tc>
      </w:tr>
    </w:tbl>
    <w:p>
      <w:pPr>
        <w:pStyle w:val="Small"/>
      </w:pPr>
    </w:p>
    <w:p>
      <w:pPr>
        <w:pStyle w:val="Heading1"/>
      </w:pPr>
      <w:r>
        <w:t>5. Closed-Loop Operating Model</w:t>
      </w:r>
    </w:p>
    <w:p>
      <w:pPr/>
      <w:r>
        <w:t>The clinic should be designed as a portfolio of closed loops. Each loop has a goal, data inputs, AI responsibilities, human owner, output artifact, performance metrics, and feedback path.</w:t>
      </w:r>
    </w:p>
    <w:tbl>
      <w:tblPr>
        <w:tblStyle w:val="TableGrid"/>
        <w:tblW w:type="auto" w:w="0"/>
        <w:jc w:val="center"/>
        <w:tblLook w:firstColumn="1" w:firstRow="1" w:lastColumn="0" w:lastRow="0" w:noHBand="0" w:noVBand="1" w:val="04A0"/>
      </w:tblPr>
      <w:tblGrid>
        <w:gridCol w:w="3331"/>
        <w:gridCol w:w="3331"/>
        <w:gridCol w:w="3331"/>
      </w:tblGrid>
      <w:tr>
        <w:tc>
          <w:tcPr>
            <w:tcW w:type="dxa" w:w="2232"/>
            <w:shd w:fill="D9EAF7"/>
            <w:vAlign w:val="center"/>
          </w:tcPr>
          <w:p>
            <w:pPr>
              <w:spacing w:after="20"/>
            </w:pPr>
            <w:r/>
            <w:r>
              <w:rPr>
                <w:rFonts w:ascii="Arial" w:hAnsi="Arial" w:eastAsia="Arial"/>
                <w:b/>
                <w:color w:val="1F4E79"/>
                <w:sz w:val="15"/>
              </w:rPr>
              <w:t>Loop</w:t>
            </w:r>
          </w:p>
        </w:tc>
        <w:tc>
          <w:tcPr>
            <w:tcW w:type="dxa" w:w="5400"/>
            <w:shd w:fill="D9EAF7"/>
            <w:vAlign w:val="center"/>
          </w:tcPr>
          <w:p>
            <w:pPr>
              <w:spacing w:after="20"/>
            </w:pPr>
            <w:r/>
            <w:r>
              <w:rPr>
                <w:rFonts w:ascii="Arial" w:hAnsi="Arial" w:eastAsia="Arial"/>
                <w:b/>
                <w:color w:val="1F4E79"/>
                <w:sz w:val="15"/>
              </w:rPr>
              <w:t>Flow</w:t>
            </w:r>
          </w:p>
        </w:tc>
        <w:tc>
          <w:tcPr>
            <w:tcW w:type="dxa" w:w="2952"/>
            <w:shd w:fill="D9EAF7"/>
            <w:vAlign w:val="center"/>
          </w:tcPr>
          <w:p>
            <w:pPr>
              <w:spacing w:after="20"/>
            </w:pPr>
            <w:r/>
            <w:r>
              <w:rPr>
                <w:rFonts w:ascii="Arial" w:hAnsi="Arial" w:eastAsia="Arial"/>
                <w:b/>
                <w:color w:val="1F4E79"/>
                <w:sz w:val="15"/>
              </w:rPr>
              <w:t>Primary purpose</w:t>
            </w:r>
          </w:p>
        </w:tc>
      </w:tr>
      <w:tr>
        <w:tc>
          <w:tcPr>
            <w:tcW w:type="dxa" w:w="2232"/>
            <w:vAlign w:val="top"/>
          </w:tcPr>
          <w:p>
            <w:pPr>
              <w:spacing w:after="20"/>
            </w:pPr>
            <w:r/>
            <w:r>
              <w:rPr>
                <w:rFonts w:ascii="Arial" w:hAnsi="Arial" w:eastAsia="Arial"/>
                <w:b w:val="0"/>
                <w:sz w:val="15"/>
              </w:rPr>
              <w:t>Growth loop</w:t>
            </w:r>
          </w:p>
        </w:tc>
        <w:tc>
          <w:tcPr>
            <w:tcW w:type="dxa" w:w="5400"/>
            <w:vAlign w:val="top"/>
          </w:tcPr>
          <w:p>
            <w:pPr>
              <w:spacing w:after="20"/>
            </w:pPr>
            <w:r/>
            <w:r>
              <w:rPr>
                <w:rFonts w:ascii="Arial" w:hAnsi="Arial" w:eastAsia="Arial"/>
                <w:b w:val="0"/>
                <w:sz w:val="15"/>
              </w:rPr>
              <w:t>Campaign -&gt; lead -&gt; call -&gt; qualification -&gt; booking -&gt; consult -&gt; treatment acceptance -&gt; surgery -&gt; review/referral -&gt; learning back to marketing.</w:t>
            </w:r>
          </w:p>
        </w:tc>
        <w:tc>
          <w:tcPr>
            <w:tcW w:type="dxa" w:w="2952"/>
            <w:vAlign w:val="top"/>
          </w:tcPr>
          <w:p>
            <w:pPr>
              <w:spacing w:after="20"/>
            </w:pPr>
            <w:r/>
            <w:r>
              <w:rPr>
                <w:rFonts w:ascii="Arial" w:hAnsi="Arial" w:eastAsia="Arial"/>
                <w:b w:val="0"/>
                <w:sz w:val="15"/>
              </w:rPr>
              <w:t>Improve lead quality, case acceptance, and cost per accepted implant case.</w:t>
            </w:r>
          </w:p>
        </w:tc>
      </w:tr>
      <w:tr>
        <w:tc>
          <w:tcPr>
            <w:tcW w:type="dxa" w:w="2232"/>
            <w:vAlign w:val="top"/>
          </w:tcPr>
          <w:p>
            <w:pPr>
              <w:spacing w:after="20"/>
            </w:pPr>
            <w:r/>
            <w:r>
              <w:rPr>
                <w:rFonts w:ascii="Arial" w:hAnsi="Arial" w:eastAsia="Arial"/>
                <w:b w:val="0"/>
                <w:sz w:val="15"/>
              </w:rPr>
              <w:t>Lead response loop</w:t>
            </w:r>
          </w:p>
        </w:tc>
        <w:tc>
          <w:tcPr>
            <w:tcW w:type="dxa" w:w="5400"/>
            <w:vAlign w:val="top"/>
          </w:tcPr>
          <w:p>
            <w:pPr>
              <w:spacing w:after="20"/>
            </w:pPr>
            <w:r/>
            <w:r>
              <w:rPr>
                <w:rFonts w:ascii="Arial" w:hAnsi="Arial" w:eastAsia="Arial"/>
                <w:b w:val="0"/>
                <w:sz w:val="15"/>
              </w:rPr>
              <w:t>Lead created -&gt; speed-to-lead action -&gt; call/SMS/email -&gt; intent and objection tagging -&gt; booking or nurture -&gt; next-best action.</w:t>
            </w:r>
          </w:p>
        </w:tc>
        <w:tc>
          <w:tcPr>
            <w:tcW w:type="dxa" w:w="2952"/>
            <w:vAlign w:val="top"/>
          </w:tcPr>
          <w:p>
            <w:pPr>
              <w:spacing w:after="20"/>
            </w:pPr>
            <w:r/>
            <w:r>
              <w:rPr>
                <w:rFonts w:ascii="Arial" w:hAnsi="Arial" w:eastAsia="Arial"/>
                <w:b w:val="0"/>
                <w:sz w:val="15"/>
              </w:rPr>
              <w:t>Reduce response latency and improve booking rate.</w:t>
            </w:r>
          </w:p>
        </w:tc>
      </w:tr>
      <w:tr>
        <w:tc>
          <w:tcPr>
            <w:tcW w:type="dxa" w:w="2232"/>
            <w:vAlign w:val="top"/>
          </w:tcPr>
          <w:p>
            <w:pPr>
              <w:spacing w:after="20"/>
            </w:pPr>
            <w:r/>
            <w:r>
              <w:rPr>
                <w:rFonts w:ascii="Arial" w:hAnsi="Arial" w:eastAsia="Arial"/>
                <w:b w:val="0"/>
                <w:sz w:val="15"/>
              </w:rPr>
              <w:t>Consultation loop</w:t>
            </w:r>
          </w:p>
        </w:tc>
        <w:tc>
          <w:tcPr>
            <w:tcW w:type="dxa" w:w="5400"/>
            <w:vAlign w:val="top"/>
          </w:tcPr>
          <w:p>
            <w:pPr>
              <w:spacing w:after="20"/>
            </w:pPr>
            <w:r/>
            <w:r>
              <w:rPr>
                <w:rFonts w:ascii="Arial" w:hAnsi="Arial" w:eastAsia="Arial"/>
                <w:b w:val="0"/>
                <w:sz w:val="15"/>
              </w:rPr>
              <w:t>Lead context -&gt; intake -&gt; clinical prep -&gt; consultation -&gt; treatment plan -&gt; financing -&gt; acceptance/non-acceptance -&gt; follow-up.</w:t>
            </w:r>
          </w:p>
        </w:tc>
        <w:tc>
          <w:tcPr>
            <w:tcW w:type="dxa" w:w="2952"/>
            <w:vAlign w:val="top"/>
          </w:tcPr>
          <w:p>
            <w:pPr>
              <w:spacing w:after="20"/>
            </w:pPr>
            <w:r/>
            <w:r>
              <w:rPr>
                <w:rFonts w:ascii="Arial" w:hAnsi="Arial" w:eastAsia="Arial"/>
                <w:b w:val="0"/>
                <w:sz w:val="15"/>
              </w:rPr>
              <w:t>Increase case acceptance without compromising clinical truth or patient trust.</w:t>
            </w:r>
          </w:p>
        </w:tc>
      </w:tr>
      <w:tr>
        <w:tc>
          <w:tcPr>
            <w:tcW w:type="dxa" w:w="2232"/>
            <w:vAlign w:val="top"/>
          </w:tcPr>
          <w:p>
            <w:pPr>
              <w:spacing w:after="20"/>
            </w:pPr>
            <w:r/>
            <w:r>
              <w:rPr>
                <w:rFonts w:ascii="Arial" w:hAnsi="Arial" w:eastAsia="Arial"/>
                <w:b w:val="0"/>
                <w:sz w:val="15"/>
              </w:rPr>
              <w:t>Clinical intake loop</w:t>
            </w:r>
          </w:p>
        </w:tc>
        <w:tc>
          <w:tcPr>
            <w:tcW w:type="dxa" w:w="5400"/>
            <w:vAlign w:val="top"/>
          </w:tcPr>
          <w:p>
            <w:pPr>
              <w:spacing w:after="20"/>
            </w:pPr>
            <w:r/>
            <w:r>
              <w:rPr>
                <w:rFonts w:ascii="Arial" w:hAnsi="Arial" w:eastAsia="Arial"/>
                <w:b w:val="0"/>
                <w:sz w:val="15"/>
              </w:rPr>
              <w:t>Patient forms -&gt; medical history -&gt; risk factor extraction -&gt; missing data check -&gt; clinician review -&gt; visit preparation.</w:t>
            </w:r>
          </w:p>
        </w:tc>
        <w:tc>
          <w:tcPr>
            <w:tcW w:type="dxa" w:w="2952"/>
            <w:vAlign w:val="top"/>
          </w:tcPr>
          <w:p>
            <w:pPr>
              <w:spacing w:after="20"/>
            </w:pPr>
            <w:r/>
            <w:r>
              <w:rPr>
                <w:rFonts w:ascii="Arial" w:hAnsi="Arial" w:eastAsia="Arial"/>
                <w:b w:val="0"/>
                <w:sz w:val="15"/>
              </w:rPr>
              <w:t>Give the clinician complete context before decision-making.</w:t>
            </w:r>
          </w:p>
        </w:tc>
      </w:tr>
      <w:tr>
        <w:tc>
          <w:tcPr>
            <w:tcW w:type="dxa" w:w="2232"/>
            <w:vAlign w:val="top"/>
          </w:tcPr>
          <w:p>
            <w:pPr>
              <w:spacing w:after="20"/>
            </w:pPr>
            <w:r/>
            <w:r>
              <w:rPr>
                <w:rFonts w:ascii="Arial" w:hAnsi="Arial" w:eastAsia="Arial"/>
                <w:b w:val="0"/>
                <w:sz w:val="15"/>
              </w:rPr>
              <w:t>Treatment planning support loop</w:t>
            </w:r>
          </w:p>
        </w:tc>
        <w:tc>
          <w:tcPr>
            <w:tcW w:type="dxa" w:w="5400"/>
            <w:vAlign w:val="top"/>
          </w:tcPr>
          <w:p>
            <w:pPr>
              <w:spacing w:after="20"/>
            </w:pPr>
            <w:r/>
            <w:r>
              <w:rPr>
                <w:rFonts w:ascii="Arial" w:hAnsi="Arial" w:eastAsia="Arial"/>
                <w:b w:val="0"/>
                <w:sz w:val="15"/>
              </w:rPr>
              <w:t>Imaging/scans/history -&gt; structured checklist -&gt; AI-prepared considerations -&gt; clinician treatment plan -&gt; documented rationale.</w:t>
            </w:r>
          </w:p>
        </w:tc>
        <w:tc>
          <w:tcPr>
            <w:tcW w:type="dxa" w:w="2952"/>
            <w:vAlign w:val="top"/>
          </w:tcPr>
          <w:p>
            <w:pPr>
              <w:spacing w:after="20"/>
            </w:pPr>
            <w:r/>
            <w:r>
              <w:rPr>
                <w:rFonts w:ascii="Arial" w:hAnsi="Arial" w:eastAsia="Arial"/>
                <w:b w:val="0"/>
                <w:sz w:val="15"/>
              </w:rPr>
              <w:t>Improve completeness and consistency while preserving clinician authority.</w:t>
            </w:r>
          </w:p>
        </w:tc>
      </w:tr>
      <w:tr>
        <w:tc>
          <w:tcPr>
            <w:tcW w:type="dxa" w:w="2232"/>
            <w:vAlign w:val="top"/>
          </w:tcPr>
          <w:p>
            <w:pPr>
              <w:spacing w:after="20"/>
            </w:pPr>
            <w:r/>
            <w:r>
              <w:rPr>
                <w:rFonts w:ascii="Arial" w:hAnsi="Arial" w:eastAsia="Arial"/>
                <w:b w:val="0"/>
                <w:sz w:val="15"/>
              </w:rPr>
              <w:t>Surgery readiness loop</w:t>
            </w:r>
          </w:p>
        </w:tc>
        <w:tc>
          <w:tcPr>
            <w:tcW w:type="dxa" w:w="5400"/>
            <w:vAlign w:val="top"/>
          </w:tcPr>
          <w:p>
            <w:pPr>
              <w:spacing w:after="20"/>
            </w:pPr>
            <w:r/>
            <w:r>
              <w:rPr>
                <w:rFonts w:ascii="Arial" w:hAnsi="Arial" w:eastAsia="Arial"/>
                <w:b w:val="0"/>
                <w:sz w:val="15"/>
              </w:rPr>
              <w:t>Accepted case -&gt; consent -&gt; inventory -&gt; surgical guide/lab -&gt; room/staff -&gt; pre-op checklist -&gt; surgery start.</w:t>
            </w:r>
          </w:p>
        </w:tc>
        <w:tc>
          <w:tcPr>
            <w:tcW w:type="dxa" w:w="2952"/>
            <w:vAlign w:val="top"/>
          </w:tcPr>
          <w:p>
            <w:pPr>
              <w:spacing w:after="20"/>
            </w:pPr>
            <w:r/>
            <w:r>
              <w:rPr>
                <w:rFonts w:ascii="Arial" w:hAnsi="Arial" w:eastAsia="Arial"/>
                <w:b w:val="0"/>
                <w:sz w:val="15"/>
              </w:rPr>
              <w:t>Reduce surgery delays, missing items, and avoidable stress.</w:t>
            </w:r>
          </w:p>
        </w:tc>
      </w:tr>
      <w:tr>
        <w:tc>
          <w:tcPr>
            <w:tcW w:type="dxa" w:w="2232"/>
            <w:vAlign w:val="top"/>
          </w:tcPr>
          <w:p>
            <w:pPr>
              <w:spacing w:after="20"/>
            </w:pPr>
            <w:r/>
            <w:r>
              <w:rPr>
                <w:rFonts w:ascii="Arial" w:hAnsi="Arial" w:eastAsia="Arial"/>
                <w:b w:val="0"/>
                <w:sz w:val="15"/>
              </w:rPr>
              <w:t>Post-op monitoring loop</w:t>
            </w:r>
          </w:p>
        </w:tc>
        <w:tc>
          <w:tcPr>
            <w:tcW w:type="dxa" w:w="5400"/>
            <w:vAlign w:val="top"/>
          </w:tcPr>
          <w:p>
            <w:pPr>
              <w:spacing w:after="20"/>
            </w:pPr>
            <w:r/>
            <w:r>
              <w:rPr>
                <w:rFonts w:ascii="Arial" w:hAnsi="Arial" w:eastAsia="Arial"/>
                <w:b w:val="0"/>
                <w:sz w:val="15"/>
              </w:rPr>
              <w:t>Surgery complete -&gt; automated check-ins -&gt; symptom/photo collection -&gt; red flag detection -&gt; clinical escalation -&gt; outcome logging.</w:t>
            </w:r>
          </w:p>
        </w:tc>
        <w:tc>
          <w:tcPr>
            <w:tcW w:type="dxa" w:w="2952"/>
            <w:vAlign w:val="top"/>
          </w:tcPr>
          <w:p>
            <w:pPr>
              <w:spacing w:after="20"/>
            </w:pPr>
            <w:r/>
            <w:r>
              <w:rPr>
                <w:rFonts w:ascii="Arial" w:hAnsi="Arial" w:eastAsia="Arial"/>
                <w:b w:val="0"/>
                <w:sz w:val="15"/>
              </w:rPr>
              <w:t>Improve recovery monitoring and response time.</w:t>
            </w:r>
          </w:p>
        </w:tc>
      </w:tr>
      <w:tr>
        <w:tc>
          <w:tcPr>
            <w:tcW w:type="dxa" w:w="2232"/>
            <w:vAlign w:val="top"/>
          </w:tcPr>
          <w:p>
            <w:pPr>
              <w:spacing w:after="20"/>
            </w:pPr>
            <w:r/>
            <w:r>
              <w:rPr>
                <w:rFonts w:ascii="Arial" w:hAnsi="Arial" w:eastAsia="Arial"/>
                <w:b w:val="0"/>
                <w:sz w:val="15"/>
              </w:rPr>
              <w:t>Quality and compliance loop</w:t>
            </w:r>
          </w:p>
        </w:tc>
        <w:tc>
          <w:tcPr>
            <w:tcW w:type="dxa" w:w="5400"/>
            <w:vAlign w:val="top"/>
          </w:tcPr>
          <w:p>
            <w:pPr>
              <w:spacing w:after="20"/>
            </w:pPr>
            <w:r/>
            <w:r>
              <w:rPr>
                <w:rFonts w:ascii="Arial" w:hAnsi="Arial" w:eastAsia="Arial"/>
                <w:b w:val="0"/>
                <w:sz w:val="15"/>
              </w:rPr>
              <w:t>SOP -&gt; execution -&gt; audit -&gt; deviation -&gt; corrective action -&gt; training -&gt; updated SOP.</w:t>
            </w:r>
          </w:p>
        </w:tc>
        <w:tc>
          <w:tcPr>
            <w:tcW w:type="dxa" w:w="2952"/>
            <w:vAlign w:val="top"/>
          </w:tcPr>
          <w:p>
            <w:pPr>
              <w:spacing w:after="20"/>
            </w:pPr>
            <w:r/>
            <w:r>
              <w:rPr>
                <w:rFonts w:ascii="Arial" w:hAnsi="Arial" w:eastAsia="Arial"/>
                <w:b w:val="0"/>
                <w:sz w:val="15"/>
              </w:rPr>
              <w:t>Continuously improve safety, documentation, and compliance.</w:t>
            </w:r>
          </w:p>
        </w:tc>
      </w:tr>
      <w:tr>
        <w:tc>
          <w:tcPr>
            <w:tcW w:type="dxa" w:w="2232"/>
            <w:vAlign w:val="top"/>
          </w:tcPr>
          <w:p>
            <w:pPr>
              <w:spacing w:after="20"/>
            </w:pPr>
            <w:r/>
            <w:r>
              <w:rPr>
                <w:rFonts w:ascii="Arial" w:hAnsi="Arial" w:eastAsia="Arial"/>
                <w:b w:val="0"/>
                <w:sz w:val="15"/>
              </w:rPr>
              <w:t>Operations loop</w:t>
            </w:r>
          </w:p>
        </w:tc>
        <w:tc>
          <w:tcPr>
            <w:tcW w:type="dxa" w:w="5400"/>
            <w:vAlign w:val="top"/>
          </w:tcPr>
          <w:p>
            <w:pPr>
              <w:spacing w:after="20"/>
            </w:pPr>
            <w:r/>
            <w:r>
              <w:rPr>
                <w:rFonts w:ascii="Arial" w:hAnsi="Arial" w:eastAsia="Arial"/>
                <w:b w:val="0"/>
                <w:sz w:val="15"/>
              </w:rPr>
              <w:t>Schedule -&gt; room/chair utilization -&gt; staff capacity -&gt; inventory -&gt; lab coordination -&gt; financial result -&gt; optimization.</w:t>
            </w:r>
          </w:p>
        </w:tc>
        <w:tc>
          <w:tcPr>
            <w:tcW w:type="dxa" w:w="2952"/>
            <w:vAlign w:val="top"/>
          </w:tcPr>
          <w:p>
            <w:pPr>
              <w:spacing w:after="20"/>
            </w:pPr>
            <w:r/>
            <w:r>
              <w:rPr>
                <w:rFonts w:ascii="Arial" w:hAnsi="Arial" w:eastAsia="Arial"/>
                <w:b w:val="0"/>
                <w:sz w:val="15"/>
              </w:rPr>
              <w:t>Increase throughput and predictability.</w:t>
            </w:r>
          </w:p>
        </w:tc>
      </w:tr>
      <w:tr>
        <w:tc>
          <w:tcPr>
            <w:tcW w:type="dxa" w:w="2232"/>
            <w:vAlign w:val="top"/>
          </w:tcPr>
          <w:p>
            <w:pPr>
              <w:spacing w:after="20"/>
            </w:pPr>
            <w:r/>
            <w:r>
              <w:rPr>
                <w:rFonts w:ascii="Arial" w:hAnsi="Arial" w:eastAsia="Arial"/>
                <w:b w:val="0"/>
                <w:sz w:val="15"/>
              </w:rPr>
              <w:t>AI performance loop</w:t>
            </w:r>
          </w:p>
        </w:tc>
        <w:tc>
          <w:tcPr>
            <w:tcW w:type="dxa" w:w="5400"/>
            <w:vAlign w:val="top"/>
          </w:tcPr>
          <w:p>
            <w:pPr>
              <w:spacing w:after="20"/>
            </w:pPr>
            <w:r/>
            <w:r>
              <w:rPr>
                <w:rFonts w:ascii="Arial" w:hAnsi="Arial" w:eastAsia="Arial"/>
                <w:b w:val="0"/>
                <w:sz w:val="15"/>
              </w:rPr>
              <w:t>Agent output -&gt; human review -&gt; errors/unsafe output -&gt; evaluations -&gt; prompt/tool/model updates -&gt; release notes.</w:t>
            </w:r>
          </w:p>
        </w:tc>
        <w:tc>
          <w:tcPr>
            <w:tcW w:type="dxa" w:w="2952"/>
            <w:vAlign w:val="top"/>
          </w:tcPr>
          <w:p>
            <w:pPr>
              <w:spacing w:after="20"/>
            </w:pPr>
            <w:r/>
            <w:r>
              <w:rPr>
                <w:rFonts w:ascii="Arial" w:hAnsi="Arial" w:eastAsia="Arial"/>
                <w:b w:val="0"/>
                <w:sz w:val="15"/>
              </w:rPr>
              <w:t>Keep agents reliable, safe, auditable, and improving.</w:t>
            </w:r>
          </w:p>
        </w:tc>
      </w:tr>
    </w:tbl>
    <w:p>
      <w:pPr>
        <w:pStyle w:val="Small"/>
      </w:pPr>
    </w:p>
    <w:p>
      <w:pPr>
        <w:pStyle w:val="Heading1"/>
      </w:pPr>
      <w:r>
        <w:t>6. Data Architecture and Governance</w:t>
      </w:r>
    </w:p>
    <w:p>
      <w:pPr>
        <w:pStyle w:val="Heading2"/>
      </w:pPr>
      <w:r>
        <w:t>6.1 Architectural target</w:t>
      </w:r>
    </w:p>
    <w:p>
      <w:pPr/>
      <w:r>
        <w:t>The data architecture should not be one uncontrolled database. It should be a unified Clinic OS with separated domains, controlled event sharing, strong identity, audit logs, and explicit AI access policies.</w:t>
      </w:r>
    </w:p>
    <w:p>
      <w:pPr>
        <w:pStyle w:val="ListBullet"/>
        <w:ind w:left="317"/>
      </w:pPr>
      <w:r>
        <w:t>Medical/HIPAA domain: protected clinical system of record for patient medical data, imaging, notes, treatment plans, consents, surgical records, prescriptions, follow-ups, and outcomes.</w:t>
      </w:r>
    </w:p>
    <w:p>
      <w:pPr>
        <w:pStyle w:val="ListBullet"/>
        <w:ind w:left="317"/>
      </w:pPr>
      <w:r>
        <w:t>Growth/CRM domain: system of record for lead source, campaign, call transcripts, objections, scheduling, financing stage, conversion, reviews, referrals, and reactivation.</w:t>
      </w:r>
    </w:p>
    <w:p>
      <w:pPr>
        <w:pStyle w:val="ListBullet"/>
        <w:ind w:left="317"/>
      </w:pPr>
      <w:r>
        <w:t>Shared event layer: controlled bridge that captures state transitions such as lead created, consult booked, patient showed, treatment plan accepted, surgery completed, post-op check-in completed, red flag escalated, review received, and referral created.</w:t>
      </w:r>
    </w:p>
    <w:p>
      <w:pPr>
        <w:pStyle w:val="ListBullet"/>
        <w:ind w:left="317"/>
      </w:pPr>
      <w:r>
        <w:t>AI context layer: permissioned retrieval, summarization, and agent orchestration layer that gives each agent only the data it is allowed to use.</w:t>
      </w:r>
    </w:p>
    <w:p>
      <w:pPr>
        <w:pStyle w:val="ListBullet"/>
        <w:ind w:left="317"/>
      </w:pPr>
      <w:r>
        <w:t>Analytics layer: aggregate and de-identified dashboards for management, growth optimization, finance, and quality improvement.</w:t>
      </w:r>
    </w:p>
    <w:p>
      <w:pPr>
        <w:pStyle w:val="ListBullet"/>
        <w:ind w:left="317"/>
      </w:pPr>
      <w:r>
        <w:t>Audit and governance layer: logs, approvals, access controls, model/version tracking, vendor eligibility, retention policies, and incident response.</w:t>
      </w:r>
    </w:p>
    <w:p>
      <w:pPr>
        <w:pStyle w:val="Heading2"/>
      </w:pPr>
      <w:r>
        <w:t>6.2 Data classes</w:t>
      </w:r>
    </w:p>
    <w:tbl>
      <w:tblPr>
        <w:tblStyle w:val="TableGrid"/>
        <w:tblW w:type="auto" w:w="0"/>
        <w:jc w:val="center"/>
        <w:tblLook w:firstColumn="1" w:firstRow="1" w:lastColumn="0" w:lastRow="0" w:noHBand="0" w:noVBand="1" w:val="04A0"/>
      </w:tblPr>
      <w:tblGrid>
        <w:gridCol w:w="3331"/>
        <w:gridCol w:w="3331"/>
        <w:gridCol w:w="3331"/>
      </w:tblGrid>
      <w:tr>
        <w:tc>
          <w:tcPr>
            <w:tcW w:type="dxa" w:w="2304"/>
            <w:shd w:fill="D9EAF7"/>
            <w:vAlign w:val="center"/>
          </w:tcPr>
          <w:p>
            <w:pPr>
              <w:spacing w:after="20"/>
            </w:pPr>
            <w:r/>
            <w:r>
              <w:rPr>
                <w:rFonts w:ascii="Arial" w:hAnsi="Arial" w:eastAsia="Arial"/>
                <w:b/>
                <w:color w:val="1F4E79"/>
                <w:sz w:val="15"/>
              </w:rPr>
              <w:t>Data class</w:t>
            </w:r>
          </w:p>
        </w:tc>
        <w:tc>
          <w:tcPr>
            <w:tcW w:type="dxa" w:w="4320"/>
            <w:shd w:fill="D9EAF7"/>
            <w:vAlign w:val="center"/>
          </w:tcPr>
          <w:p>
            <w:pPr>
              <w:spacing w:after="20"/>
            </w:pPr>
            <w:r/>
            <w:r>
              <w:rPr>
                <w:rFonts w:ascii="Arial" w:hAnsi="Arial" w:eastAsia="Arial"/>
                <w:b/>
                <w:color w:val="1F4E79"/>
                <w:sz w:val="15"/>
              </w:rPr>
              <w:t>Examples</w:t>
            </w:r>
          </w:p>
        </w:tc>
        <w:tc>
          <w:tcPr>
            <w:tcW w:type="dxa" w:w="3888"/>
            <w:shd w:fill="D9EAF7"/>
            <w:vAlign w:val="center"/>
          </w:tcPr>
          <w:p>
            <w:pPr>
              <w:spacing w:after="20"/>
            </w:pPr>
            <w:r/>
            <w:r>
              <w:rPr>
                <w:rFonts w:ascii="Arial" w:hAnsi="Arial" w:eastAsia="Arial"/>
                <w:b/>
                <w:color w:val="1F4E79"/>
                <w:sz w:val="15"/>
              </w:rPr>
              <w:t>Default rule</w:t>
            </w:r>
          </w:p>
        </w:tc>
      </w:tr>
      <w:tr>
        <w:tc>
          <w:tcPr>
            <w:tcW w:type="dxa" w:w="2304"/>
            <w:vAlign w:val="top"/>
          </w:tcPr>
          <w:p>
            <w:pPr>
              <w:spacing w:after="20"/>
            </w:pPr>
            <w:r/>
            <w:r>
              <w:rPr>
                <w:rFonts w:ascii="Arial" w:hAnsi="Arial" w:eastAsia="Arial"/>
                <w:b w:val="0"/>
                <w:sz w:val="15"/>
              </w:rPr>
              <w:t>Public</w:t>
            </w:r>
          </w:p>
        </w:tc>
        <w:tc>
          <w:tcPr>
            <w:tcW w:type="dxa" w:w="4320"/>
            <w:vAlign w:val="top"/>
          </w:tcPr>
          <w:p>
            <w:pPr>
              <w:spacing w:after="20"/>
            </w:pPr>
            <w:r/>
            <w:r>
              <w:rPr>
                <w:rFonts w:ascii="Arial" w:hAnsi="Arial" w:eastAsia="Arial"/>
                <w:b w:val="0"/>
                <w:sz w:val="15"/>
              </w:rPr>
              <w:t>Website, public ads, public educational content.</w:t>
            </w:r>
          </w:p>
        </w:tc>
        <w:tc>
          <w:tcPr>
            <w:tcW w:type="dxa" w:w="3888"/>
            <w:vAlign w:val="top"/>
          </w:tcPr>
          <w:p>
            <w:pPr>
              <w:spacing w:after="20"/>
            </w:pPr>
            <w:r/>
            <w:r>
              <w:rPr>
                <w:rFonts w:ascii="Arial" w:hAnsi="Arial" w:eastAsia="Arial"/>
                <w:b w:val="0"/>
                <w:sz w:val="15"/>
              </w:rPr>
              <w:t>May be used broadly, subject to brand and claims review.</w:t>
            </w:r>
          </w:p>
        </w:tc>
      </w:tr>
      <w:tr>
        <w:tc>
          <w:tcPr>
            <w:tcW w:type="dxa" w:w="2304"/>
            <w:vAlign w:val="top"/>
          </w:tcPr>
          <w:p>
            <w:pPr>
              <w:spacing w:after="20"/>
            </w:pPr>
            <w:r/>
            <w:r>
              <w:rPr>
                <w:rFonts w:ascii="Arial" w:hAnsi="Arial" w:eastAsia="Arial"/>
                <w:b w:val="0"/>
                <w:sz w:val="15"/>
              </w:rPr>
              <w:t>Internal</w:t>
            </w:r>
          </w:p>
        </w:tc>
        <w:tc>
          <w:tcPr>
            <w:tcW w:type="dxa" w:w="4320"/>
            <w:vAlign w:val="top"/>
          </w:tcPr>
          <w:p>
            <w:pPr>
              <w:spacing w:after="20"/>
            </w:pPr>
            <w:r/>
            <w:r>
              <w:rPr>
                <w:rFonts w:ascii="Arial" w:hAnsi="Arial" w:eastAsia="Arial"/>
                <w:b w:val="0"/>
                <w:sz w:val="15"/>
              </w:rPr>
              <w:t>Non-sensitive SOPs, internal task templates, general training materials.</w:t>
            </w:r>
          </w:p>
        </w:tc>
        <w:tc>
          <w:tcPr>
            <w:tcW w:type="dxa" w:w="3888"/>
            <w:vAlign w:val="top"/>
          </w:tcPr>
          <w:p>
            <w:pPr>
              <w:spacing w:after="20"/>
            </w:pPr>
            <w:r/>
            <w:r>
              <w:rPr>
                <w:rFonts w:ascii="Arial" w:hAnsi="Arial" w:eastAsia="Arial"/>
                <w:b w:val="0"/>
                <w:sz w:val="15"/>
              </w:rPr>
              <w:t>Available to approved staff and non-PHI agents.</w:t>
            </w:r>
          </w:p>
        </w:tc>
      </w:tr>
      <w:tr>
        <w:tc>
          <w:tcPr>
            <w:tcW w:type="dxa" w:w="2304"/>
            <w:vAlign w:val="top"/>
          </w:tcPr>
          <w:p>
            <w:pPr>
              <w:spacing w:after="20"/>
            </w:pPr>
            <w:r/>
            <w:r>
              <w:rPr>
                <w:rFonts w:ascii="Arial" w:hAnsi="Arial" w:eastAsia="Arial"/>
                <w:b w:val="0"/>
                <w:sz w:val="15"/>
              </w:rPr>
              <w:t>Restricted Business</w:t>
            </w:r>
          </w:p>
        </w:tc>
        <w:tc>
          <w:tcPr>
            <w:tcW w:type="dxa" w:w="4320"/>
            <w:vAlign w:val="top"/>
          </w:tcPr>
          <w:p>
            <w:pPr>
              <w:spacing w:after="20"/>
            </w:pPr>
            <w:r/>
            <w:r>
              <w:rPr>
                <w:rFonts w:ascii="Arial" w:hAnsi="Arial" w:eastAsia="Arial"/>
                <w:b w:val="0"/>
                <w:sz w:val="15"/>
              </w:rPr>
              <w:t>Financials, salaries, vendor contracts, pricing strategy, acquisition economics.</w:t>
            </w:r>
          </w:p>
        </w:tc>
        <w:tc>
          <w:tcPr>
            <w:tcW w:type="dxa" w:w="3888"/>
            <w:vAlign w:val="top"/>
          </w:tcPr>
          <w:p>
            <w:pPr>
              <w:spacing w:after="20"/>
            </w:pPr>
            <w:r/>
            <w:r>
              <w:rPr>
                <w:rFonts w:ascii="Arial" w:hAnsi="Arial" w:eastAsia="Arial"/>
                <w:b w:val="0"/>
                <w:sz w:val="15"/>
              </w:rPr>
              <w:t>Limited to role-based business users and approved agents.</w:t>
            </w:r>
          </w:p>
        </w:tc>
      </w:tr>
      <w:tr>
        <w:tc>
          <w:tcPr>
            <w:tcW w:type="dxa" w:w="2304"/>
            <w:vAlign w:val="top"/>
          </w:tcPr>
          <w:p>
            <w:pPr>
              <w:spacing w:after="20"/>
            </w:pPr>
            <w:r/>
            <w:r>
              <w:rPr>
                <w:rFonts w:ascii="Arial" w:hAnsi="Arial" w:eastAsia="Arial"/>
                <w:b w:val="0"/>
                <w:sz w:val="15"/>
              </w:rPr>
              <w:t>PHI/ePHI / Clinical Restricted</w:t>
            </w:r>
          </w:p>
        </w:tc>
        <w:tc>
          <w:tcPr>
            <w:tcW w:type="dxa" w:w="4320"/>
            <w:vAlign w:val="top"/>
          </w:tcPr>
          <w:p>
            <w:pPr>
              <w:spacing w:after="20"/>
            </w:pPr>
            <w:r/>
            <w:r>
              <w:rPr>
                <w:rFonts w:ascii="Arial" w:hAnsi="Arial" w:eastAsia="Arial"/>
                <w:b w:val="0"/>
                <w:sz w:val="15"/>
              </w:rPr>
              <w:t>Medical history, imaging, treatment plans, clinical notes, identifiable patient communications, surgical records.</w:t>
            </w:r>
          </w:p>
        </w:tc>
        <w:tc>
          <w:tcPr>
            <w:tcW w:type="dxa" w:w="3888"/>
            <w:vAlign w:val="top"/>
          </w:tcPr>
          <w:p>
            <w:pPr>
              <w:spacing w:after="20"/>
            </w:pPr>
            <w:r/>
            <w:r>
              <w:rPr>
                <w:rFonts w:ascii="Arial" w:hAnsi="Arial" w:eastAsia="Arial"/>
                <w:b w:val="0"/>
                <w:sz w:val="15"/>
              </w:rPr>
              <w:t>Must remain inside approved HIPAA-eligible systems with role-based access, audit logs, and minimum necessary use.</w:t>
            </w:r>
          </w:p>
        </w:tc>
      </w:tr>
    </w:tbl>
    <w:p>
      <w:pPr>
        <w:pStyle w:val="Small"/>
      </w:pPr>
    </w:p>
    <w:p>
      <w:pPr>
        <w:pStyle w:val="Callout"/>
        <w:shd w:fill="EAF2F8"/>
      </w:pPr>
      <w:r>
        <w:rPr>
          <w:b/>
          <w:color w:val="1F4E79"/>
        </w:rPr>
        <w:t xml:space="preserve">Data separation doctrine: </w:t>
      </w:r>
      <w:r>
        <w:t>The company should feel unified to authorized operators, but the underlying data must remain segmented by sensitivity, permissions, contracts, and purpose limitation.</w:t>
      </w:r>
    </w:p>
    <w:p>
      <w:pPr>
        <w:pStyle w:val="Heading2"/>
      </w:pPr>
      <w:r>
        <w:t>6.3 Sample shared events</w:t>
      </w:r>
    </w:p>
    <w:tbl>
      <w:tblPr>
        <w:tblStyle w:val="TableGrid"/>
        <w:tblW w:type="auto" w:w="0"/>
        <w:jc w:val="center"/>
        <w:tblLook w:firstColumn="1" w:firstRow="1" w:lastColumn="0" w:lastRow="0" w:noHBand="0" w:noVBand="1" w:val="04A0"/>
      </w:tblPr>
      <w:tblGrid>
        <w:gridCol w:w="3331"/>
        <w:gridCol w:w="3331"/>
        <w:gridCol w:w="3331"/>
      </w:tblGrid>
      <w:tr>
        <w:tc>
          <w:tcPr>
            <w:tcW w:type="dxa" w:w="2448"/>
            <w:shd w:fill="D9EAF7"/>
            <w:vAlign w:val="center"/>
          </w:tcPr>
          <w:p>
            <w:pPr>
              <w:spacing w:after="20"/>
            </w:pPr>
            <w:r/>
            <w:r>
              <w:rPr>
                <w:rFonts w:ascii="Arial" w:hAnsi="Arial" w:eastAsia="Arial"/>
                <w:b/>
                <w:color w:val="1F4E79"/>
                <w:sz w:val="14"/>
              </w:rPr>
              <w:t>Event</w:t>
            </w:r>
          </w:p>
        </w:tc>
        <w:tc>
          <w:tcPr>
            <w:tcW w:type="dxa" w:w="4752"/>
            <w:shd w:fill="D9EAF7"/>
            <w:vAlign w:val="center"/>
          </w:tcPr>
          <w:p>
            <w:pPr>
              <w:spacing w:after="20"/>
            </w:pPr>
            <w:r/>
            <w:r>
              <w:rPr>
                <w:rFonts w:ascii="Arial" w:hAnsi="Arial" w:eastAsia="Arial"/>
                <w:b/>
                <w:color w:val="1F4E79"/>
                <w:sz w:val="14"/>
              </w:rPr>
              <w:t>Minimum fields</w:t>
            </w:r>
          </w:p>
        </w:tc>
        <w:tc>
          <w:tcPr>
            <w:tcW w:type="dxa" w:w="3312"/>
            <w:shd w:fill="D9EAF7"/>
            <w:vAlign w:val="center"/>
          </w:tcPr>
          <w:p>
            <w:pPr>
              <w:spacing w:after="20"/>
            </w:pPr>
            <w:r/>
            <w:r>
              <w:rPr>
                <w:rFonts w:ascii="Arial" w:hAnsi="Arial" w:eastAsia="Arial"/>
                <w:b/>
                <w:color w:val="1F4E79"/>
                <w:sz w:val="14"/>
              </w:rPr>
              <w:t>Allowed use</w:t>
            </w:r>
          </w:p>
        </w:tc>
      </w:tr>
      <w:tr>
        <w:tc>
          <w:tcPr>
            <w:tcW w:type="dxa" w:w="2448"/>
            <w:vAlign w:val="top"/>
          </w:tcPr>
          <w:p>
            <w:pPr>
              <w:spacing w:after="20"/>
            </w:pPr>
            <w:r/>
            <w:r>
              <w:rPr>
                <w:rFonts w:ascii="Arial" w:hAnsi="Arial" w:eastAsia="Arial"/>
                <w:b w:val="0"/>
                <w:sz w:val="14"/>
              </w:rPr>
              <w:t>lead_created</w:t>
            </w:r>
          </w:p>
        </w:tc>
        <w:tc>
          <w:tcPr>
            <w:tcW w:type="dxa" w:w="4752"/>
            <w:vAlign w:val="top"/>
          </w:tcPr>
          <w:p>
            <w:pPr>
              <w:spacing w:after="20"/>
            </w:pPr>
            <w:r/>
            <w:r>
              <w:rPr>
                <w:rFonts w:ascii="Arial" w:hAnsi="Arial" w:eastAsia="Arial"/>
                <w:b w:val="0"/>
                <w:sz w:val="14"/>
              </w:rPr>
              <w:t>lead_id, source, campaign, timestamp, consent status, owner</w:t>
            </w:r>
          </w:p>
        </w:tc>
        <w:tc>
          <w:tcPr>
            <w:tcW w:type="dxa" w:w="3312"/>
            <w:vAlign w:val="top"/>
          </w:tcPr>
          <w:p>
            <w:pPr>
              <w:spacing w:after="20"/>
            </w:pPr>
            <w:r/>
            <w:r>
              <w:rPr>
                <w:rFonts w:ascii="Arial" w:hAnsi="Arial" w:eastAsia="Arial"/>
                <w:b w:val="0"/>
                <w:sz w:val="14"/>
              </w:rPr>
              <w:t>Growth tracking and response automation.</w:t>
            </w:r>
          </w:p>
        </w:tc>
      </w:tr>
      <w:tr>
        <w:tc>
          <w:tcPr>
            <w:tcW w:type="dxa" w:w="2448"/>
            <w:vAlign w:val="top"/>
          </w:tcPr>
          <w:p>
            <w:pPr>
              <w:spacing w:after="20"/>
            </w:pPr>
            <w:r/>
            <w:r>
              <w:rPr>
                <w:rFonts w:ascii="Arial" w:hAnsi="Arial" w:eastAsia="Arial"/>
                <w:b w:val="0"/>
                <w:sz w:val="14"/>
              </w:rPr>
              <w:t>consult_booked</w:t>
            </w:r>
          </w:p>
        </w:tc>
        <w:tc>
          <w:tcPr>
            <w:tcW w:type="dxa" w:w="4752"/>
            <w:vAlign w:val="top"/>
          </w:tcPr>
          <w:p>
            <w:pPr>
              <w:spacing w:after="20"/>
            </w:pPr>
            <w:r/>
            <w:r>
              <w:rPr>
                <w:rFonts w:ascii="Arial" w:hAnsi="Arial" w:eastAsia="Arial"/>
                <w:b w:val="0"/>
                <w:sz w:val="14"/>
              </w:rPr>
              <w:t>lead/patient_id, appointment time, channel, coordinator, confirmation status</w:t>
            </w:r>
          </w:p>
        </w:tc>
        <w:tc>
          <w:tcPr>
            <w:tcW w:type="dxa" w:w="3312"/>
            <w:vAlign w:val="top"/>
          </w:tcPr>
          <w:p>
            <w:pPr>
              <w:spacing w:after="20"/>
            </w:pPr>
            <w:r/>
            <w:r>
              <w:rPr>
                <w:rFonts w:ascii="Arial" w:hAnsi="Arial" w:eastAsia="Arial"/>
                <w:b w:val="0"/>
                <w:sz w:val="14"/>
              </w:rPr>
              <w:t>Scheduling, reminders, no-show prediction.</w:t>
            </w:r>
          </w:p>
        </w:tc>
      </w:tr>
      <w:tr>
        <w:tc>
          <w:tcPr>
            <w:tcW w:type="dxa" w:w="2448"/>
            <w:vAlign w:val="top"/>
          </w:tcPr>
          <w:p>
            <w:pPr>
              <w:spacing w:after="20"/>
            </w:pPr>
            <w:r/>
            <w:r>
              <w:rPr>
                <w:rFonts w:ascii="Arial" w:hAnsi="Arial" w:eastAsia="Arial"/>
                <w:b w:val="0"/>
                <w:sz w:val="14"/>
              </w:rPr>
              <w:t>clinical_intake_completed</w:t>
            </w:r>
          </w:p>
        </w:tc>
        <w:tc>
          <w:tcPr>
            <w:tcW w:type="dxa" w:w="4752"/>
            <w:vAlign w:val="top"/>
          </w:tcPr>
          <w:p>
            <w:pPr>
              <w:spacing w:after="20"/>
            </w:pPr>
            <w:r/>
            <w:r>
              <w:rPr>
                <w:rFonts w:ascii="Arial" w:hAnsi="Arial" w:eastAsia="Arial"/>
                <w:b w:val="0"/>
                <w:sz w:val="14"/>
              </w:rPr>
              <w:t>patient_id, completion flag, missing items flag, clinician owner</w:t>
            </w:r>
          </w:p>
        </w:tc>
        <w:tc>
          <w:tcPr>
            <w:tcW w:type="dxa" w:w="3312"/>
            <w:vAlign w:val="top"/>
          </w:tcPr>
          <w:p>
            <w:pPr>
              <w:spacing w:after="20"/>
            </w:pPr>
            <w:r/>
            <w:r>
              <w:rPr>
                <w:rFonts w:ascii="Arial" w:hAnsi="Arial" w:eastAsia="Arial"/>
                <w:b w:val="0"/>
                <w:sz w:val="14"/>
              </w:rPr>
              <w:t>Clinical readiness; only aggregate status to growth.</w:t>
            </w:r>
          </w:p>
        </w:tc>
      </w:tr>
      <w:tr>
        <w:tc>
          <w:tcPr>
            <w:tcW w:type="dxa" w:w="2448"/>
            <w:vAlign w:val="top"/>
          </w:tcPr>
          <w:p>
            <w:pPr>
              <w:spacing w:after="20"/>
            </w:pPr>
            <w:r/>
            <w:r>
              <w:rPr>
                <w:rFonts w:ascii="Arial" w:hAnsi="Arial" w:eastAsia="Arial"/>
                <w:b w:val="0"/>
                <w:sz w:val="14"/>
              </w:rPr>
              <w:t>treatment_plan_created</w:t>
            </w:r>
          </w:p>
        </w:tc>
        <w:tc>
          <w:tcPr>
            <w:tcW w:type="dxa" w:w="4752"/>
            <w:vAlign w:val="top"/>
          </w:tcPr>
          <w:p>
            <w:pPr>
              <w:spacing w:after="20"/>
            </w:pPr>
            <w:r/>
            <w:r>
              <w:rPr>
                <w:rFonts w:ascii="Arial" w:hAnsi="Arial" w:eastAsia="Arial"/>
                <w:b w:val="0"/>
                <w:sz w:val="14"/>
              </w:rPr>
              <w:t>patient_id, plan status, clinician approval flag, case category</w:t>
            </w:r>
          </w:p>
        </w:tc>
        <w:tc>
          <w:tcPr>
            <w:tcW w:type="dxa" w:w="3312"/>
            <w:vAlign w:val="top"/>
          </w:tcPr>
          <w:p>
            <w:pPr>
              <w:spacing w:after="20"/>
            </w:pPr>
            <w:r/>
            <w:r>
              <w:rPr>
                <w:rFonts w:ascii="Arial" w:hAnsi="Arial" w:eastAsia="Arial"/>
                <w:b w:val="0"/>
                <w:sz w:val="14"/>
              </w:rPr>
              <w:t>Clinical workflow; limited business aggregation.</w:t>
            </w:r>
          </w:p>
        </w:tc>
      </w:tr>
      <w:tr>
        <w:tc>
          <w:tcPr>
            <w:tcW w:type="dxa" w:w="2448"/>
            <w:vAlign w:val="top"/>
          </w:tcPr>
          <w:p>
            <w:pPr>
              <w:spacing w:after="20"/>
            </w:pPr>
            <w:r/>
            <w:r>
              <w:rPr>
                <w:rFonts w:ascii="Arial" w:hAnsi="Arial" w:eastAsia="Arial"/>
                <w:b w:val="0"/>
                <w:sz w:val="14"/>
              </w:rPr>
              <w:t>treatment_plan_accepted</w:t>
            </w:r>
          </w:p>
        </w:tc>
        <w:tc>
          <w:tcPr>
            <w:tcW w:type="dxa" w:w="4752"/>
            <w:vAlign w:val="top"/>
          </w:tcPr>
          <w:p>
            <w:pPr>
              <w:spacing w:after="20"/>
            </w:pPr>
            <w:r/>
            <w:r>
              <w:rPr>
                <w:rFonts w:ascii="Arial" w:hAnsi="Arial" w:eastAsia="Arial"/>
                <w:b w:val="0"/>
                <w:sz w:val="14"/>
              </w:rPr>
              <w:t>patient_id, acceptance timestamp, coordinator, financing status, aggregated case value band</w:t>
            </w:r>
          </w:p>
        </w:tc>
        <w:tc>
          <w:tcPr>
            <w:tcW w:type="dxa" w:w="3312"/>
            <w:vAlign w:val="top"/>
          </w:tcPr>
          <w:p>
            <w:pPr>
              <w:spacing w:after="20"/>
            </w:pPr>
            <w:r/>
            <w:r>
              <w:rPr>
                <w:rFonts w:ascii="Arial" w:hAnsi="Arial" w:eastAsia="Arial"/>
                <w:b w:val="0"/>
                <w:sz w:val="14"/>
              </w:rPr>
              <w:t>Growth attribution and revenue forecasting without exposing clinical detail.</w:t>
            </w:r>
          </w:p>
        </w:tc>
      </w:tr>
      <w:tr>
        <w:tc>
          <w:tcPr>
            <w:tcW w:type="dxa" w:w="2448"/>
            <w:vAlign w:val="top"/>
          </w:tcPr>
          <w:p>
            <w:pPr>
              <w:spacing w:after="20"/>
            </w:pPr>
            <w:r/>
            <w:r>
              <w:rPr>
                <w:rFonts w:ascii="Arial" w:hAnsi="Arial" w:eastAsia="Arial"/>
                <w:b w:val="0"/>
                <w:sz w:val="14"/>
              </w:rPr>
              <w:t>surgery_completed</w:t>
            </w:r>
          </w:p>
        </w:tc>
        <w:tc>
          <w:tcPr>
            <w:tcW w:type="dxa" w:w="4752"/>
            <w:vAlign w:val="top"/>
          </w:tcPr>
          <w:p>
            <w:pPr>
              <w:spacing w:after="20"/>
            </w:pPr>
            <w:r/>
            <w:r>
              <w:rPr>
                <w:rFonts w:ascii="Arial" w:hAnsi="Arial" w:eastAsia="Arial"/>
                <w:b w:val="0"/>
                <w:sz w:val="14"/>
              </w:rPr>
              <w:t>patient_id, procedure completion flag, implant inventory event, follow-up schedule</w:t>
            </w:r>
          </w:p>
        </w:tc>
        <w:tc>
          <w:tcPr>
            <w:tcW w:type="dxa" w:w="3312"/>
            <w:vAlign w:val="top"/>
          </w:tcPr>
          <w:p>
            <w:pPr>
              <w:spacing w:after="20"/>
            </w:pPr>
            <w:r/>
            <w:r>
              <w:rPr>
                <w:rFonts w:ascii="Arial" w:hAnsi="Arial" w:eastAsia="Arial"/>
                <w:b w:val="0"/>
                <w:sz w:val="14"/>
              </w:rPr>
              <w:t>Clinical documentation, inventory, follow-up, aggregate outcome learning.</w:t>
            </w:r>
          </w:p>
        </w:tc>
      </w:tr>
      <w:tr>
        <w:tc>
          <w:tcPr>
            <w:tcW w:type="dxa" w:w="2448"/>
            <w:vAlign w:val="top"/>
          </w:tcPr>
          <w:p>
            <w:pPr>
              <w:spacing w:after="20"/>
            </w:pPr>
            <w:r/>
            <w:r>
              <w:rPr>
                <w:rFonts w:ascii="Arial" w:hAnsi="Arial" w:eastAsia="Arial"/>
                <w:b w:val="0"/>
                <w:sz w:val="14"/>
              </w:rPr>
              <w:t>post_op_red_flag</w:t>
            </w:r>
          </w:p>
        </w:tc>
        <w:tc>
          <w:tcPr>
            <w:tcW w:type="dxa" w:w="4752"/>
            <w:vAlign w:val="top"/>
          </w:tcPr>
          <w:p>
            <w:pPr>
              <w:spacing w:after="20"/>
            </w:pPr>
            <w:r/>
            <w:r>
              <w:rPr>
                <w:rFonts w:ascii="Arial" w:hAnsi="Arial" w:eastAsia="Arial"/>
                <w:b w:val="0"/>
                <w:sz w:val="14"/>
              </w:rPr>
              <w:t>patient_id, symptom category, severity, escalation owner, timestamp</w:t>
            </w:r>
          </w:p>
        </w:tc>
        <w:tc>
          <w:tcPr>
            <w:tcW w:type="dxa" w:w="3312"/>
            <w:vAlign w:val="top"/>
          </w:tcPr>
          <w:p>
            <w:pPr>
              <w:spacing w:after="20"/>
            </w:pPr>
            <w:r/>
            <w:r>
              <w:rPr>
                <w:rFonts w:ascii="Arial" w:hAnsi="Arial" w:eastAsia="Arial"/>
                <w:b w:val="0"/>
                <w:sz w:val="14"/>
              </w:rPr>
              <w:t>Immediate clinical escalation; restricted access.</w:t>
            </w:r>
          </w:p>
        </w:tc>
      </w:tr>
    </w:tbl>
    <w:p>
      <w:pPr>
        <w:pStyle w:val="Small"/>
      </w:pPr>
    </w:p>
    <w:p>
      <w:pPr>
        <w:pStyle w:val="Heading1"/>
      </w:pPr>
      <w:r>
        <w:t>7. Vendor and BAA Strategy</w:t>
      </w:r>
    </w:p>
    <w:p>
      <w:pPr/>
      <w:r>
        <w:t>The founder team has stated that Google BAA and OpenAI API BAA are already in place, and that Claude Code/API BAA is expected soon. This is a major advantage because it allows the PHI-capable AI layer to be designed earlier. However, a BAA is not a blanket permission to use every product, endpoint, feature, interface, integration, or logging mode with PHI.</w:t>
      </w:r>
    </w:p>
    <w:p>
      <w:pPr/>
      <w:r>
        <w:t>The operating rule is: PHI may flow only through approved services, covered services, eligible endpoints/features, approved retention settings, and approved projects/accounts. Every vendor and feature must be checked before use with PHI.</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232"/>
            <w:shd w:fill="D9EAF7"/>
            <w:vAlign w:val="center"/>
          </w:tcPr>
          <w:p>
            <w:pPr>
              <w:spacing w:after="20"/>
            </w:pPr>
            <w:r/>
            <w:r>
              <w:rPr>
                <w:rFonts w:ascii="Arial" w:hAnsi="Arial" w:eastAsia="Arial"/>
                <w:b/>
                <w:color w:val="1F4E79"/>
                <w:sz w:val="14"/>
              </w:rPr>
              <w:t>Vendor / system</w:t>
            </w:r>
          </w:p>
        </w:tc>
        <w:tc>
          <w:tcPr>
            <w:tcW w:type="dxa" w:w="1944"/>
            <w:shd w:fill="D9EAF7"/>
            <w:vAlign w:val="center"/>
          </w:tcPr>
          <w:p>
            <w:pPr>
              <w:spacing w:after="20"/>
            </w:pPr>
            <w:r/>
            <w:r>
              <w:rPr>
                <w:rFonts w:ascii="Arial" w:hAnsi="Arial" w:eastAsia="Arial"/>
                <w:b/>
                <w:color w:val="1F4E79"/>
                <w:sz w:val="14"/>
              </w:rPr>
              <w:t>Current assumption</w:t>
            </w:r>
          </w:p>
        </w:tc>
        <w:tc>
          <w:tcPr>
            <w:tcW w:type="dxa" w:w="3240"/>
            <w:shd w:fill="D9EAF7"/>
            <w:vAlign w:val="center"/>
          </w:tcPr>
          <w:p>
            <w:pPr>
              <w:spacing w:after="20"/>
            </w:pPr>
            <w:r/>
            <w:r>
              <w:rPr>
                <w:rFonts w:ascii="Arial" w:hAnsi="Arial" w:eastAsia="Arial"/>
                <w:b/>
                <w:color w:val="1F4E79"/>
                <w:sz w:val="14"/>
              </w:rPr>
              <w:t>Strategic use</w:t>
            </w:r>
          </w:p>
        </w:tc>
        <w:tc>
          <w:tcPr>
            <w:tcW w:type="dxa" w:w="3168"/>
            <w:shd w:fill="D9EAF7"/>
            <w:vAlign w:val="center"/>
          </w:tcPr>
          <w:p>
            <w:pPr>
              <w:spacing w:after="20"/>
            </w:pPr>
            <w:r/>
            <w:r>
              <w:rPr>
                <w:rFonts w:ascii="Arial" w:hAnsi="Arial" w:eastAsia="Arial"/>
                <w:b/>
                <w:color w:val="1F4E79"/>
                <w:sz w:val="14"/>
              </w:rPr>
              <w:t>Required control</w:t>
            </w:r>
          </w:p>
        </w:tc>
      </w:tr>
      <w:tr>
        <w:tc>
          <w:tcPr>
            <w:tcW w:type="dxa" w:w="2232"/>
            <w:vAlign w:val="top"/>
          </w:tcPr>
          <w:p>
            <w:pPr>
              <w:spacing w:after="20"/>
            </w:pPr>
            <w:r/>
            <w:r>
              <w:rPr>
                <w:rFonts w:ascii="Arial" w:hAnsi="Arial" w:eastAsia="Arial"/>
                <w:b w:val="0"/>
                <w:sz w:val="14"/>
              </w:rPr>
              <w:t>Google Workspace / Google Cloud</w:t>
            </w:r>
          </w:p>
        </w:tc>
        <w:tc>
          <w:tcPr>
            <w:tcW w:type="dxa" w:w="1944"/>
            <w:vAlign w:val="top"/>
          </w:tcPr>
          <w:p>
            <w:pPr>
              <w:spacing w:after="20"/>
            </w:pPr>
            <w:r/>
            <w:r>
              <w:rPr>
                <w:rFonts w:ascii="Arial" w:hAnsi="Arial" w:eastAsia="Arial"/>
                <w:b w:val="0"/>
                <w:sz w:val="14"/>
              </w:rPr>
              <w:t>BAA executed.</w:t>
            </w:r>
          </w:p>
        </w:tc>
        <w:tc>
          <w:tcPr>
            <w:tcW w:type="dxa" w:w="3240"/>
            <w:vAlign w:val="top"/>
          </w:tcPr>
          <w:p>
            <w:pPr>
              <w:spacing w:after="20"/>
            </w:pPr>
            <w:r/>
            <w:r>
              <w:rPr>
                <w:rFonts w:ascii="Arial" w:hAnsi="Arial" w:eastAsia="Arial"/>
                <w:b w:val="0"/>
                <w:sz w:val="14"/>
              </w:rPr>
              <w:t>Documents, storage, identity, internal knowledge, dashboards, possible cloud infrastructure.</w:t>
            </w:r>
          </w:p>
        </w:tc>
        <w:tc>
          <w:tcPr>
            <w:tcW w:type="dxa" w:w="3168"/>
            <w:vAlign w:val="top"/>
          </w:tcPr>
          <w:p>
            <w:pPr>
              <w:spacing w:after="20"/>
            </w:pPr>
            <w:r/>
            <w:r>
              <w:rPr>
                <w:rFonts w:ascii="Arial" w:hAnsi="Arial" w:eastAsia="Arial"/>
                <w:b w:val="0"/>
                <w:sz w:val="14"/>
              </w:rPr>
              <w:t>Use only Covered Services and configured accounts/projects. Verify sharing, retention, logging, and third-party add-ons.</w:t>
            </w:r>
          </w:p>
        </w:tc>
      </w:tr>
      <w:tr>
        <w:tc>
          <w:tcPr>
            <w:tcW w:type="dxa" w:w="2232"/>
            <w:vAlign w:val="top"/>
          </w:tcPr>
          <w:p>
            <w:pPr>
              <w:spacing w:after="20"/>
            </w:pPr>
            <w:r/>
            <w:r>
              <w:rPr>
                <w:rFonts w:ascii="Arial" w:hAnsi="Arial" w:eastAsia="Arial"/>
                <w:b w:val="0"/>
                <w:sz w:val="14"/>
              </w:rPr>
              <w:t>OpenAI API</w:t>
            </w:r>
          </w:p>
        </w:tc>
        <w:tc>
          <w:tcPr>
            <w:tcW w:type="dxa" w:w="1944"/>
            <w:vAlign w:val="top"/>
          </w:tcPr>
          <w:p>
            <w:pPr>
              <w:spacing w:after="20"/>
            </w:pPr>
            <w:r/>
            <w:r>
              <w:rPr>
                <w:rFonts w:ascii="Arial" w:hAnsi="Arial" w:eastAsia="Arial"/>
                <w:b w:val="0"/>
                <w:sz w:val="14"/>
              </w:rPr>
              <w:t>BAA executed.</w:t>
            </w:r>
          </w:p>
        </w:tc>
        <w:tc>
          <w:tcPr>
            <w:tcW w:type="dxa" w:w="3240"/>
            <w:vAlign w:val="top"/>
          </w:tcPr>
          <w:p>
            <w:pPr>
              <w:spacing w:after="20"/>
            </w:pPr>
            <w:r/>
            <w:r>
              <w:rPr>
                <w:rFonts w:ascii="Arial" w:hAnsi="Arial" w:eastAsia="Arial"/>
                <w:b w:val="0"/>
                <w:sz w:val="14"/>
              </w:rPr>
              <w:t>PHI-safe agent workflows, summarization, extraction, coding support through API where eligible.</w:t>
            </w:r>
          </w:p>
        </w:tc>
        <w:tc>
          <w:tcPr>
            <w:tcW w:type="dxa" w:w="3168"/>
            <w:vAlign w:val="top"/>
          </w:tcPr>
          <w:p>
            <w:pPr>
              <w:spacing w:after="20"/>
            </w:pPr>
            <w:r/>
            <w:r>
              <w:rPr>
                <w:rFonts w:ascii="Arial" w:hAnsi="Arial" w:eastAsia="Arial"/>
                <w:b w:val="0"/>
                <w:sz w:val="14"/>
              </w:rPr>
              <w:t>Use only BAA-covered, zero-retention eligible endpoints/features. Do not route PHI through non-covered tools such as consumer chat or non-HIPAA-eligible features.</w:t>
            </w:r>
          </w:p>
        </w:tc>
      </w:tr>
      <w:tr>
        <w:tc>
          <w:tcPr>
            <w:tcW w:type="dxa" w:w="2232"/>
            <w:vAlign w:val="top"/>
          </w:tcPr>
          <w:p>
            <w:pPr>
              <w:spacing w:after="20"/>
            </w:pPr>
            <w:r/>
            <w:r>
              <w:rPr>
                <w:rFonts w:ascii="Arial" w:hAnsi="Arial" w:eastAsia="Arial"/>
                <w:b w:val="0"/>
                <w:sz w:val="14"/>
              </w:rPr>
              <w:t>Anthropic Claude Code / Claude API</w:t>
            </w:r>
          </w:p>
        </w:tc>
        <w:tc>
          <w:tcPr>
            <w:tcW w:type="dxa" w:w="1944"/>
            <w:vAlign w:val="top"/>
          </w:tcPr>
          <w:p>
            <w:pPr>
              <w:spacing w:after="20"/>
            </w:pPr>
            <w:r/>
            <w:r>
              <w:rPr>
                <w:rFonts w:ascii="Arial" w:hAnsi="Arial" w:eastAsia="Arial"/>
                <w:b w:val="0"/>
                <w:sz w:val="14"/>
              </w:rPr>
              <w:t>BAA planned/pending.</w:t>
            </w:r>
          </w:p>
        </w:tc>
        <w:tc>
          <w:tcPr>
            <w:tcW w:type="dxa" w:w="3240"/>
            <w:vAlign w:val="top"/>
          </w:tcPr>
          <w:p>
            <w:pPr>
              <w:spacing w:after="20"/>
            </w:pPr>
            <w:r/>
            <w:r>
              <w:rPr>
                <w:rFonts w:ascii="Arial" w:hAnsi="Arial" w:eastAsia="Arial"/>
                <w:b w:val="0"/>
                <w:sz w:val="14"/>
              </w:rPr>
              <w:t>Software factory, code generation, clinical/admin agent support after approval.</w:t>
            </w:r>
          </w:p>
        </w:tc>
        <w:tc>
          <w:tcPr>
            <w:tcW w:type="dxa" w:w="3168"/>
            <w:vAlign w:val="top"/>
          </w:tcPr>
          <w:p>
            <w:pPr>
              <w:spacing w:after="20"/>
            </w:pPr>
            <w:r/>
            <w:r>
              <w:rPr>
                <w:rFonts w:ascii="Arial" w:hAnsi="Arial" w:eastAsia="Arial"/>
                <w:b w:val="0"/>
                <w:sz w:val="14"/>
              </w:rPr>
              <w:t>Enable PHI only after BAA, ZDR/retention, and feature eligibility are confirmed. Avoid consumer Claude and non-covered features.</w:t>
            </w:r>
          </w:p>
        </w:tc>
      </w:tr>
      <w:tr>
        <w:tc>
          <w:tcPr>
            <w:tcW w:type="dxa" w:w="2232"/>
            <w:vAlign w:val="top"/>
          </w:tcPr>
          <w:p>
            <w:pPr>
              <w:spacing w:after="20"/>
            </w:pPr>
            <w:r/>
            <w:r>
              <w:rPr>
                <w:rFonts w:ascii="Arial" w:hAnsi="Arial" w:eastAsia="Arial"/>
                <w:b w:val="0"/>
                <w:sz w:val="14"/>
              </w:rPr>
              <w:t>CRM / phone / SMS / call recording</w:t>
            </w:r>
          </w:p>
        </w:tc>
        <w:tc>
          <w:tcPr>
            <w:tcW w:type="dxa" w:w="1944"/>
            <w:vAlign w:val="top"/>
          </w:tcPr>
          <w:p>
            <w:pPr>
              <w:spacing w:after="20"/>
            </w:pPr>
            <w:r/>
            <w:r>
              <w:rPr>
                <w:rFonts w:ascii="Arial" w:hAnsi="Arial" w:eastAsia="Arial"/>
                <w:b w:val="0"/>
                <w:sz w:val="14"/>
              </w:rPr>
              <w:t>To be selected or confirmed.</w:t>
            </w:r>
          </w:p>
        </w:tc>
        <w:tc>
          <w:tcPr>
            <w:tcW w:type="dxa" w:w="3240"/>
            <w:vAlign w:val="top"/>
          </w:tcPr>
          <w:p>
            <w:pPr>
              <w:spacing w:after="20"/>
            </w:pPr>
            <w:r/>
            <w:r>
              <w:rPr>
                <w:rFonts w:ascii="Arial" w:hAnsi="Arial" w:eastAsia="Arial"/>
                <w:b w:val="0"/>
                <w:sz w:val="14"/>
              </w:rPr>
              <w:t>Lead capture, calls, transcripts, reminders, follow-up, revenue attribution.</w:t>
            </w:r>
          </w:p>
        </w:tc>
        <w:tc>
          <w:tcPr>
            <w:tcW w:type="dxa" w:w="3168"/>
            <w:vAlign w:val="top"/>
          </w:tcPr>
          <w:p>
            <w:pPr>
              <w:spacing w:after="20"/>
            </w:pPr>
            <w:r/>
            <w:r>
              <w:rPr>
                <w:rFonts w:ascii="Arial" w:hAnsi="Arial" w:eastAsia="Arial"/>
                <w:b w:val="0"/>
                <w:sz w:val="14"/>
              </w:rPr>
              <w:t>If PHI is created, received, maintained, or transmitted, vendor must be reviewed for HIPAA/BAA and retention/access controls.</w:t>
            </w:r>
          </w:p>
        </w:tc>
      </w:tr>
      <w:tr>
        <w:tc>
          <w:tcPr>
            <w:tcW w:type="dxa" w:w="2232"/>
            <w:vAlign w:val="top"/>
          </w:tcPr>
          <w:p>
            <w:pPr>
              <w:spacing w:after="20"/>
            </w:pPr>
            <w:r/>
            <w:r>
              <w:rPr>
                <w:rFonts w:ascii="Arial" w:hAnsi="Arial" w:eastAsia="Arial"/>
                <w:b w:val="0"/>
                <w:sz w:val="14"/>
              </w:rPr>
              <w:t>PMS/EHR/clinical imaging</w:t>
            </w:r>
          </w:p>
        </w:tc>
        <w:tc>
          <w:tcPr>
            <w:tcW w:type="dxa" w:w="1944"/>
            <w:vAlign w:val="top"/>
          </w:tcPr>
          <w:p>
            <w:pPr>
              <w:spacing w:after="20"/>
            </w:pPr>
            <w:r/>
            <w:r>
              <w:rPr>
                <w:rFonts w:ascii="Arial" w:hAnsi="Arial" w:eastAsia="Arial"/>
                <w:b w:val="0"/>
                <w:sz w:val="14"/>
              </w:rPr>
              <w:t>To be selected or confirmed.</w:t>
            </w:r>
          </w:p>
        </w:tc>
        <w:tc>
          <w:tcPr>
            <w:tcW w:type="dxa" w:w="3240"/>
            <w:vAlign w:val="top"/>
          </w:tcPr>
          <w:p>
            <w:pPr>
              <w:spacing w:after="20"/>
            </w:pPr>
            <w:r/>
            <w:r>
              <w:rPr>
                <w:rFonts w:ascii="Arial" w:hAnsi="Arial" w:eastAsia="Arial"/>
                <w:b w:val="0"/>
                <w:sz w:val="14"/>
              </w:rPr>
              <w:t>Clinical record, imaging, charting, consent, scheduling, billing.</w:t>
            </w:r>
          </w:p>
        </w:tc>
        <w:tc>
          <w:tcPr>
            <w:tcW w:type="dxa" w:w="3168"/>
            <w:vAlign w:val="top"/>
          </w:tcPr>
          <w:p>
            <w:pPr>
              <w:spacing w:after="20"/>
            </w:pPr>
            <w:r/>
            <w:r>
              <w:rPr>
                <w:rFonts w:ascii="Arial" w:hAnsi="Arial" w:eastAsia="Arial"/>
                <w:b w:val="0"/>
                <w:sz w:val="14"/>
              </w:rPr>
              <w:t>Must be treated as clinical system of record with strict access and audit controls.</w:t>
            </w:r>
          </w:p>
        </w:tc>
      </w:tr>
    </w:tbl>
    <w:p>
      <w:pPr>
        <w:pStyle w:val="Small"/>
      </w:pPr>
    </w:p>
    <w:p>
      <w:pPr/>
      <w:r>
        <w:t>OpenAI states that use of PHI on its API platform requires a BAA, and that only endpoints eligible for zero retention are covered by the BAA. OpenAI also documents that web search is ZDR eligible but not HIPAA eligible and not covered by a BAA. Anthropic states that BAA coverage applies only to qualifying HIPAA-ready services and that not all features are covered; Anthropic documentation also states that Claude Code BAA coverage depends on an executed BAA and Zero Data Retention for API traffic through Claude Code. Google similarly limits BAA coverage to Covered Services and states that customers remain responsible for building and operating a HIPAA-compliant solution using approved services. See References [R10]-[R15].</w:t>
      </w:r>
    </w:p>
    <w:p>
      <w:pPr>
        <w:pStyle w:val="Heading1"/>
      </w:pPr>
      <w:r>
        <w:t>8. AI Agent Operating Charter</w:t>
      </w:r>
    </w:p>
    <w:p>
      <w:pPr/>
      <w:r>
        <w:t>This section is written for both humans and agents. It defines the behavioral constitution for all future AI agents in the clinic OS.</w:t>
      </w:r>
    </w:p>
    <w:p>
      <w:pPr>
        <w:pStyle w:val="Heading2"/>
      </w:pPr>
      <w:r>
        <w:t>8.1 Trust hierarchy</w:t>
      </w:r>
    </w:p>
    <w:p>
      <w:pPr>
        <w:pStyle w:val="ListNumber"/>
        <w:ind w:left="360"/>
      </w:pPr>
      <w:r>
        <w:t>Applicable law, regulations, licensing rules, signed contracts, and patient rights.</w:t>
      </w:r>
    </w:p>
    <w:p>
      <w:pPr>
        <w:pStyle w:val="ListNumber"/>
        <w:ind w:left="360"/>
      </w:pPr>
      <w:r>
        <w:t>Patient safety and licensed clinician judgment.</w:t>
      </w:r>
    </w:p>
    <w:p>
      <w:pPr>
        <w:pStyle w:val="ListNumber"/>
        <w:ind w:left="360"/>
      </w:pPr>
      <w:r>
        <w:t>Privacy, security, HIPAA, BAA scope, and data access policy.</w:t>
      </w:r>
    </w:p>
    <w:p>
      <w:pPr>
        <w:pStyle w:val="ListNumber"/>
        <w:ind w:left="360"/>
      </w:pPr>
      <w:r>
        <w:t>Approved clinical SOPs, approved patient-facing scripts, and approved escalation protocols.</w:t>
      </w:r>
    </w:p>
    <w:p>
      <w:pPr>
        <w:pStyle w:val="ListNumber"/>
        <w:ind w:left="360"/>
      </w:pPr>
      <w:r>
        <w:t>This white paper as strategic doctrine.</w:t>
      </w:r>
    </w:p>
    <w:p>
      <w:pPr>
        <w:pStyle w:val="ListNumber"/>
        <w:ind w:left="360"/>
      </w:pPr>
      <w:r>
        <w:t>DRI instructions and workflow-specific agent specifications.</w:t>
      </w:r>
    </w:p>
    <w:p>
      <w:pPr>
        <w:pStyle w:val="ListNumber"/>
        <w:ind w:left="360"/>
      </w:pPr>
      <w:r>
        <w:t>General AI model behavior, prior examples, or inferred preferences.</w:t>
      </w:r>
    </w:p>
    <w:p>
      <w:pPr>
        <w:pStyle w:val="Callout"/>
        <w:shd w:fill="FFF2CC"/>
      </w:pPr>
      <w:r>
        <w:rPr>
          <w:b/>
          <w:color w:val="1F4E79"/>
        </w:rPr>
        <w:t xml:space="preserve">Conflict rule: </w:t>
      </w:r>
      <w:r>
        <w:t>If an AI agent detects conflict between instructions, it MUST follow the stricter rule and escalate the conflict to the appropriate DRI.</w:t>
      </w:r>
    </w:p>
    <w:p>
      <w:pPr>
        <w:pStyle w:val="Heading2"/>
      </w:pPr>
      <w:r>
        <w:t>8.2 Universal mandatory rules for AI agents</w:t>
      </w:r>
    </w:p>
    <w:p>
      <w:pPr>
        <w:pStyle w:val="ListBullet"/>
        <w:ind w:left="317"/>
      </w:pPr>
      <w:r>
        <w:t>An agent MUST classify data before processing: Public, Internal, Restricted Business, or PHI/ePHI.</w:t>
      </w:r>
    </w:p>
    <w:p>
      <w:pPr>
        <w:pStyle w:val="ListBullet"/>
        <w:ind w:left="317"/>
      </w:pPr>
      <w:r>
        <w:t>An agent MUST use the minimum necessary context to complete the task.</w:t>
      </w:r>
    </w:p>
    <w:p>
      <w:pPr>
        <w:pStyle w:val="ListBullet"/>
        <w:ind w:left="317"/>
      </w:pPr>
      <w:r>
        <w:t>An agent MUST operate only in approved tools, accounts, endpoints, and vendors for the relevant data class.</w:t>
      </w:r>
    </w:p>
    <w:p>
      <w:pPr>
        <w:pStyle w:val="ListBullet"/>
        <w:ind w:left="317"/>
      </w:pPr>
      <w:r>
        <w:t>An agent MUST NOT disclose PHI to marketing systems, non-approved AI tools, consumer chat products, public channels, or unapproved vendors.</w:t>
      </w:r>
    </w:p>
    <w:p>
      <w:pPr>
        <w:pStyle w:val="ListBullet"/>
        <w:ind w:left="317"/>
      </w:pPr>
      <w:r>
        <w:t>An agent MUST NOT diagnose, prescribe, finalize treatment plans, alter clinical records, or change post-op instructions without licensed clinician approval.</w:t>
      </w:r>
    </w:p>
    <w:p>
      <w:pPr>
        <w:pStyle w:val="ListBullet"/>
        <w:ind w:left="317"/>
      </w:pPr>
      <w:r>
        <w:t>An agent MUST escalate red flags, uncertainty, conflicting information, consent gaps, security concerns, and suspected policy violations.</w:t>
      </w:r>
    </w:p>
    <w:p>
      <w:pPr>
        <w:pStyle w:val="ListBullet"/>
        <w:ind w:left="317"/>
      </w:pPr>
      <w:r>
        <w:t>An agent MUST log meaningful actions, sources, outputs, model/tool version, data class, and human approvals.</w:t>
      </w:r>
    </w:p>
    <w:p>
      <w:pPr>
        <w:pStyle w:val="ListBullet"/>
        <w:ind w:left="317"/>
      </w:pPr>
      <w:r>
        <w:t>An agent SHOULD produce structured artifacts: summaries, next actions, owner, confidence, risk flags, and citations or source links when available.</w:t>
      </w:r>
    </w:p>
    <w:p>
      <w:pPr>
        <w:pStyle w:val="ListBullet"/>
        <w:ind w:left="317"/>
      </w:pPr>
      <w:r>
        <w:t>An agent MAY autonomously execute low-risk operational actions only when the workflow spec explicitly permits it.</w:t>
      </w:r>
    </w:p>
    <w:p>
      <w:pPr>
        <w:pStyle w:val="Heading2"/>
      </w:pPr>
      <w:r>
        <w:t>8.3 Action risk levels</w:t>
      </w:r>
    </w:p>
    <w:tbl>
      <w:tblPr>
        <w:tblStyle w:val="TableGrid"/>
        <w:tblW w:type="auto" w:w="0"/>
        <w:jc w:val="center"/>
        <w:tblLook w:firstColumn="1" w:firstRow="1" w:lastColumn="0" w:lastRow="0" w:noHBand="0" w:noVBand="1" w:val="04A0"/>
      </w:tblPr>
      <w:tblGrid>
        <w:gridCol w:w="3331"/>
        <w:gridCol w:w="3331"/>
        <w:gridCol w:w="3331"/>
      </w:tblGrid>
      <w:tr>
        <w:tc>
          <w:tcPr>
            <w:tcW w:type="dxa" w:w="2448"/>
            <w:shd w:fill="D9EAF7"/>
            <w:vAlign w:val="center"/>
          </w:tcPr>
          <w:p>
            <w:pPr>
              <w:spacing w:after="20"/>
            </w:pPr>
            <w:r/>
            <w:r>
              <w:rPr>
                <w:rFonts w:ascii="Arial" w:hAnsi="Arial" w:eastAsia="Arial"/>
                <w:b/>
                <w:color w:val="1F4E79"/>
                <w:sz w:val="15"/>
              </w:rPr>
              <w:t>Level</w:t>
            </w:r>
          </w:p>
        </w:tc>
        <w:tc>
          <w:tcPr>
            <w:tcW w:type="dxa" w:w="4752"/>
            <w:shd w:fill="D9EAF7"/>
            <w:vAlign w:val="center"/>
          </w:tcPr>
          <w:p>
            <w:pPr>
              <w:spacing w:after="20"/>
            </w:pPr>
            <w:r/>
            <w:r>
              <w:rPr>
                <w:rFonts w:ascii="Arial" w:hAnsi="Arial" w:eastAsia="Arial"/>
                <w:b/>
                <w:color w:val="1F4E79"/>
                <w:sz w:val="15"/>
              </w:rPr>
              <w:t>Examples</w:t>
            </w:r>
          </w:p>
        </w:tc>
        <w:tc>
          <w:tcPr>
            <w:tcW w:type="dxa" w:w="3312"/>
            <w:shd w:fill="D9EAF7"/>
            <w:vAlign w:val="center"/>
          </w:tcPr>
          <w:p>
            <w:pPr>
              <w:spacing w:after="20"/>
            </w:pPr>
            <w:r/>
            <w:r>
              <w:rPr>
                <w:rFonts w:ascii="Arial" w:hAnsi="Arial" w:eastAsia="Arial"/>
                <w:b/>
                <w:color w:val="1F4E79"/>
                <w:sz w:val="15"/>
              </w:rPr>
              <w:t>Default approval requirement</w:t>
            </w:r>
          </w:p>
        </w:tc>
      </w:tr>
      <w:tr>
        <w:tc>
          <w:tcPr>
            <w:tcW w:type="dxa" w:w="2448"/>
            <w:vAlign w:val="top"/>
          </w:tcPr>
          <w:p>
            <w:pPr>
              <w:spacing w:after="20"/>
            </w:pPr>
            <w:r/>
            <w:r>
              <w:rPr>
                <w:rFonts w:ascii="Arial" w:hAnsi="Arial" w:eastAsia="Arial"/>
                <w:b w:val="0"/>
                <w:sz w:val="15"/>
              </w:rPr>
              <w:t>Level 0 - Read/summarize</w:t>
            </w:r>
          </w:p>
        </w:tc>
        <w:tc>
          <w:tcPr>
            <w:tcW w:type="dxa" w:w="4752"/>
            <w:vAlign w:val="top"/>
          </w:tcPr>
          <w:p>
            <w:pPr>
              <w:spacing w:after="20"/>
            </w:pPr>
            <w:r/>
            <w:r>
              <w:rPr>
                <w:rFonts w:ascii="Arial" w:hAnsi="Arial" w:eastAsia="Arial"/>
                <w:b w:val="0"/>
                <w:sz w:val="15"/>
              </w:rPr>
              <w:t>Summarize approved internal SOP, summarize a call, extract a list of objections.</w:t>
            </w:r>
          </w:p>
        </w:tc>
        <w:tc>
          <w:tcPr>
            <w:tcW w:type="dxa" w:w="3312"/>
            <w:vAlign w:val="top"/>
          </w:tcPr>
          <w:p>
            <w:pPr>
              <w:spacing w:after="20"/>
            </w:pPr>
            <w:r/>
            <w:r>
              <w:rPr>
                <w:rFonts w:ascii="Arial" w:hAnsi="Arial" w:eastAsia="Arial"/>
                <w:b w:val="0"/>
                <w:sz w:val="15"/>
              </w:rPr>
              <w:t>May be autonomous within permissions.</w:t>
            </w:r>
          </w:p>
        </w:tc>
      </w:tr>
      <w:tr>
        <w:tc>
          <w:tcPr>
            <w:tcW w:type="dxa" w:w="2448"/>
            <w:vAlign w:val="top"/>
          </w:tcPr>
          <w:p>
            <w:pPr>
              <w:spacing w:after="20"/>
            </w:pPr>
            <w:r/>
            <w:r>
              <w:rPr>
                <w:rFonts w:ascii="Arial" w:hAnsi="Arial" w:eastAsia="Arial"/>
                <w:b w:val="0"/>
                <w:sz w:val="15"/>
              </w:rPr>
              <w:t>Level 1 - Draft/recommend</w:t>
            </w:r>
          </w:p>
        </w:tc>
        <w:tc>
          <w:tcPr>
            <w:tcW w:type="dxa" w:w="4752"/>
            <w:vAlign w:val="top"/>
          </w:tcPr>
          <w:p>
            <w:pPr>
              <w:spacing w:after="20"/>
            </w:pPr>
            <w:r/>
            <w:r>
              <w:rPr>
                <w:rFonts w:ascii="Arial" w:hAnsi="Arial" w:eastAsia="Arial"/>
                <w:b w:val="0"/>
                <w:sz w:val="15"/>
              </w:rPr>
              <w:t>Draft follow-up SMS, propose campaign changes, draft clinical note for review.</w:t>
            </w:r>
          </w:p>
        </w:tc>
        <w:tc>
          <w:tcPr>
            <w:tcW w:type="dxa" w:w="3312"/>
            <w:vAlign w:val="top"/>
          </w:tcPr>
          <w:p>
            <w:pPr>
              <w:spacing w:after="20"/>
            </w:pPr>
            <w:r/>
            <w:r>
              <w:rPr>
                <w:rFonts w:ascii="Arial" w:hAnsi="Arial" w:eastAsia="Arial"/>
                <w:b w:val="0"/>
                <w:sz w:val="15"/>
              </w:rPr>
              <w:t>Human review before external send or clinical record finalization.</w:t>
            </w:r>
          </w:p>
        </w:tc>
      </w:tr>
      <w:tr>
        <w:tc>
          <w:tcPr>
            <w:tcW w:type="dxa" w:w="2448"/>
            <w:vAlign w:val="top"/>
          </w:tcPr>
          <w:p>
            <w:pPr>
              <w:spacing w:after="20"/>
            </w:pPr>
            <w:r/>
            <w:r>
              <w:rPr>
                <w:rFonts w:ascii="Arial" w:hAnsi="Arial" w:eastAsia="Arial"/>
                <w:b w:val="0"/>
                <w:sz w:val="15"/>
              </w:rPr>
              <w:t>Level 2 - Low-risk execute</w:t>
            </w:r>
          </w:p>
        </w:tc>
        <w:tc>
          <w:tcPr>
            <w:tcW w:type="dxa" w:w="4752"/>
            <w:vAlign w:val="top"/>
          </w:tcPr>
          <w:p>
            <w:pPr>
              <w:spacing w:after="20"/>
            </w:pPr>
            <w:r/>
            <w:r>
              <w:rPr>
                <w:rFonts w:ascii="Arial" w:hAnsi="Arial" w:eastAsia="Arial"/>
                <w:b w:val="0"/>
                <w:sz w:val="15"/>
              </w:rPr>
              <w:t>Send approved appointment reminder, create internal task, tag lead status.</w:t>
            </w:r>
          </w:p>
        </w:tc>
        <w:tc>
          <w:tcPr>
            <w:tcW w:type="dxa" w:w="3312"/>
            <w:vAlign w:val="top"/>
          </w:tcPr>
          <w:p>
            <w:pPr>
              <w:spacing w:after="20"/>
            </w:pPr>
            <w:r/>
            <w:r>
              <w:rPr>
                <w:rFonts w:ascii="Arial" w:hAnsi="Arial" w:eastAsia="Arial"/>
                <w:b w:val="0"/>
                <w:sz w:val="15"/>
              </w:rPr>
              <w:t>May be autonomous if workflow spec permits and logs action.</w:t>
            </w:r>
          </w:p>
        </w:tc>
      </w:tr>
      <w:tr>
        <w:tc>
          <w:tcPr>
            <w:tcW w:type="dxa" w:w="2448"/>
            <w:vAlign w:val="top"/>
          </w:tcPr>
          <w:p>
            <w:pPr>
              <w:spacing w:after="20"/>
            </w:pPr>
            <w:r/>
            <w:r>
              <w:rPr>
                <w:rFonts w:ascii="Arial" w:hAnsi="Arial" w:eastAsia="Arial"/>
                <w:b w:val="0"/>
                <w:sz w:val="15"/>
              </w:rPr>
              <w:t>Level 3 - Sensitive execute</w:t>
            </w:r>
          </w:p>
        </w:tc>
        <w:tc>
          <w:tcPr>
            <w:tcW w:type="dxa" w:w="4752"/>
            <w:vAlign w:val="top"/>
          </w:tcPr>
          <w:p>
            <w:pPr>
              <w:spacing w:after="20"/>
            </w:pPr>
            <w:r/>
            <w:r>
              <w:rPr>
                <w:rFonts w:ascii="Arial" w:hAnsi="Arial" w:eastAsia="Arial"/>
                <w:b w:val="0"/>
                <w:sz w:val="15"/>
              </w:rPr>
              <w:t>Contact patient about medical symptoms, update payment status, modify schedule after clinical dependency.</w:t>
            </w:r>
          </w:p>
        </w:tc>
        <w:tc>
          <w:tcPr>
            <w:tcW w:type="dxa" w:w="3312"/>
            <w:vAlign w:val="top"/>
          </w:tcPr>
          <w:p>
            <w:pPr>
              <w:spacing w:after="20"/>
            </w:pPr>
            <w:r/>
            <w:r>
              <w:rPr>
                <w:rFonts w:ascii="Arial" w:hAnsi="Arial" w:eastAsia="Arial"/>
                <w:b w:val="0"/>
                <w:sz w:val="15"/>
              </w:rPr>
              <w:t>Requires human approval or explicit protocol.</w:t>
            </w:r>
          </w:p>
        </w:tc>
      </w:tr>
      <w:tr>
        <w:tc>
          <w:tcPr>
            <w:tcW w:type="dxa" w:w="2448"/>
            <w:vAlign w:val="top"/>
          </w:tcPr>
          <w:p>
            <w:pPr>
              <w:spacing w:after="20"/>
            </w:pPr>
            <w:r/>
            <w:r>
              <w:rPr>
                <w:rFonts w:ascii="Arial" w:hAnsi="Arial" w:eastAsia="Arial"/>
                <w:b w:val="0"/>
                <w:sz w:val="15"/>
              </w:rPr>
              <w:t>Level 4 - Clinical/regulated decision</w:t>
            </w:r>
          </w:p>
        </w:tc>
        <w:tc>
          <w:tcPr>
            <w:tcW w:type="dxa" w:w="4752"/>
            <w:vAlign w:val="top"/>
          </w:tcPr>
          <w:p>
            <w:pPr>
              <w:spacing w:after="20"/>
            </w:pPr>
            <w:r/>
            <w:r>
              <w:rPr>
                <w:rFonts w:ascii="Arial" w:hAnsi="Arial" w:eastAsia="Arial"/>
                <w:b w:val="0"/>
                <w:sz w:val="15"/>
              </w:rPr>
              <w:t>Diagnosis, treatment plan, prescription, surgical decision, medical advice beyond approved scripts.</w:t>
            </w:r>
          </w:p>
        </w:tc>
        <w:tc>
          <w:tcPr>
            <w:tcW w:type="dxa" w:w="3312"/>
            <w:vAlign w:val="top"/>
          </w:tcPr>
          <w:p>
            <w:pPr>
              <w:spacing w:after="20"/>
            </w:pPr>
            <w:r/>
            <w:r>
              <w:rPr>
                <w:rFonts w:ascii="Arial" w:hAnsi="Arial" w:eastAsia="Arial"/>
                <w:b w:val="0"/>
                <w:sz w:val="15"/>
              </w:rPr>
              <w:t>AI MUST NOT autonomously perform. Licensed clinician required.</w:t>
            </w:r>
          </w:p>
        </w:tc>
      </w:tr>
    </w:tbl>
    <w:p>
      <w:pPr>
        <w:pStyle w:val="Small"/>
      </w:pPr>
    </w:p>
    <w:p>
      <w:pPr>
        <w:pStyle w:val="Heading2"/>
      </w:pPr>
      <w:r>
        <w:t>8.4 Escalation triggers</w:t>
      </w:r>
    </w:p>
    <w:p>
      <w:pPr>
        <w:pStyle w:val="ListBullet"/>
        <w:ind w:left="317"/>
      </w:pPr>
      <w:r>
        <w:t>Medical red flags: severe pain, swelling, fever, uncontrolled bleeding, difficulty breathing/swallowing, allergic reaction, suspected infection, numbness, medication complications, or any symptom outside approved scripts.</w:t>
      </w:r>
    </w:p>
    <w:p>
      <w:pPr>
        <w:pStyle w:val="ListBullet"/>
        <w:ind w:left="317"/>
      </w:pPr>
      <w:r>
        <w:t>Privacy/security red flags: PHI in an unapproved tool, suspicious access, wrong-recipient message, missing BAA, excessive permissions, exposed records, or unresolved audit anomaly.</w:t>
      </w:r>
    </w:p>
    <w:p>
      <w:pPr>
        <w:pStyle w:val="ListBullet"/>
        <w:ind w:left="317"/>
      </w:pPr>
      <w:r>
        <w:t>Clinical data gaps: missing consent, missing imaging, incomplete medical history, allergy/medication conflict, unclear treatment plan, or unapproved change request.</w:t>
      </w:r>
    </w:p>
    <w:p>
      <w:pPr>
        <w:pStyle w:val="ListBullet"/>
        <w:ind w:left="317"/>
      </w:pPr>
      <w:r>
        <w:t>Financial/claims risk: price promises outside approved policy, financing misrepresentation, billing inconsistency, refund complaint, or legal threat.</w:t>
      </w:r>
    </w:p>
    <w:p>
      <w:pPr>
        <w:pStyle w:val="ListBullet"/>
        <w:ind w:left="317"/>
      </w:pPr>
      <w:r>
        <w:t>AI reliability risk: low confidence, hallucination risk, conflicting records, missing source, unexpected tool behavior, model drift, or failed evaluation.</w:t>
      </w:r>
    </w:p>
    <w:p>
      <w:pPr>
        <w:pStyle w:val="Heading1"/>
      </w:pPr>
      <w:r>
        <w:t>9. AI Agent Architecture</w:t>
      </w:r>
    </w:p>
    <w:p>
      <w:pPr/>
      <w:r>
        <w:t>Agents should be designed as controlled workers with job descriptions, permissions, inputs, outputs, KPIs, guardrails, and test harnesses. The goal is not to create one general AI assistant. The goal is a coordinated agent organization embedded into the clinic OS.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232"/>
            <w:shd w:fill="D9EAF7"/>
            <w:vAlign w:val="center"/>
          </w:tcPr>
          <w:p>
            <w:pPr>
              <w:spacing w:after="20"/>
            </w:pPr>
            <w:r/>
            <w:r>
              <w:rPr>
                <w:rFonts w:ascii="Arial" w:hAnsi="Arial" w:eastAsia="Arial"/>
                <w:b/>
                <w:color w:val="1F4E79"/>
                <w:sz w:val="13"/>
              </w:rPr>
              <w:t>Agent</w:t>
            </w:r>
          </w:p>
        </w:tc>
        <w:tc>
          <w:tcPr>
            <w:tcW w:type="dxa" w:w="3600"/>
            <w:shd w:fill="D9EAF7"/>
            <w:vAlign w:val="center"/>
          </w:tcPr>
          <w:p>
            <w:pPr>
              <w:spacing w:after="20"/>
            </w:pPr>
            <w:r/>
            <w:r>
              <w:rPr>
                <w:rFonts w:ascii="Arial" w:hAnsi="Arial" w:eastAsia="Arial"/>
                <w:b/>
                <w:color w:val="1F4E79"/>
                <w:sz w:val="13"/>
              </w:rPr>
              <w:t>Purpose</w:t>
            </w:r>
          </w:p>
        </w:tc>
        <w:tc>
          <w:tcPr>
            <w:tcW w:type="dxa" w:w="2160"/>
            <w:shd w:fill="D9EAF7"/>
            <w:vAlign w:val="center"/>
          </w:tcPr>
          <w:p>
            <w:pPr>
              <w:spacing w:after="20"/>
            </w:pPr>
            <w:r/>
            <w:r>
              <w:rPr>
                <w:rFonts w:ascii="Arial" w:hAnsi="Arial" w:eastAsia="Arial"/>
                <w:b/>
                <w:color w:val="1F4E79"/>
                <w:sz w:val="13"/>
              </w:rPr>
              <w:t>Core KPI</w:t>
            </w:r>
          </w:p>
        </w:tc>
        <w:tc>
          <w:tcPr>
            <w:tcW w:type="dxa" w:w="2592"/>
            <w:shd w:fill="D9EAF7"/>
            <w:vAlign w:val="center"/>
          </w:tcPr>
          <w:p>
            <w:pPr>
              <w:spacing w:after="20"/>
            </w:pPr>
            <w:r/>
            <w:r>
              <w:rPr>
                <w:rFonts w:ascii="Arial" w:hAnsi="Arial" w:eastAsia="Arial"/>
                <w:b/>
                <w:color w:val="1F4E79"/>
                <w:sz w:val="13"/>
              </w:rPr>
              <w:t>Guardrail</w:t>
            </w:r>
          </w:p>
        </w:tc>
      </w:tr>
      <w:tr>
        <w:tc>
          <w:tcPr>
            <w:tcW w:type="dxa" w:w="2232"/>
            <w:vAlign w:val="top"/>
          </w:tcPr>
          <w:p>
            <w:pPr>
              <w:spacing w:after="20"/>
            </w:pPr>
            <w:r/>
            <w:r>
              <w:rPr>
                <w:rFonts w:ascii="Arial" w:hAnsi="Arial" w:eastAsia="Arial"/>
                <w:b w:val="0"/>
                <w:sz w:val="13"/>
              </w:rPr>
              <w:t>Growth Intelligence Agent</w:t>
            </w:r>
          </w:p>
        </w:tc>
        <w:tc>
          <w:tcPr>
            <w:tcW w:type="dxa" w:w="3600"/>
            <w:vAlign w:val="top"/>
          </w:tcPr>
          <w:p>
            <w:pPr>
              <w:spacing w:after="20"/>
            </w:pPr>
            <w:r/>
            <w:r>
              <w:rPr>
                <w:rFonts w:ascii="Arial" w:hAnsi="Arial" w:eastAsia="Arial"/>
                <w:b w:val="0"/>
                <w:sz w:val="13"/>
              </w:rPr>
              <w:t>Analyzes campaigns, creatives, CPL, CAC, ROAS, lead quality, accepted cases, reviews, and referrals.</w:t>
            </w:r>
          </w:p>
        </w:tc>
        <w:tc>
          <w:tcPr>
            <w:tcW w:type="dxa" w:w="2160"/>
            <w:vAlign w:val="top"/>
          </w:tcPr>
          <w:p>
            <w:pPr>
              <w:spacing w:after="20"/>
            </w:pPr>
            <w:r/>
            <w:r>
              <w:rPr>
                <w:rFonts w:ascii="Arial" w:hAnsi="Arial" w:eastAsia="Arial"/>
                <w:b w:val="0"/>
                <w:sz w:val="13"/>
              </w:rPr>
              <w:t>Cost per accepted case, channel ROI, qualified lead rate.</w:t>
            </w:r>
          </w:p>
        </w:tc>
        <w:tc>
          <w:tcPr>
            <w:tcW w:type="dxa" w:w="2592"/>
            <w:vAlign w:val="top"/>
          </w:tcPr>
          <w:p>
            <w:pPr>
              <w:spacing w:after="20"/>
            </w:pPr>
            <w:r/>
            <w:r>
              <w:rPr>
                <w:rFonts w:ascii="Arial" w:hAnsi="Arial" w:eastAsia="Arial"/>
                <w:b w:val="0"/>
                <w:sz w:val="13"/>
              </w:rPr>
              <w:t>Never optimizes growth using unrestricted clinical data; uses approved aggregated/event data.</w:t>
            </w:r>
          </w:p>
        </w:tc>
      </w:tr>
      <w:tr>
        <w:tc>
          <w:tcPr>
            <w:tcW w:type="dxa" w:w="2232"/>
            <w:vAlign w:val="top"/>
          </w:tcPr>
          <w:p>
            <w:pPr>
              <w:spacing w:after="20"/>
            </w:pPr>
            <w:r/>
            <w:r>
              <w:rPr>
                <w:rFonts w:ascii="Arial" w:hAnsi="Arial" w:eastAsia="Arial"/>
                <w:b w:val="0"/>
                <w:sz w:val="13"/>
              </w:rPr>
              <w:t>Lead Qualification Agent</w:t>
            </w:r>
          </w:p>
        </w:tc>
        <w:tc>
          <w:tcPr>
            <w:tcW w:type="dxa" w:w="3600"/>
            <w:vAlign w:val="top"/>
          </w:tcPr>
          <w:p>
            <w:pPr>
              <w:spacing w:after="20"/>
            </w:pPr>
            <w:r/>
            <w:r>
              <w:rPr>
                <w:rFonts w:ascii="Arial" w:hAnsi="Arial" w:eastAsia="Arial"/>
                <w:b w:val="0"/>
                <w:sz w:val="13"/>
              </w:rPr>
              <w:t>Reads forms/calls, classifies intent, urgency, objections, booking probability, and next best action.</w:t>
            </w:r>
          </w:p>
        </w:tc>
        <w:tc>
          <w:tcPr>
            <w:tcW w:type="dxa" w:w="2160"/>
            <w:vAlign w:val="top"/>
          </w:tcPr>
          <w:p>
            <w:pPr>
              <w:spacing w:after="20"/>
            </w:pPr>
            <w:r/>
            <w:r>
              <w:rPr>
                <w:rFonts w:ascii="Arial" w:hAnsi="Arial" w:eastAsia="Arial"/>
                <w:b w:val="0"/>
                <w:sz w:val="13"/>
              </w:rPr>
              <w:t>Speed-to-lead, contact rate, booking rate.</w:t>
            </w:r>
          </w:p>
        </w:tc>
        <w:tc>
          <w:tcPr>
            <w:tcW w:type="dxa" w:w="2592"/>
            <w:vAlign w:val="top"/>
          </w:tcPr>
          <w:p>
            <w:pPr>
              <w:spacing w:after="20"/>
            </w:pPr>
            <w:r/>
            <w:r>
              <w:rPr>
                <w:rFonts w:ascii="Arial" w:hAnsi="Arial" w:eastAsia="Arial"/>
                <w:b w:val="0"/>
                <w:sz w:val="13"/>
              </w:rPr>
              <w:t>Does not diagnose or promise eligibility; routes clinical questions to approved paths.</w:t>
            </w:r>
          </w:p>
        </w:tc>
      </w:tr>
      <w:tr>
        <w:tc>
          <w:tcPr>
            <w:tcW w:type="dxa" w:w="2232"/>
            <w:vAlign w:val="top"/>
          </w:tcPr>
          <w:p>
            <w:pPr>
              <w:spacing w:after="20"/>
            </w:pPr>
            <w:r/>
            <w:r>
              <w:rPr>
                <w:rFonts w:ascii="Arial" w:hAnsi="Arial" w:eastAsia="Arial"/>
                <w:b w:val="0"/>
                <w:sz w:val="13"/>
              </w:rPr>
              <w:t>Patient Concierge Agent</w:t>
            </w:r>
          </w:p>
        </w:tc>
        <w:tc>
          <w:tcPr>
            <w:tcW w:type="dxa" w:w="3600"/>
            <w:vAlign w:val="top"/>
          </w:tcPr>
          <w:p>
            <w:pPr>
              <w:spacing w:after="20"/>
            </w:pPr>
            <w:r/>
            <w:r>
              <w:rPr>
                <w:rFonts w:ascii="Arial" w:hAnsi="Arial" w:eastAsia="Arial"/>
                <w:b w:val="0"/>
                <w:sz w:val="13"/>
              </w:rPr>
              <w:t>Handles reminders, document collection, approved FAQs, pre-consult instructions, post-op check-ins, reviews, referrals.</w:t>
            </w:r>
          </w:p>
        </w:tc>
        <w:tc>
          <w:tcPr>
            <w:tcW w:type="dxa" w:w="2160"/>
            <w:vAlign w:val="top"/>
          </w:tcPr>
          <w:p>
            <w:pPr>
              <w:spacing w:after="20"/>
            </w:pPr>
            <w:r/>
            <w:r>
              <w:rPr>
                <w:rFonts w:ascii="Arial" w:hAnsi="Arial" w:eastAsia="Arial"/>
                <w:b w:val="0"/>
                <w:sz w:val="13"/>
              </w:rPr>
              <w:t>Show rate, response rate, follow-up completion.</w:t>
            </w:r>
          </w:p>
        </w:tc>
        <w:tc>
          <w:tcPr>
            <w:tcW w:type="dxa" w:w="2592"/>
            <w:vAlign w:val="top"/>
          </w:tcPr>
          <w:p>
            <w:pPr>
              <w:spacing w:after="20"/>
            </w:pPr>
            <w:r/>
            <w:r>
              <w:rPr>
                <w:rFonts w:ascii="Arial" w:hAnsi="Arial" w:eastAsia="Arial"/>
                <w:b w:val="0"/>
                <w:sz w:val="13"/>
              </w:rPr>
              <w:t>Uses approved scripts only; escalates medical red flags.</w:t>
            </w:r>
          </w:p>
        </w:tc>
      </w:tr>
      <w:tr>
        <w:tc>
          <w:tcPr>
            <w:tcW w:type="dxa" w:w="2232"/>
            <w:vAlign w:val="top"/>
          </w:tcPr>
          <w:p>
            <w:pPr>
              <w:spacing w:after="20"/>
            </w:pPr>
            <w:r/>
            <w:r>
              <w:rPr>
                <w:rFonts w:ascii="Arial" w:hAnsi="Arial" w:eastAsia="Arial"/>
                <w:b w:val="0"/>
                <w:sz w:val="13"/>
              </w:rPr>
              <w:t>Treatment Coordinator Agent</w:t>
            </w:r>
          </w:p>
        </w:tc>
        <w:tc>
          <w:tcPr>
            <w:tcW w:type="dxa" w:w="3600"/>
            <w:vAlign w:val="top"/>
          </w:tcPr>
          <w:p>
            <w:pPr>
              <w:spacing w:after="20"/>
            </w:pPr>
            <w:r/>
            <w:r>
              <w:rPr>
                <w:rFonts w:ascii="Arial" w:hAnsi="Arial" w:eastAsia="Arial"/>
                <w:b w:val="0"/>
                <w:sz w:val="13"/>
              </w:rPr>
              <w:t>Prepares consult briefs, tracks objections, financing, case acceptance, lost-case follow-up.</w:t>
            </w:r>
          </w:p>
        </w:tc>
        <w:tc>
          <w:tcPr>
            <w:tcW w:type="dxa" w:w="2160"/>
            <w:vAlign w:val="top"/>
          </w:tcPr>
          <w:p>
            <w:pPr>
              <w:spacing w:after="20"/>
            </w:pPr>
            <w:r/>
            <w:r>
              <w:rPr>
                <w:rFonts w:ascii="Arial" w:hAnsi="Arial" w:eastAsia="Arial"/>
                <w:b w:val="0"/>
                <w:sz w:val="13"/>
              </w:rPr>
              <w:t>Consult-to-acceptance, financing approval, reactivation.</w:t>
            </w:r>
          </w:p>
        </w:tc>
        <w:tc>
          <w:tcPr>
            <w:tcW w:type="dxa" w:w="2592"/>
            <w:vAlign w:val="top"/>
          </w:tcPr>
          <w:p>
            <w:pPr>
              <w:spacing w:after="20"/>
            </w:pPr>
            <w:r/>
            <w:r>
              <w:rPr>
                <w:rFonts w:ascii="Arial" w:hAnsi="Arial" w:eastAsia="Arial"/>
                <w:b w:val="0"/>
                <w:sz w:val="13"/>
              </w:rPr>
              <w:t>No misleading pricing, no clinical promises, human review for sensitive messaging.</w:t>
            </w:r>
          </w:p>
        </w:tc>
      </w:tr>
      <w:tr>
        <w:tc>
          <w:tcPr>
            <w:tcW w:type="dxa" w:w="2232"/>
            <w:vAlign w:val="top"/>
          </w:tcPr>
          <w:p>
            <w:pPr>
              <w:spacing w:after="20"/>
            </w:pPr>
            <w:r/>
            <w:r>
              <w:rPr>
                <w:rFonts w:ascii="Arial" w:hAnsi="Arial" w:eastAsia="Arial"/>
                <w:b w:val="0"/>
                <w:sz w:val="13"/>
              </w:rPr>
              <w:t>Clinical Intake Agent</w:t>
            </w:r>
          </w:p>
        </w:tc>
        <w:tc>
          <w:tcPr>
            <w:tcW w:type="dxa" w:w="3600"/>
            <w:vAlign w:val="top"/>
          </w:tcPr>
          <w:p>
            <w:pPr>
              <w:spacing w:after="20"/>
            </w:pPr>
            <w:r/>
            <w:r>
              <w:rPr>
                <w:rFonts w:ascii="Arial" w:hAnsi="Arial" w:eastAsia="Arial"/>
                <w:b w:val="0"/>
                <w:sz w:val="13"/>
              </w:rPr>
              <w:t>Summarizes medical history, allergies, medications, missing documents, risk factors for clinician review.</w:t>
            </w:r>
          </w:p>
        </w:tc>
        <w:tc>
          <w:tcPr>
            <w:tcW w:type="dxa" w:w="2160"/>
            <w:vAlign w:val="top"/>
          </w:tcPr>
          <w:p>
            <w:pPr>
              <w:spacing w:after="20"/>
            </w:pPr>
            <w:r/>
            <w:r>
              <w:rPr>
                <w:rFonts w:ascii="Arial" w:hAnsi="Arial" w:eastAsia="Arial"/>
                <w:b w:val="0"/>
                <w:sz w:val="13"/>
              </w:rPr>
              <w:t>Intake completeness, missing item rate.</w:t>
            </w:r>
          </w:p>
        </w:tc>
        <w:tc>
          <w:tcPr>
            <w:tcW w:type="dxa" w:w="2592"/>
            <w:vAlign w:val="top"/>
          </w:tcPr>
          <w:p>
            <w:pPr>
              <w:spacing w:after="20"/>
            </w:pPr>
            <w:r/>
            <w:r>
              <w:rPr>
                <w:rFonts w:ascii="Arial" w:hAnsi="Arial" w:eastAsia="Arial"/>
                <w:b w:val="0"/>
                <w:sz w:val="13"/>
              </w:rPr>
              <w:t>Drafts only; clinician validates.</w:t>
            </w:r>
          </w:p>
        </w:tc>
      </w:tr>
      <w:tr>
        <w:tc>
          <w:tcPr>
            <w:tcW w:type="dxa" w:w="2232"/>
            <w:vAlign w:val="top"/>
          </w:tcPr>
          <w:p>
            <w:pPr>
              <w:spacing w:after="20"/>
            </w:pPr>
            <w:r/>
            <w:r>
              <w:rPr>
                <w:rFonts w:ascii="Arial" w:hAnsi="Arial" w:eastAsia="Arial"/>
                <w:b w:val="0"/>
                <w:sz w:val="13"/>
              </w:rPr>
              <w:t>Clinical Documentation Agent</w:t>
            </w:r>
          </w:p>
        </w:tc>
        <w:tc>
          <w:tcPr>
            <w:tcW w:type="dxa" w:w="3600"/>
            <w:vAlign w:val="top"/>
          </w:tcPr>
          <w:p>
            <w:pPr>
              <w:spacing w:after="20"/>
            </w:pPr>
            <w:r/>
            <w:r>
              <w:rPr>
                <w:rFonts w:ascii="Arial" w:hAnsi="Arial" w:eastAsia="Arial"/>
                <w:b w:val="0"/>
                <w:sz w:val="13"/>
              </w:rPr>
              <w:t>Drafts notes, checks chart completeness, consent status, procedure codes, follow-up tasks.</w:t>
            </w:r>
          </w:p>
        </w:tc>
        <w:tc>
          <w:tcPr>
            <w:tcW w:type="dxa" w:w="2160"/>
            <w:vAlign w:val="top"/>
          </w:tcPr>
          <w:p>
            <w:pPr>
              <w:spacing w:after="20"/>
            </w:pPr>
            <w:r/>
            <w:r>
              <w:rPr>
                <w:rFonts w:ascii="Arial" w:hAnsi="Arial" w:eastAsia="Arial"/>
                <w:b w:val="0"/>
                <w:sz w:val="13"/>
              </w:rPr>
              <w:t>Chart completion, documentation lag, audit pass rate.</w:t>
            </w:r>
          </w:p>
        </w:tc>
        <w:tc>
          <w:tcPr>
            <w:tcW w:type="dxa" w:w="2592"/>
            <w:vAlign w:val="top"/>
          </w:tcPr>
          <w:p>
            <w:pPr>
              <w:spacing w:after="20"/>
            </w:pPr>
            <w:r/>
            <w:r>
              <w:rPr>
                <w:rFonts w:ascii="Arial" w:hAnsi="Arial" w:eastAsia="Arial"/>
                <w:b w:val="0"/>
                <w:sz w:val="13"/>
              </w:rPr>
              <w:t>Does not finalize clinical record without authorized review.</w:t>
            </w:r>
          </w:p>
        </w:tc>
      </w:tr>
      <w:tr>
        <w:tc>
          <w:tcPr>
            <w:tcW w:type="dxa" w:w="2232"/>
            <w:vAlign w:val="top"/>
          </w:tcPr>
          <w:p>
            <w:pPr>
              <w:spacing w:after="20"/>
            </w:pPr>
            <w:r/>
            <w:r>
              <w:rPr>
                <w:rFonts w:ascii="Arial" w:hAnsi="Arial" w:eastAsia="Arial"/>
                <w:b w:val="0"/>
                <w:sz w:val="13"/>
              </w:rPr>
              <w:t>Treatment Planning Assistant</w:t>
            </w:r>
          </w:p>
        </w:tc>
        <w:tc>
          <w:tcPr>
            <w:tcW w:type="dxa" w:w="3600"/>
            <w:vAlign w:val="top"/>
          </w:tcPr>
          <w:p>
            <w:pPr>
              <w:spacing w:after="20"/>
            </w:pPr>
            <w:r/>
            <w:r>
              <w:rPr>
                <w:rFonts w:ascii="Arial" w:hAnsi="Arial" w:eastAsia="Arial"/>
                <w:b w:val="0"/>
                <w:sz w:val="13"/>
              </w:rPr>
              <w:t>Prepares structured considerations from imaging/history/checklists for clinician assessment.</w:t>
            </w:r>
          </w:p>
        </w:tc>
        <w:tc>
          <w:tcPr>
            <w:tcW w:type="dxa" w:w="2160"/>
            <w:vAlign w:val="top"/>
          </w:tcPr>
          <w:p>
            <w:pPr>
              <w:spacing w:after="20"/>
            </w:pPr>
            <w:r/>
            <w:r>
              <w:rPr>
                <w:rFonts w:ascii="Arial" w:hAnsi="Arial" w:eastAsia="Arial"/>
                <w:b w:val="0"/>
                <w:sz w:val="13"/>
              </w:rPr>
              <w:t>Checklist completeness, planning cycle time.</w:t>
            </w:r>
          </w:p>
        </w:tc>
        <w:tc>
          <w:tcPr>
            <w:tcW w:type="dxa" w:w="2592"/>
            <w:vAlign w:val="top"/>
          </w:tcPr>
          <w:p>
            <w:pPr>
              <w:spacing w:after="20"/>
            </w:pPr>
            <w:r/>
            <w:r>
              <w:rPr>
                <w:rFonts w:ascii="Arial" w:hAnsi="Arial" w:eastAsia="Arial"/>
                <w:b w:val="0"/>
                <w:sz w:val="13"/>
              </w:rPr>
              <w:t>No autonomous treatment plan; regulatory classification review required for advanced CDS.</w:t>
            </w:r>
          </w:p>
        </w:tc>
      </w:tr>
      <w:tr>
        <w:tc>
          <w:tcPr>
            <w:tcW w:type="dxa" w:w="2232"/>
            <w:vAlign w:val="top"/>
          </w:tcPr>
          <w:p>
            <w:pPr>
              <w:spacing w:after="20"/>
            </w:pPr>
            <w:r/>
            <w:r>
              <w:rPr>
                <w:rFonts w:ascii="Arial" w:hAnsi="Arial" w:eastAsia="Arial"/>
                <w:b w:val="0"/>
                <w:sz w:val="13"/>
              </w:rPr>
              <w:t>Surgery Workflow Agent</w:t>
            </w:r>
          </w:p>
        </w:tc>
        <w:tc>
          <w:tcPr>
            <w:tcW w:type="dxa" w:w="3600"/>
            <w:vAlign w:val="top"/>
          </w:tcPr>
          <w:p>
            <w:pPr>
              <w:spacing w:after="20"/>
            </w:pPr>
            <w:r/>
            <w:r>
              <w:rPr>
                <w:rFonts w:ascii="Arial" w:hAnsi="Arial" w:eastAsia="Arial"/>
                <w:b w:val="0"/>
                <w:sz w:val="13"/>
              </w:rPr>
              <w:t>Runs pre-op checklist, inventory readiness, lab status, consent, room/staff readiness.</w:t>
            </w:r>
          </w:p>
        </w:tc>
        <w:tc>
          <w:tcPr>
            <w:tcW w:type="dxa" w:w="2160"/>
            <w:vAlign w:val="top"/>
          </w:tcPr>
          <w:p>
            <w:pPr>
              <w:spacing w:after="20"/>
            </w:pPr>
            <w:r/>
            <w:r>
              <w:rPr>
                <w:rFonts w:ascii="Arial" w:hAnsi="Arial" w:eastAsia="Arial"/>
                <w:b w:val="0"/>
                <w:sz w:val="13"/>
              </w:rPr>
              <w:t>Surgery delay rate, missing item rate, utilization.</w:t>
            </w:r>
          </w:p>
        </w:tc>
        <w:tc>
          <w:tcPr>
            <w:tcW w:type="dxa" w:w="2592"/>
            <w:vAlign w:val="top"/>
          </w:tcPr>
          <w:p>
            <w:pPr>
              <w:spacing w:after="20"/>
            </w:pPr>
            <w:r/>
            <w:r>
              <w:rPr>
                <w:rFonts w:ascii="Arial" w:hAnsi="Arial" w:eastAsia="Arial"/>
                <w:b w:val="0"/>
                <w:sz w:val="13"/>
              </w:rPr>
              <w:t>Escalates missing consent, inventory mismatch, clinical risk.</w:t>
            </w:r>
          </w:p>
        </w:tc>
      </w:tr>
      <w:tr>
        <w:tc>
          <w:tcPr>
            <w:tcW w:type="dxa" w:w="2232"/>
            <w:vAlign w:val="top"/>
          </w:tcPr>
          <w:p>
            <w:pPr>
              <w:spacing w:after="20"/>
            </w:pPr>
            <w:r/>
            <w:r>
              <w:rPr>
                <w:rFonts w:ascii="Arial" w:hAnsi="Arial" w:eastAsia="Arial"/>
                <w:b w:val="0"/>
                <w:sz w:val="13"/>
              </w:rPr>
              <w:t>Post-op Monitoring Agent</w:t>
            </w:r>
          </w:p>
        </w:tc>
        <w:tc>
          <w:tcPr>
            <w:tcW w:type="dxa" w:w="3600"/>
            <w:vAlign w:val="top"/>
          </w:tcPr>
          <w:p>
            <w:pPr>
              <w:spacing w:after="20"/>
            </w:pPr>
            <w:r/>
            <w:r>
              <w:rPr>
                <w:rFonts w:ascii="Arial" w:hAnsi="Arial" w:eastAsia="Arial"/>
                <w:b w:val="0"/>
                <w:sz w:val="13"/>
              </w:rPr>
              <w:t>Runs check-ins, symptom triage, red flag detection, clinician escalation, outcome logging.</w:t>
            </w:r>
          </w:p>
        </w:tc>
        <w:tc>
          <w:tcPr>
            <w:tcW w:type="dxa" w:w="2160"/>
            <w:vAlign w:val="top"/>
          </w:tcPr>
          <w:p>
            <w:pPr>
              <w:spacing w:after="20"/>
            </w:pPr>
            <w:r/>
            <w:r>
              <w:rPr>
                <w:rFonts w:ascii="Arial" w:hAnsi="Arial" w:eastAsia="Arial"/>
                <w:b w:val="0"/>
                <w:sz w:val="13"/>
              </w:rPr>
              <w:t>Follow-up completion, red flag response time.</w:t>
            </w:r>
          </w:p>
        </w:tc>
        <w:tc>
          <w:tcPr>
            <w:tcW w:type="dxa" w:w="2592"/>
            <w:vAlign w:val="top"/>
          </w:tcPr>
          <w:p>
            <w:pPr>
              <w:spacing w:after="20"/>
            </w:pPr>
            <w:r/>
            <w:r>
              <w:rPr>
                <w:rFonts w:ascii="Arial" w:hAnsi="Arial" w:eastAsia="Arial"/>
                <w:b w:val="0"/>
                <w:sz w:val="13"/>
              </w:rPr>
              <w:t>No open-ended medical advice; approved protocols and clinician escalation.</w:t>
            </w:r>
          </w:p>
        </w:tc>
      </w:tr>
      <w:tr>
        <w:tc>
          <w:tcPr>
            <w:tcW w:type="dxa" w:w="2232"/>
            <w:vAlign w:val="top"/>
          </w:tcPr>
          <w:p>
            <w:pPr>
              <w:spacing w:after="20"/>
            </w:pPr>
            <w:r/>
            <w:r>
              <w:rPr>
                <w:rFonts w:ascii="Arial" w:hAnsi="Arial" w:eastAsia="Arial"/>
                <w:b w:val="0"/>
                <w:sz w:val="13"/>
              </w:rPr>
              <w:t>Quality &amp; Compliance Agent</w:t>
            </w:r>
          </w:p>
        </w:tc>
        <w:tc>
          <w:tcPr>
            <w:tcW w:type="dxa" w:w="3600"/>
            <w:vAlign w:val="top"/>
          </w:tcPr>
          <w:p>
            <w:pPr>
              <w:spacing w:after="20"/>
            </w:pPr>
            <w:r/>
            <w:r>
              <w:rPr>
                <w:rFonts w:ascii="Arial" w:hAnsi="Arial" w:eastAsia="Arial"/>
                <w:b w:val="0"/>
                <w:sz w:val="13"/>
              </w:rPr>
              <w:t>Audits access, charts, consents, sterilization logs, training, incidents, SOP deviations.</w:t>
            </w:r>
          </w:p>
        </w:tc>
        <w:tc>
          <w:tcPr>
            <w:tcW w:type="dxa" w:w="2160"/>
            <w:vAlign w:val="top"/>
          </w:tcPr>
          <w:p>
            <w:pPr>
              <w:spacing w:after="20"/>
            </w:pPr>
            <w:r/>
            <w:r>
              <w:rPr>
                <w:rFonts w:ascii="Arial" w:hAnsi="Arial" w:eastAsia="Arial"/>
                <w:b w:val="0"/>
                <w:sz w:val="13"/>
              </w:rPr>
              <w:t>Audit pass rate, open risk items, training completion.</w:t>
            </w:r>
          </w:p>
        </w:tc>
        <w:tc>
          <w:tcPr>
            <w:tcW w:type="dxa" w:w="2592"/>
            <w:vAlign w:val="top"/>
          </w:tcPr>
          <w:p>
            <w:pPr>
              <w:spacing w:after="20"/>
            </w:pPr>
            <w:r/>
            <w:r>
              <w:rPr>
                <w:rFonts w:ascii="Arial" w:hAnsi="Arial" w:eastAsia="Arial"/>
                <w:b w:val="0"/>
                <w:sz w:val="13"/>
              </w:rPr>
              <w:t>Reports violations; does not hide or normalize exceptions.</w:t>
            </w:r>
          </w:p>
        </w:tc>
      </w:tr>
      <w:tr>
        <w:tc>
          <w:tcPr>
            <w:tcW w:type="dxa" w:w="2232"/>
            <w:vAlign w:val="top"/>
          </w:tcPr>
          <w:p>
            <w:pPr>
              <w:spacing w:after="20"/>
            </w:pPr>
            <w:r/>
            <w:r>
              <w:rPr>
                <w:rFonts w:ascii="Arial" w:hAnsi="Arial" w:eastAsia="Arial"/>
                <w:b w:val="0"/>
                <w:sz w:val="13"/>
              </w:rPr>
              <w:t>Inventory &amp; Procurement Agent</w:t>
            </w:r>
          </w:p>
        </w:tc>
        <w:tc>
          <w:tcPr>
            <w:tcW w:type="dxa" w:w="3600"/>
            <w:vAlign w:val="top"/>
          </w:tcPr>
          <w:p>
            <w:pPr>
              <w:spacing w:after="20"/>
            </w:pPr>
            <w:r/>
            <w:r>
              <w:rPr>
                <w:rFonts w:ascii="Arial" w:hAnsi="Arial" w:eastAsia="Arial"/>
                <w:b w:val="0"/>
                <w:sz w:val="13"/>
              </w:rPr>
              <w:t>Tracks implant systems, supplies, expiration dates, reorder points, vendor costs.</w:t>
            </w:r>
          </w:p>
        </w:tc>
        <w:tc>
          <w:tcPr>
            <w:tcW w:type="dxa" w:w="2160"/>
            <w:vAlign w:val="top"/>
          </w:tcPr>
          <w:p>
            <w:pPr>
              <w:spacing w:after="20"/>
            </w:pPr>
            <w:r/>
            <w:r>
              <w:rPr>
                <w:rFonts w:ascii="Arial" w:hAnsi="Arial" w:eastAsia="Arial"/>
                <w:b w:val="0"/>
                <w:sz w:val="13"/>
              </w:rPr>
              <w:t>Stockout rate, expired inventory, cost per surgery.</w:t>
            </w:r>
          </w:p>
        </w:tc>
        <w:tc>
          <w:tcPr>
            <w:tcW w:type="dxa" w:w="2592"/>
            <w:vAlign w:val="top"/>
          </w:tcPr>
          <w:p>
            <w:pPr>
              <w:spacing w:after="20"/>
            </w:pPr>
            <w:r/>
            <w:r>
              <w:rPr>
                <w:rFonts w:ascii="Arial" w:hAnsi="Arial" w:eastAsia="Arial"/>
                <w:b w:val="0"/>
                <w:sz w:val="13"/>
              </w:rPr>
              <w:t>No substitutions that affect clinical plan without clinician approval.</w:t>
            </w:r>
          </w:p>
        </w:tc>
      </w:tr>
      <w:tr>
        <w:tc>
          <w:tcPr>
            <w:tcW w:type="dxa" w:w="2232"/>
            <w:vAlign w:val="top"/>
          </w:tcPr>
          <w:p>
            <w:pPr>
              <w:spacing w:after="20"/>
            </w:pPr>
            <w:r/>
            <w:r>
              <w:rPr>
                <w:rFonts w:ascii="Arial" w:hAnsi="Arial" w:eastAsia="Arial"/>
                <w:b w:val="0"/>
                <w:sz w:val="13"/>
              </w:rPr>
              <w:t>Clinic Management / AI COO Agent</w:t>
            </w:r>
          </w:p>
        </w:tc>
        <w:tc>
          <w:tcPr>
            <w:tcW w:type="dxa" w:w="3600"/>
            <w:vAlign w:val="top"/>
          </w:tcPr>
          <w:p>
            <w:pPr>
              <w:spacing w:after="20"/>
            </w:pPr>
            <w:r/>
            <w:r>
              <w:rPr>
                <w:rFonts w:ascii="Arial" w:hAnsi="Arial" w:eastAsia="Arial"/>
                <w:b w:val="0"/>
                <w:sz w:val="13"/>
              </w:rPr>
              <w:t>Produces daily briefs, weekly reviews, bottlenecks, DRI accountability, forecasts.</w:t>
            </w:r>
          </w:p>
        </w:tc>
        <w:tc>
          <w:tcPr>
            <w:tcW w:type="dxa" w:w="2160"/>
            <w:vAlign w:val="top"/>
          </w:tcPr>
          <w:p>
            <w:pPr>
              <w:spacing w:after="20"/>
            </w:pPr>
            <w:r/>
            <w:r>
              <w:rPr>
                <w:rFonts w:ascii="Arial" w:hAnsi="Arial" w:eastAsia="Arial"/>
                <w:b w:val="0"/>
                <w:sz w:val="13"/>
              </w:rPr>
              <w:t>Decision velocity, task closure, forecast accuracy.</w:t>
            </w:r>
          </w:p>
        </w:tc>
        <w:tc>
          <w:tcPr>
            <w:tcW w:type="dxa" w:w="2592"/>
            <w:vAlign w:val="top"/>
          </w:tcPr>
          <w:p>
            <w:pPr>
              <w:spacing w:after="20"/>
            </w:pPr>
            <w:r/>
            <w:r>
              <w:rPr>
                <w:rFonts w:ascii="Arial" w:hAnsi="Arial" w:eastAsia="Arial"/>
                <w:b w:val="0"/>
                <w:sz w:val="13"/>
              </w:rPr>
              <w:t>Uses role-based data; does not expose PHI in business summaries unless authorized.</w:t>
            </w:r>
          </w:p>
        </w:tc>
      </w:tr>
      <w:tr>
        <w:tc>
          <w:tcPr>
            <w:tcW w:type="dxa" w:w="2232"/>
            <w:vAlign w:val="top"/>
          </w:tcPr>
          <w:p>
            <w:pPr>
              <w:spacing w:after="20"/>
            </w:pPr>
            <w:r/>
            <w:r>
              <w:rPr>
                <w:rFonts w:ascii="Arial" w:hAnsi="Arial" w:eastAsia="Arial"/>
                <w:b w:val="0"/>
                <w:sz w:val="13"/>
              </w:rPr>
              <w:t>Data Stewardship Agent</w:t>
            </w:r>
          </w:p>
        </w:tc>
        <w:tc>
          <w:tcPr>
            <w:tcW w:type="dxa" w:w="3600"/>
            <w:vAlign w:val="top"/>
          </w:tcPr>
          <w:p>
            <w:pPr>
              <w:spacing w:after="20"/>
            </w:pPr>
            <w:r/>
            <w:r>
              <w:rPr>
                <w:rFonts w:ascii="Arial" w:hAnsi="Arial" w:eastAsia="Arial"/>
                <w:b w:val="0"/>
                <w:sz w:val="13"/>
              </w:rPr>
              <w:t>Monitors data quality, duplicates, missing fields, event integrity, schema drift.</w:t>
            </w:r>
          </w:p>
        </w:tc>
        <w:tc>
          <w:tcPr>
            <w:tcW w:type="dxa" w:w="2160"/>
            <w:vAlign w:val="top"/>
          </w:tcPr>
          <w:p>
            <w:pPr>
              <w:spacing w:after="20"/>
            </w:pPr>
            <w:r/>
            <w:r>
              <w:rPr>
                <w:rFonts w:ascii="Arial" w:hAnsi="Arial" w:eastAsia="Arial"/>
                <w:b w:val="0"/>
                <w:sz w:val="13"/>
              </w:rPr>
              <w:t>Data completeness, duplicate rate, event error rate.</w:t>
            </w:r>
          </w:p>
        </w:tc>
        <w:tc>
          <w:tcPr>
            <w:tcW w:type="dxa" w:w="2592"/>
            <w:vAlign w:val="top"/>
          </w:tcPr>
          <w:p>
            <w:pPr>
              <w:spacing w:after="20"/>
            </w:pPr>
            <w:r/>
            <w:r>
              <w:rPr>
                <w:rFonts w:ascii="Arial" w:hAnsi="Arial" w:eastAsia="Arial"/>
                <w:b w:val="0"/>
                <w:sz w:val="13"/>
              </w:rPr>
              <w:t>Does not merge patient records without human-approved rules.</w:t>
            </w:r>
          </w:p>
        </w:tc>
      </w:tr>
      <w:tr>
        <w:tc>
          <w:tcPr>
            <w:tcW w:type="dxa" w:w="2232"/>
            <w:vAlign w:val="top"/>
          </w:tcPr>
          <w:p>
            <w:pPr>
              <w:spacing w:after="20"/>
            </w:pPr>
            <w:r/>
            <w:r>
              <w:rPr>
                <w:rFonts w:ascii="Arial" w:hAnsi="Arial" w:eastAsia="Arial"/>
                <w:b w:val="0"/>
                <w:sz w:val="13"/>
              </w:rPr>
              <w:t>Software Factory Agent</w:t>
            </w:r>
          </w:p>
        </w:tc>
        <w:tc>
          <w:tcPr>
            <w:tcW w:type="dxa" w:w="3600"/>
            <w:vAlign w:val="top"/>
          </w:tcPr>
          <w:p>
            <w:pPr>
              <w:spacing w:after="20"/>
            </w:pPr>
            <w:r/>
            <w:r>
              <w:rPr>
                <w:rFonts w:ascii="Arial" w:hAnsi="Arial" w:eastAsia="Arial"/>
                <w:b w:val="0"/>
                <w:sz w:val="13"/>
              </w:rPr>
              <w:t>Maintains specs, tests, evals, release notes, code generation support, regression checks.</w:t>
            </w:r>
          </w:p>
        </w:tc>
        <w:tc>
          <w:tcPr>
            <w:tcW w:type="dxa" w:w="2160"/>
            <w:vAlign w:val="top"/>
          </w:tcPr>
          <w:p>
            <w:pPr>
              <w:spacing w:after="20"/>
            </w:pPr>
            <w:r/>
            <w:r>
              <w:rPr>
                <w:rFonts w:ascii="Arial" w:hAnsi="Arial" w:eastAsia="Arial"/>
                <w:b w:val="0"/>
                <w:sz w:val="13"/>
              </w:rPr>
              <w:t>Deployment frequency, defect rate, test pass rate.</w:t>
            </w:r>
          </w:p>
        </w:tc>
        <w:tc>
          <w:tcPr>
            <w:tcW w:type="dxa" w:w="2592"/>
            <w:vAlign w:val="top"/>
          </w:tcPr>
          <w:p>
            <w:pPr>
              <w:spacing w:after="20"/>
            </w:pPr>
            <w:r/>
            <w:r>
              <w:rPr>
                <w:rFonts w:ascii="Arial" w:hAnsi="Arial" w:eastAsia="Arial"/>
                <w:b w:val="0"/>
                <w:sz w:val="13"/>
              </w:rPr>
              <w:t>Clinical or PHI-handling features require compliance and safety review.</w:t>
            </w:r>
          </w:p>
        </w:tc>
      </w:tr>
    </w:tbl>
    <w:p>
      <w:pPr>
        <w:pStyle w:val="Small"/>
      </w:pPr>
    </w:p>
    <w:p>
      <w:pPr>
        <w:pStyle w:val="Heading1"/>
      </w:pPr>
      <w:r>
        <w:t>10. Human Operating Model and DRIs</w:t>
      </w:r>
    </w:p>
    <w:p>
      <w:pPr/>
      <w:r>
        <w:t>The clinic should not recreate a classic management hierarchy where middle managers manually collect status and route information. The AI layer should make status, decisions, and outcomes visible. Human roles should own outcomes, judgment, relationship, care quality, and system improvement.</w:t>
      </w:r>
    </w:p>
    <w:p>
      <w:pPr>
        <w:pStyle w:val="Heading2"/>
      </w:pPr>
      <w:r>
        <w:t>10.1 Role archetypes</w:t>
      </w:r>
    </w:p>
    <w:p>
      <w:pPr>
        <w:pStyle w:val="ListBullet"/>
        <w:ind w:left="317"/>
      </w:pPr>
      <w:r>
        <w:t>AI Founder / Operator: leads by example, personally uses and improves the AI operating system, sets the doctrine, and does not outsource AI strategy.</w:t>
      </w:r>
    </w:p>
    <w:p>
      <w:pPr>
        <w:pStyle w:val="ListBullet"/>
        <w:ind w:left="317"/>
      </w:pPr>
      <w:r>
        <w:t>DRI - Directly Responsible Individual: owns one measurable outcome. One person, one outcome, no hiding.</w:t>
      </w:r>
    </w:p>
    <w:p>
      <w:pPr>
        <w:pStyle w:val="ListBullet"/>
        <w:ind w:left="317"/>
      </w:pPr>
      <w:r>
        <w:t>Builder-Operator: every role improves the system. A treatment coordinator improves scripts and objection taxonomy; an assistant improves checklists; a marketer links campaigns to accepted cases; a clinician helps convert judgment into structured protocols.</w:t>
      </w:r>
    </w:p>
    <w:p>
      <w:pPr>
        <w:pStyle w:val="Heading2"/>
      </w:pPr>
      <w:r>
        <w:t>10.2 Recommended DRI map</w:t>
      </w:r>
    </w:p>
    <w:tbl>
      <w:tblPr>
        <w:tblStyle w:val="TableGrid"/>
        <w:tblW w:type="auto" w:w="0"/>
        <w:jc w:val="center"/>
        <w:tblLook w:firstColumn="1" w:firstRow="1" w:lastColumn="0" w:lastRow="0" w:noHBand="0" w:noVBand="1" w:val="04A0"/>
      </w:tblPr>
      <w:tblGrid>
        <w:gridCol w:w="3331"/>
        <w:gridCol w:w="3331"/>
        <w:gridCol w:w="3331"/>
      </w:tblGrid>
      <w:tr>
        <w:tc>
          <w:tcPr>
            <w:tcW w:type="dxa" w:w="2448"/>
            <w:shd w:fill="D9EAF7"/>
            <w:vAlign w:val="center"/>
          </w:tcPr>
          <w:p>
            <w:pPr>
              <w:spacing w:after="20"/>
            </w:pPr>
            <w:r/>
            <w:r>
              <w:rPr>
                <w:rFonts w:ascii="Arial" w:hAnsi="Arial" w:eastAsia="Arial"/>
                <w:b/>
                <w:color w:val="1F4E79"/>
                <w:sz w:val="15"/>
              </w:rPr>
              <w:t>DRI</w:t>
            </w:r>
          </w:p>
        </w:tc>
        <w:tc>
          <w:tcPr>
            <w:tcW w:type="dxa" w:w="5040"/>
            <w:shd w:fill="D9EAF7"/>
            <w:vAlign w:val="center"/>
          </w:tcPr>
          <w:p>
            <w:pPr>
              <w:spacing w:after="20"/>
            </w:pPr>
            <w:r/>
            <w:r>
              <w:rPr>
                <w:rFonts w:ascii="Arial" w:hAnsi="Arial" w:eastAsia="Arial"/>
                <w:b/>
                <w:color w:val="1F4E79"/>
                <w:sz w:val="15"/>
              </w:rPr>
              <w:t>Outcome owned</w:t>
            </w:r>
          </w:p>
        </w:tc>
        <w:tc>
          <w:tcPr>
            <w:tcW w:type="dxa" w:w="3024"/>
            <w:shd w:fill="D9EAF7"/>
            <w:vAlign w:val="center"/>
          </w:tcPr>
          <w:p>
            <w:pPr>
              <w:spacing w:after="20"/>
            </w:pPr>
            <w:r/>
            <w:r>
              <w:rPr>
                <w:rFonts w:ascii="Arial" w:hAnsi="Arial" w:eastAsia="Arial"/>
                <w:b/>
                <w:color w:val="1F4E79"/>
                <w:sz w:val="15"/>
              </w:rPr>
              <w:t>Default dashboard</w:t>
            </w:r>
          </w:p>
        </w:tc>
      </w:tr>
      <w:tr>
        <w:tc>
          <w:tcPr>
            <w:tcW w:type="dxa" w:w="2448"/>
            <w:vAlign w:val="top"/>
          </w:tcPr>
          <w:p>
            <w:pPr>
              <w:spacing w:after="20"/>
            </w:pPr>
            <w:r/>
            <w:r>
              <w:rPr>
                <w:rFonts w:ascii="Arial" w:hAnsi="Arial" w:eastAsia="Arial"/>
                <w:b w:val="0"/>
                <w:sz w:val="15"/>
              </w:rPr>
              <w:t>DRI Growth</w:t>
            </w:r>
          </w:p>
        </w:tc>
        <w:tc>
          <w:tcPr>
            <w:tcW w:type="dxa" w:w="5040"/>
            <w:vAlign w:val="top"/>
          </w:tcPr>
          <w:p>
            <w:pPr>
              <w:spacing w:after="20"/>
            </w:pPr>
            <w:r/>
            <w:r>
              <w:rPr>
                <w:rFonts w:ascii="Arial" w:hAnsi="Arial" w:eastAsia="Arial"/>
                <w:b w:val="0"/>
                <w:sz w:val="15"/>
              </w:rPr>
              <w:t>Qualified patient pipeline and cost per accepted case.</w:t>
            </w:r>
          </w:p>
        </w:tc>
        <w:tc>
          <w:tcPr>
            <w:tcW w:type="dxa" w:w="3024"/>
            <w:vAlign w:val="top"/>
          </w:tcPr>
          <w:p>
            <w:pPr>
              <w:spacing w:after="20"/>
            </w:pPr>
            <w:r/>
            <w:r>
              <w:rPr>
                <w:rFonts w:ascii="Arial" w:hAnsi="Arial" w:eastAsia="Arial"/>
                <w:b w:val="0"/>
                <w:sz w:val="15"/>
              </w:rPr>
              <w:t>Growth dashboard.</w:t>
            </w:r>
          </w:p>
        </w:tc>
      </w:tr>
      <w:tr>
        <w:tc>
          <w:tcPr>
            <w:tcW w:type="dxa" w:w="2448"/>
            <w:vAlign w:val="top"/>
          </w:tcPr>
          <w:p>
            <w:pPr>
              <w:spacing w:after="20"/>
            </w:pPr>
            <w:r/>
            <w:r>
              <w:rPr>
                <w:rFonts w:ascii="Arial" w:hAnsi="Arial" w:eastAsia="Arial"/>
                <w:b w:val="0"/>
                <w:sz w:val="15"/>
              </w:rPr>
              <w:t>DRI Patient Conversion</w:t>
            </w:r>
          </w:p>
        </w:tc>
        <w:tc>
          <w:tcPr>
            <w:tcW w:type="dxa" w:w="5040"/>
            <w:vAlign w:val="top"/>
          </w:tcPr>
          <w:p>
            <w:pPr>
              <w:spacing w:after="20"/>
            </w:pPr>
            <w:r/>
            <w:r>
              <w:rPr>
                <w:rFonts w:ascii="Arial" w:hAnsi="Arial" w:eastAsia="Arial"/>
                <w:b w:val="0"/>
                <w:sz w:val="15"/>
              </w:rPr>
              <w:t>Booking, show rate, consult quality, treatment acceptance, financing flow.</w:t>
            </w:r>
          </w:p>
        </w:tc>
        <w:tc>
          <w:tcPr>
            <w:tcW w:type="dxa" w:w="3024"/>
            <w:vAlign w:val="top"/>
          </w:tcPr>
          <w:p>
            <w:pPr>
              <w:spacing w:after="20"/>
            </w:pPr>
            <w:r/>
            <w:r>
              <w:rPr>
                <w:rFonts w:ascii="Arial" w:hAnsi="Arial" w:eastAsia="Arial"/>
                <w:b w:val="0"/>
                <w:sz w:val="15"/>
              </w:rPr>
              <w:t>Patient journey and sales conversion dashboard.</w:t>
            </w:r>
          </w:p>
        </w:tc>
      </w:tr>
      <w:tr>
        <w:tc>
          <w:tcPr>
            <w:tcW w:type="dxa" w:w="2448"/>
            <w:vAlign w:val="top"/>
          </w:tcPr>
          <w:p>
            <w:pPr>
              <w:spacing w:after="20"/>
            </w:pPr>
            <w:r/>
            <w:r>
              <w:rPr>
                <w:rFonts w:ascii="Arial" w:hAnsi="Arial" w:eastAsia="Arial"/>
                <w:b w:val="0"/>
                <w:sz w:val="15"/>
              </w:rPr>
              <w:t>DRI Clinical Quality</w:t>
            </w:r>
          </w:p>
        </w:tc>
        <w:tc>
          <w:tcPr>
            <w:tcW w:type="dxa" w:w="5040"/>
            <w:vAlign w:val="top"/>
          </w:tcPr>
          <w:p>
            <w:pPr>
              <w:spacing w:after="20"/>
            </w:pPr>
            <w:r/>
            <w:r>
              <w:rPr>
                <w:rFonts w:ascii="Arial" w:hAnsi="Arial" w:eastAsia="Arial"/>
                <w:b w:val="0"/>
                <w:sz w:val="15"/>
              </w:rPr>
              <w:t>Clinical standards, documentation quality, treatment plan review, outcomes.</w:t>
            </w:r>
          </w:p>
        </w:tc>
        <w:tc>
          <w:tcPr>
            <w:tcW w:type="dxa" w:w="3024"/>
            <w:vAlign w:val="top"/>
          </w:tcPr>
          <w:p>
            <w:pPr>
              <w:spacing w:after="20"/>
            </w:pPr>
            <w:r/>
            <w:r>
              <w:rPr>
                <w:rFonts w:ascii="Arial" w:hAnsi="Arial" w:eastAsia="Arial"/>
                <w:b w:val="0"/>
                <w:sz w:val="15"/>
              </w:rPr>
              <w:t>Clinical dashboard.</w:t>
            </w:r>
          </w:p>
        </w:tc>
      </w:tr>
      <w:tr>
        <w:tc>
          <w:tcPr>
            <w:tcW w:type="dxa" w:w="2448"/>
            <w:vAlign w:val="top"/>
          </w:tcPr>
          <w:p>
            <w:pPr>
              <w:spacing w:after="20"/>
            </w:pPr>
            <w:r/>
            <w:r>
              <w:rPr>
                <w:rFonts w:ascii="Arial" w:hAnsi="Arial" w:eastAsia="Arial"/>
                <w:b w:val="0"/>
                <w:sz w:val="15"/>
              </w:rPr>
              <w:t>DRI Surgery Operations</w:t>
            </w:r>
          </w:p>
        </w:tc>
        <w:tc>
          <w:tcPr>
            <w:tcW w:type="dxa" w:w="5040"/>
            <w:vAlign w:val="top"/>
          </w:tcPr>
          <w:p>
            <w:pPr>
              <w:spacing w:after="20"/>
            </w:pPr>
            <w:r/>
            <w:r>
              <w:rPr>
                <w:rFonts w:ascii="Arial" w:hAnsi="Arial" w:eastAsia="Arial"/>
                <w:b w:val="0"/>
                <w:sz w:val="15"/>
              </w:rPr>
              <w:t>Surgery readiness, room flow, inventory, lab coordination.</w:t>
            </w:r>
          </w:p>
        </w:tc>
        <w:tc>
          <w:tcPr>
            <w:tcW w:type="dxa" w:w="3024"/>
            <w:vAlign w:val="top"/>
          </w:tcPr>
          <w:p>
            <w:pPr>
              <w:spacing w:after="20"/>
            </w:pPr>
            <w:r/>
            <w:r>
              <w:rPr>
                <w:rFonts w:ascii="Arial" w:hAnsi="Arial" w:eastAsia="Arial"/>
                <w:b w:val="0"/>
                <w:sz w:val="15"/>
              </w:rPr>
              <w:t>Operations and surgery readiness dashboard.</w:t>
            </w:r>
          </w:p>
        </w:tc>
      </w:tr>
      <w:tr>
        <w:tc>
          <w:tcPr>
            <w:tcW w:type="dxa" w:w="2448"/>
            <w:vAlign w:val="top"/>
          </w:tcPr>
          <w:p>
            <w:pPr>
              <w:spacing w:after="20"/>
            </w:pPr>
            <w:r/>
            <w:r>
              <w:rPr>
                <w:rFonts w:ascii="Arial" w:hAnsi="Arial" w:eastAsia="Arial"/>
                <w:b w:val="0"/>
                <w:sz w:val="15"/>
              </w:rPr>
              <w:t>DRI Patient Experience</w:t>
            </w:r>
          </w:p>
        </w:tc>
        <w:tc>
          <w:tcPr>
            <w:tcW w:type="dxa" w:w="5040"/>
            <w:vAlign w:val="top"/>
          </w:tcPr>
          <w:p>
            <w:pPr>
              <w:spacing w:after="20"/>
            </w:pPr>
            <w:r/>
            <w:r>
              <w:rPr>
                <w:rFonts w:ascii="Arial" w:hAnsi="Arial" w:eastAsia="Arial"/>
                <w:b w:val="0"/>
                <w:sz w:val="15"/>
              </w:rPr>
              <w:t>Communication, follow-ups, reviews, complaints, referrals.</w:t>
            </w:r>
          </w:p>
        </w:tc>
        <w:tc>
          <w:tcPr>
            <w:tcW w:type="dxa" w:w="3024"/>
            <w:vAlign w:val="top"/>
          </w:tcPr>
          <w:p>
            <w:pPr>
              <w:spacing w:after="20"/>
            </w:pPr>
            <w:r/>
            <w:r>
              <w:rPr>
                <w:rFonts w:ascii="Arial" w:hAnsi="Arial" w:eastAsia="Arial"/>
                <w:b w:val="0"/>
                <w:sz w:val="15"/>
              </w:rPr>
              <w:t>Patient experience dashboard.</w:t>
            </w:r>
          </w:p>
        </w:tc>
      </w:tr>
      <w:tr>
        <w:tc>
          <w:tcPr>
            <w:tcW w:type="dxa" w:w="2448"/>
            <w:vAlign w:val="top"/>
          </w:tcPr>
          <w:p>
            <w:pPr>
              <w:spacing w:after="20"/>
            </w:pPr>
            <w:r/>
            <w:r>
              <w:rPr>
                <w:rFonts w:ascii="Arial" w:hAnsi="Arial" w:eastAsia="Arial"/>
                <w:b w:val="0"/>
                <w:sz w:val="15"/>
              </w:rPr>
              <w:t>DRI AI Systems</w:t>
            </w:r>
          </w:p>
        </w:tc>
        <w:tc>
          <w:tcPr>
            <w:tcW w:type="dxa" w:w="5040"/>
            <w:vAlign w:val="top"/>
          </w:tcPr>
          <w:p>
            <w:pPr>
              <w:spacing w:after="20"/>
            </w:pPr>
            <w:r/>
            <w:r>
              <w:rPr>
                <w:rFonts w:ascii="Arial" w:hAnsi="Arial" w:eastAsia="Arial"/>
                <w:b w:val="0"/>
                <w:sz w:val="15"/>
              </w:rPr>
              <w:t>Agents, integrations, evals, logs, release quality, token economics.</w:t>
            </w:r>
          </w:p>
        </w:tc>
        <w:tc>
          <w:tcPr>
            <w:tcW w:type="dxa" w:w="3024"/>
            <w:vAlign w:val="top"/>
          </w:tcPr>
          <w:p>
            <w:pPr>
              <w:spacing w:after="20"/>
            </w:pPr>
            <w:r/>
            <w:r>
              <w:rPr>
                <w:rFonts w:ascii="Arial" w:hAnsi="Arial" w:eastAsia="Arial"/>
                <w:b w:val="0"/>
                <w:sz w:val="15"/>
              </w:rPr>
              <w:t>AI systems dashboard.</w:t>
            </w:r>
          </w:p>
        </w:tc>
      </w:tr>
      <w:tr>
        <w:tc>
          <w:tcPr>
            <w:tcW w:type="dxa" w:w="2448"/>
            <w:vAlign w:val="top"/>
          </w:tcPr>
          <w:p>
            <w:pPr>
              <w:spacing w:after="20"/>
            </w:pPr>
            <w:r/>
            <w:r>
              <w:rPr>
                <w:rFonts w:ascii="Arial" w:hAnsi="Arial" w:eastAsia="Arial"/>
                <w:b w:val="0"/>
                <w:sz w:val="15"/>
              </w:rPr>
              <w:t>DRI Compliance &amp; Privacy</w:t>
            </w:r>
          </w:p>
        </w:tc>
        <w:tc>
          <w:tcPr>
            <w:tcW w:type="dxa" w:w="5040"/>
            <w:vAlign w:val="top"/>
          </w:tcPr>
          <w:p>
            <w:pPr>
              <w:spacing w:after="20"/>
            </w:pPr>
            <w:r/>
            <w:r>
              <w:rPr>
                <w:rFonts w:ascii="Arial" w:hAnsi="Arial" w:eastAsia="Arial"/>
                <w:b w:val="0"/>
                <w:sz w:val="15"/>
              </w:rPr>
              <w:t>HIPAA, BAA scope, access, audit, incident response, training.</w:t>
            </w:r>
          </w:p>
        </w:tc>
        <w:tc>
          <w:tcPr>
            <w:tcW w:type="dxa" w:w="3024"/>
            <w:vAlign w:val="top"/>
          </w:tcPr>
          <w:p>
            <w:pPr>
              <w:spacing w:after="20"/>
            </w:pPr>
            <w:r/>
            <w:r>
              <w:rPr>
                <w:rFonts w:ascii="Arial" w:hAnsi="Arial" w:eastAsia="Arial"/>
                <w:b w:val="0"/>
                <w:sz w:val="15"/>
              </w:rPr>
              <w:t>Compliance dashboard.</w:t>
            </w:r>
          </w:p>
        </w:tc>
      </w:tr>
      <w:tr>
        <w:tc>
          <w:tcPr>
            <w:tcW w:type="dxa" w:w="2448"/>
            <w:vAlign w:val="top"/>
          </w:tcPr>
          <w:p>
            <w:pPr>
              <w:spacing w:after="20"/>
            </w:pPr>
            <w:r/>
            <w:r>
              <w:rPr>
                <w:rFonts w:ascii="Arial" w:hAnsi="Arial" w:eastAsia="Arial"/>
                <w:b w:val="0"/>
                <w:sz w:val="15"/>
              </w:rPr>
              <w:t>DRI Finance</w:t>
            </w:r>
          </w:p>
        </w:tc>
        <w:tc>
          <w:tcPr>
            <w:tcW w:type="dxa" w:w="5040"/>
            <w:vAlign w:val="top"/>
          </w:tcPr>
          <w:p>
            <w:pPr>
              <w:spacing w:after="20"/>
            </w:pPr>
            <w:r/>
            <w:r>
              <w:rPr>
                <w:rFonts w:ascii="Arial" w:hAnsi="Arial" w:eastAsia="Arial"/>
                <w:b w:val="0"/>
                <w:sz w:val="15"/>
              </w:rPr>
              <w:t>Revenue, collections, financing, margin, forecast, spend controls.</w:t>
            </w:r>
          </w:p>
        </w:tc>
        <w:tc>
          <w:tcPr>
            <w:tcW w:type="dxa" w:w="3024"/>
            <w:vAlign w:val="top"/>
          </w:tcPr>
          <w:p>
            <w:pPr>
              <w:spacing w:after="20"/>
            </w:pPr>
            <w:r/>
            <w:r>
              <w:rPr>
                <w:rFonts w:ascii="Arial" w:hAnsi="Arial" w:eastAsia="Arial"/>
                <w:b w:val="0"/>
                <w:sz w:val="15"/>
              </w:rPr>
              <w:t>Finance dashboard.</w:t>
            </w:r>
          </w:p>
        </w:tc>
      </w:tr>
    </w:tbl>
    <w:p>
      <w:pPr>
        <w:pStyle w:val="Small"/>
      </w:pPr>
    </w:p>
    <w:p>
      <w:pPr>
        <w:pStyle w:val="Heading1"/>
      </w:pPr>
      <w:r>
        <w:t>11. AI-Native Software Factory</w:t>
      </w:r>
    </w:p>
    <w:p>
      <w:pPr/>
      <w:r>
        <w:t>The clinic OS should be built through a software factory model. Humans write specifications and success tests. AI agents help produce implementation, test cases, documentation, and iteration. The output is not only software code; it is operational intelligence, SOPs, dashboards, agents, and evaluated workflows.</w:t>
      </w:r>
    </w:p>
    <w:p>
      <w:pPr>
        <w:pStyle w:val="Heading2"/>
      </w:pPr>
      <w:r>
        <w:t>11.1 Workflow specs before software</w:t>
      </w:r>
    </w:p>
    <w:p>
      <w:pPr/>
      <w:r>
        <w:t>Do not begin by building a generic CRM or dashboard. Begin by specifying high-value workflows.</w:t>
      </w:r>
    </w:p>
    <w:p>
      <w:pPr>
        <w:pStyle w:val="ListBullet"/>
        <w:ind w:left="317"/>
      </w:pPr>
      <w:r>
        <w:t>Lead Intake Spec</w:t>
      </w:r>
    </w:p>
    <w:p>
      <w:pPr>
        <w:pStyle w:val="ListBullet"/>
        <w:ind w:left="317"/>
      </w:pPr>
      <w:r>
        <w:t>Lead Qualification Spec</w:t>
      </w:r>
    </w:p>
    <w:p>
      <w:pPr>
        <w:pStyle w:val="ListBullet"/>
        <w:ind w:left="317"/>
      </w:pPr>
      <w:r>
        <w:t>Consultation Prep Spec</w:t>
      </w:r>
    </w:p>
    <w:p>
      <w:pPr>
        <w:pStyle w:val="ListBullet"/>
        <w:ind w:left="317"/>
      </w:pPr>
      <w:r>
        <w:t>Case Acceptance Spec</w:t>
      </w:r>
    </w:p>
    <w:p>
      <w:pPr>
        <w:pStyle w:val="ListBullet"/>
        <w:ind w:left="317"/>
      </w:pPr>
      <w:r>
        <w:t>Clinical Intake Spec</w:t>
      </w:r>
    </w:p>
    <w:p>
      <w:pPr>
        <w:pStyle w:val="ListBullet"/>
        <w:ind w:left="317"/>
      </w:pPr>
      <w:r>
        <w:t>Treatment Planning Support Spec</w:t>
      </w:r>
    </w:p>
    <w:p>
      <w:pPr>
        <w:pStyle w:val="ListBullet"/>
        <w:ind w:left="317"/>
      </w:pPr>
      <w:r>
        <w:t>Surgery Readiness Spec</w:t>
      </w:r>
    </w:p>
    <w:p>
      <w:pPr>
        <w:pStyle w:val="ListBullet"/>
        <w:ind w:left="317"/>
      </w:pPr>
      <w:r>
        <w:t>Post-op Monitoring Spec</w:t>
      </w:r>
    </w:p>
    <w:p>
      <w:pPr>
        <w:pStyle w:val="ListBullet"/>
        <w:ind w:left="317"/>
      </w:pPr>
      <w:r>
        <w:t>Compliance Audit Spec</w:t>
      </w:r>
    </w:p>
    <w:p>
      <w:pPr>
        <w:pStyle w:val="ListBullet"/>
        <w:ind w:left="317"/>
      </w:pPr>
      <w:r>
        <w:t>Weekly Management Review Spec</w:t>
      </w:r>
    </w:p>
    <w:p>
      <w:pPr>
        <w:pStyle w:val="ListBullet"/>
        <w:ind w:left="317"/>
      </w:pPr>
      <w:r>
        <w:t>Inventory Forecasting Spec</w:t>
      </w:r>
    </w:p>
    <w:p>
      <w:pPr>
        <w:pStyle w:val="ListBullet"/>
        <w:ind w:left="317"/>
      </w:pPr>
      <w:r>
        <w:t>AI Agent Evaluation Spec</w:t>
      </w:r>
    </w:p>
    <w:p>
      <w:pPr>
        <w:pStyle w:val="Heading2"/>
      </w:pPr>
      <w:r>
        <w:t>11.2 Every agent needs a test harness</w:t>
      </w:r>
    </w:p>
    <w:p>
      <w:pPr>
        <w:pStyle w:val="ListBullet"/>
        <w:ind w:left="317"/>
      </w:pPr>
      <w:r>
        <w:t>The agent does not disclose PHI to unapproved systems.</w:t>
      </w:r>
    </w:p>
    <w:p>
      <w:pPr>
        <w:pStyle w:val="ListBullet"/>
        <w:ind w:left="317"/>
      </w:pPr>
      <w:r>
        <w:t>The agent refuses or escalates diagnosis or treatment requests outside approved scope.</w:t>
      </w:r>
    </w:p>
    <w:p>
      <w:pPr>
        <w:pStyle w:val="ListBullet"/>
        <w:ind w:left="317"/>
      </w:pPr>
      <w:r>
        <w:t>The agent escalates medical red flags.</w:t>
      </w:r>
    </w:p>
    <w:p>
      <w:pPr>
        <w:pStyle w:val="ListBullet"/>
        <w:ind w:left="317"/>
      </w:pPr>
      <w:r>
        <w:t>The agent does not promise treatment eligibility or price outside approved policy.</w:t>
      </w:r>
    </w:p>
    <w:p>
      <w:pPr>
        <w:pStyle w:val="ListBullet"/>
        <w:ind w:left="317"/>
      </w:pPr>
      <w:r>
        <w:t>The agent correctly detects missing consent, missing medical history, and allergy/medication risks.</w:t>
      </w:r>
    </w:p>
    <w:p>
      <w:pPr>
        <w:pStyle w:val="ListBullet"/>
        <w:ind w:left="317"/>
      </w:pPr>
      <w:r>
        <w:t>The agent logs actions, sources, model version, data class, and approvals.</w:t>
      </w:r>
    </w:p>
    <w:p>
      <w:pPr>
        <w:pStyle w:val="ListBullet"/>
        <w:ind w:left="317"/>
      </w:pPr>
      <w:r>
        <w:t>The agent remains stable under adversarial prompts, ambiguous patient messages, and incomplete records.</w:t>
      </w:r>
    </w:p>
    <w:p>
      <w:pPr>
        <w:pStyle w:val="ListBullet"/>
        <w:ind w:left="317"/>
      </w:pPr>
      <w:r>
        <w:t>The agent routes outputs to the correct DRI or clinician.</w:t>
      </w:r>
    </w:p>
    <w:p>
      <w:pPr>
        <w:pStyle w:val="Callout"/>
        <w:shd w:fill="FFF2CC"/>
      </w:pPr>
      <w:r>
        <w:rPr>
          <w:b/>
          <w:color w:val="1F4E79"/>
        </w:rPr>
        <w:t xml:space="preserve">Release rule: </w:t>
      </w:r>
      <w:r>
        <w:t>No agent that touches PHI, patient communication, clinical documentation, or financial commitments should be deployed without an evaluation set, regression tests, access review, and rollback path.</w:t>
      </w:r>
    </w:p>
    <w:p>
      <w:pPr>
        <w:pStyle w:val="Heading1"/>
      </w:pPr>
      <w:r>
        <w:t>12. Dashboards, Metrics, and Queryable Management</w:t>
      </w:r>
    </w:p>
    <w:p>
      <w:pPr/>
      <w:r>
        <w:t>The company must be queryable. Dashboards should not be occasional reports; they should be live operating surfaces used by DRIs and agents.</w:t>
      </w:r>
    </w:p>
    <w:tbl>
      <w:tblPr>
        <w:tblStyle w:val="TableGrid"/>
        <w:tblW w:type="auto" w:w="0"/>
        <w:jc w:val="center"/>
        <w:tblLook w:firstColumn="1" w:firstRow="1" w:lastColumn="0" w:lastRow="0" w:noHBand="0" w:noVBand="1" w:val="04A0"/>
      </w:tblPr>
      <w:tblGrid>
        <w:gridCol w:w="4997"/>
        <w:gridCol w:w="4997"/>
      </w:tblGrid>
      <w:tr>
        <w:tc>
          <w:tcPr>
            <w:tcW w:type="dxa" w:w="2880"/>
            <w:shd w:fill="D9EAF7"/>
            <w:vAlign w:val="center"/>
          </w:tcPr>
          <w:p>
            <w:pPr>
              <w:spacing w:after="20"/>
            </w:pPr>
            <w:r/>
            <w:r>
              <w:rPr>
                <w:rFonts w:ascii="Arial" w:hAnsi="Arial" w:eastAsia="Arial"/>
                <w:b/>
                <w:color w:val="1F4E79"/>
                <w:sz w:val="15"/>
              </w:rPr>
              <w:t>Dashboard</w:t>
            </w:r>
          </w:p>
        </w:tc>
        <w:tc>
          <w:tcPr>
            <w:tcW w:type="dxa" w:w="7632"/>
            <w:shd w:fill="D9EAF7"/>
            <w:vAlign w:val="center"/>
          </w:tcPr>
          <w:p>
            <w:pPr>
              <w:spacing w:after="20"/>
            </w:pPr>
            <w:r/>
            <w:r>
              <w:rPr>
                <w:rFonts w:ascii="Arial" w:hAnsi="Arial" w:eastAsia="Arial"/>
                <w:b/>
                <w:color w:val="1F4E79"/>
                <w:sz w:val="15"/>
              </w:rPr>
              <w:t>Core metrics</w:t>
            </w:r>
          </w:p>
        </w:tc>
      </w:tr>
      <w:tr>
        <w:tc>
          <w:tcPr>
            <w:tcW w:type="dxa" w:w="2880"/>
            <w:vAlign w:val="top"/>
          </w:tcPr>
          <w:p>
            <w:pPr>
              <w:spacing w:after="20"/>
            </w:pPr>
            <w:r/>
            <w:r>
              <w:rPr>
                <w:rFonts w:ascii="Arial" w:hAnsi="Arial" w:eastAsia="Arial"/>
                <w:b w:val="0"/>
                <w:sz w:val="15"/>
              </w:rPr>
              <w:t>Growth dashboard</w:t>
            </w:r>
          </w:p>
        </w:tc>
        <w:tc>
          <w:tcPr>
            <w:tcW w:type="dxa" w:w="7632"/>
            <w:vAlign w:val="top"/>
          </w:tcPr>
          <w:p>
            <w:pPr>
              <w:spacing w:after="20"/>
            </w:pPr>
            <w:r/>
            <w:r>
              <w:rPr>
                <w:rFonts w:ascii="Arial" w:hAnsi="Arial" w:eastAsia="Arial"/>
                <w:b w:val="0"/>
                <w:sz w:val="15"/>
              </w:rPr>
              <w:t>Spend by channel, CPL, qualified lead rate, speed-to-lead, contact rate, booking rate, show rate, consult-to-acceptance, cost per accepted case, revenue by channel, reviews, referrals.</w:t>
            </w:r>
          </w:p>
        </w:tc>
      </w:tr>
      <w:tr>
        <w:tc>
          <w:tcPr>
            <w:tcW w:type="dxa" w:w="2880"/>
            <w:vAlign w:val="top"/>
          </w:tcPr>
          <w:p>
            <w:pPr>
              <w:spacing w:after="20"/>
            </w:pPr>
            <w:r/>
            <w:r>
              <w:rPr>
                <w:rFonts w:ascii="Arial" w:hAnsi="Arial" w:eastAsia="Arial"/>
                <w:b w:val="0"/>
                <w:sz w:val="15"/>
              </w:rPr>
              <w:t>Patient journey dashboard</w:t>
            </w:r>
          </w:p>
        </w:tc>
        <w:tc>
          <w:tcPr>
            <w:tcW w:type="dxa" w:w="7632"/>
            <w:vAlign w:val="top"/>
          </w:tcPr>
          <w:p>
            <w:pPr>
              <w:spacing w:after="20"/>
            </w:pPr>
            <w:r/>
            <w:r>
              <w:rPr>
                <w:rFonts w:ascii="Arial" w:hAnsi="Arial" w:eastAsia="Arial"/>
                <w:b w:val="0"/>
                <w:sz w:val="15"/>
              </w:rPr>
              <w:t>New leads, booked consults, confirmed consults, no-show risk, pending financing, treatment plans pending, surgeries scheduled, post-op check-ins due, open red flags.</w:t>
            </w:r>
          </w:p>
        </w:tc>
      </w:tr>
      <w:tr>
        <w:tc>
          <w:tcPr>
            <w:tcW w:type="dxa" w:w="2880"/>
            <w:vAlign w:val="top"/>
          </w:tcPr>
          <w:p>
            <w:pPr>
              <w:spacing w:after="20"/>
            </w:pPr>
            <w:r/>
            <w:r>
              <w:rPr>
                <w:rFonts w:ascii="Arial" w:hAnsi="Arial" w:eastAsia="Arial"/>
                <w:b w:val="0"/>
                <w:sz w:val="15"/>
              </w:rPr>
              <w:t>Clinical dashboard</w:t>
            </w:r>
          </w:p>
        </w:tc>
        <w:tc>
          <w:tcPr>
            <w:tcW w:type="dxa" w:w="7632"/>
            <w:vAlign w:val="top"/>
          </w:tcPr>
          <w:p>
            <w:pPr>
              <w:spacing w:after="20"/>
            </w:pPr>
            <w:r/>
            <w:r>
              <w:rPr>
                <w:rFonts w:ascii="Arial" w:hAnsi="Arial" w:eastAsia="Arial"/>
                <w:b w:val="0"/>
                <w:sz w:val="15"/>
              </w:rPr>
              <w:t>Intake completion, chart completion, consent completion, imaging status, treatment plan status, surgery readiness, follow-up adherence, complications, escalations.</w:t>
            </w:r>
          </w:p>
        </w:tc>
      </w:tr>
      <w:tr>
        <w:tc>
          <w:tcPr>
            <w:tcW w:type="dxa" w:w="2880"/>
            <w:vAlign w:val="top"/>
          </w:tcPr>
          <w:p>
            <w:pPr>
              <w:spacing w:after="20"/>
            </w:pPr>
            <w:r/>
            <w:r>
              <w:rPr>
                <w:rFonts w:ascii="Arial" w:hAnsi="Arial" w:eastAsia="Arial"/>
                <w:b w:val="0"/>
                <w:sz w:val="15"/>
              </w:rPr>
              <w:t>Operations dashboard</w:t>
            </w:r>
          </w:p>
        </w:tc>
        <w:tc>
          <w:tcPr>
            <w:tcW w:type="dxa" w:w="7632"/>
            <w:vAlign w:val="top"/>
          </w:tcPr>
          <w:p>
            <w:pPr>
              <w:spacing w:after="20"/>
            </w:pPr>
            <w:r/>
            <w:r>
              <w:rPr>
                <w:rFonts w:ascii="Arial" w:hAnsi="Arial" w:eastAsia="Arial"/>
                <w:b w:val="0"/>
                <w:sz w:val="15"/>
              </w:rPr>
              <w:t>Chair utilization, surgery block fill, cancellations, staff capacity, lab turnaround, inventory status, sterilization logs, revenue per chair hour.</w:t>
            </w:r>
          </w:p>
        </w:tc>
      </w:tr>
      <w:tr>
        <w:tc>
          <w:tcPr>
            <w:tcW w:type="dxa" w:w="2880"/>
            <w:vAlign w:val="top"/>
          </w:tcPr>
          <w:p>
            <w:pPr>
              <w:spacing w:after="20"/>
            </w:pPr>
            <w:r/>
            <w:r>
              <w:rPr>
                <w:rFonts w:ascii="Arial" w:hAnsi="Arial" w:eastAsia="Arial"/>
                <w:b w:val="0"/>
                <w:sz w:val="15"/>
              </w:rPr>
              <w:t>Compliance dashboard</w:t>
            </w:r>
          </w:p>
        </w:tc>
        <w:tc>
          <w:tcPr>
            <w:tcW w:type="dxa" w:w="7632"/>
            <w:vAlign w:val="top"/>
          </w:tcPr>
          <w:p>
            <w:pPr>
              <w:spacing w:after="20"/>
            </w:pPr>
            <w:r/>
            <w:r>
              <w:rPr>
                <w:rFonts w:ascii="Arial" w:hAnsi="Arial" w:eastAsia="Arial"/>
                <w:b w:val="0"/>
                <w:sz w:val="15"/>
              </w:rPr>
              <w:t>Access anomalies, BAA coverage status, training completion, incidents, chart audits, consent audits, policy exceptions, unresolved risks.</w:t>
            </w:r>
          </w:p>
        </w:tc>
      </w:tr>
      <w:tr>
        <w:tc>
          <w:tcPr>
            <w:tcW w:type="dxa" w:w="2880"/>
            <w:vAlign w:val="top"/>
          </w:tcPr>
          <w:p>
            <w:pPr>
              <w:spacing w:after="20"/>
            </w:pPr>
            <w:r/>
            <w:r>
              <w:rPr>
                <w:rFonts w:ascii="Arial" w:hAnsi="Arial" w:eastAsia="Arial"/>
                <w:b w:val="0"/>
                <w:sz w:val="15"/>
              </w:rPr>
              <w:t>AI systems dashboard</w:t>
            </w:r>
          </w:p>
        </w:tc>
        <w:tc>
          <w:tcPr>
            <w:tcW w:type="dxa" w:w="7632"/>
            <w:vAlign w:val="top"/>
          </w:tcPr>
          <w:p>
            <w:pPr>
              <w:spacing w:after="20"/>
            </w:pPr>
            <w:r/>
            <w:r>
              <w:rPr>
                <w:rFonts w:ascii="Arial" w:hAnsi="Arial" w:eastAsia="Arial"/>
                <w:b w:val="0"/>
                <w:sz w:val="15"/>
              </w:rPr>
              <w:t>Token spend, cost per workflow, automation volume, human approval rate, escalation rate, unsafe output rate, eval pass rate, model/tool versions, agent uptime.</w:t>
            </w:r>
          </w:p>
        </w:tc>
      </w:tr>
      <w:tr>
        <w:tc>
          <w:tcPr>
            <w:tcW w:type="dxa" w:w="2880"/>
            <w:vAlign w:val="top"/>
          </w:tcPr>
          <w:p>
            <w:pPr>
              <w:spacing w:after="20"/>
            </w:pPr>
            <w:r/>
            <w:r>
              <w:rPr>
                <w:rFonts w:ascii="Arial" w:hAnsi="Arial" w:eastAsia="Arial"/>
                <w:b w:val="0"/>
                <w:sz w:val="15"/>
              </w:rPr>
              <w:t>Finance dashboard</w:t>
            </w:r>
          </w:p>
        </w:tc>
        <w:tc>
          <w:tcPr>
            <w:tcW w:type="dxa" w:w="7632"/>
            <w:vAlign w:val="top"/>
          </w:tcPr>
          <w:p>
            <w:pPr>
              <w:spacing w:after="20"/>
            </w:pPr>
            <w:r/>
            <w:r>
              <w:rPr>
                <w:rFonts w:ascii="Arial" w:hAnsi="Arial" w:eastAsia="Arial"/>
                <w:b w:val="0"/>
                <w:sz w:val="15"/>
              </w:rPr>
              <w:t>Revenue, collections, financing approvals, AR, refunds, revenue per provider hour, gross margin, tool/API spend, headcount efficiency.</w:t>
            </w:r>
          </w:p>
        </w:tc>
      </w:tr>
    </w:tbl>
    <w:p>
      <w:pPr>
        <w:pStyle w:val="Small"/>
      </w:pPr>
    </w:p>
    <w:p>
      <w:pPr/>
      <w:r>
        <w:t>Example founder-level queries:</w:t>
      </w:r>
    </w:p>
    <w:p>
      <w:pPr>
        <w:pStyle w:val="ListBullet"/>
        <w:ind w:left="317"/>
      </w:pPr>
      <w:r>
        <w:t>Which campaigns produced the highest number of accepted implant cases in the last 30 days, and what objections did those patients raise before acceptance?</w:t>
      </w:r>
    </w:p>
    <w:p>
      <w:pPr>
        <w:pStyle w:val="ListBullet"/>
        <w:ind w:left="317"/>
      </w:pPr>
      <w:r>
        <w:t>Which patients need human follow-up today because they are likely to no-show, have pending financing, or reported post-op concerns?</w:t>
      </w:r>
    </w:p>
    <w:p>
      <w:pPr>
        <w:pStyle w:val="ListBullet"/>
        <w:ind w:left="317"/>
      </w:pPr>
      <w:r>
        <w:t>Which surgeries scheduled in the next seven days are not fully ready by consent, imaging, inventory, lab status, and clinician approval?</w:t>
      </w:r>
    </w:p>
    <w:p>
      <w:pPr>
        <w:pStyle w:val="ListBullet"/>
        <w:ind w:left="317"/>
      </w:pPr>
      <w:r>
        <w:t>Which AI agents had the highest escalation rate this week, and what evaluation failures need to be fixed before further automation?</w:t>
      </w:r>
    </w:p>
    <w:p>
      <w:pPr>
        <w:pStyle w:val="ListBullet"/>
        <w:ind w:left="317"/>
      </w:pPr>
      <w:r>
        <w:t>Where are we losing the most revenue: lead response, no-shows, financing, consultation conversion, scheduling capacity, or incomplete follow-up?</w:t>
      </w:r>
    </w:p>
    <w:p>
      <w:pPr>
        <w:pStyle w:val="Heading1"/>
      </w:pPr>
      <w:r>
        <w:t>13. Operating Cadence</w:t>
      </w:r>
    </w:p>
    <w:tbl>
      <w:tblPr>
        <w:tblStyle w:val="TableGrid"/>
        <w:tblW w:type="auto" w:w="0"/>
        <w:jc w:val="center"/>
        <w:tblLook w:firstColumn="1" w:firstRow="1" w:lastColumn="0" w:lastRow="0" w:noHBand="0" w:noVBand="1" w:val="04A0"/>
      </w:tblPr>
      <w:tblGrid>
        <w:gridCol w:w="3331"/>
        <w:gridCol w:w="3331"/>
        <w:gridCol w:w="3331"/>
      </w:tblGrid>
      <w:tr>
        <w:tc>
          <w:tcPr>
            <w:tcW w:type="dxa" w:w="2448"/>
            <w:shd w:fill="D9EAF7"/>
            <w:vAlign w:val="center"/>
          </w:tcPr>
          <w:p>
            <w:pPr>
              <w:spacing w:after="20"/>
            </w:pPr>
            <w:r/>
            <w:r>
              <w:rPr>
                <w:rFonts w:ascii="Arial" w:hAnsi="Arial" w:eastAsia="Arial"/>
                <w:b/>
                <w:color w:val="1F4E79"/>
                <w:sz w:val="14"/>
              </w:rPr>
              <w:t>Cadence</w:t>
            </w:r>
          </w:p>
        </w:tc>
        <w:tc>
          <w:tcPr>
            <w:tcW w:type="dxa" w:w="5760"/>
            <w:shd w:fill="D9EAF7"/>
            <w:vAlign w:val="center"/>
          </w:tcPr>
          <w:p>
            <w:pPr>
              <w:spacing w:after="20"/>
            </w:pPr>
            <w:r/>
            <w:r>
              <w:rPr>
                <w:rFonts w:ascii="Arial" w:hAnsi="Arial" w:eastAsia="Arial"/>
                <w:b/>
                <w:color w:val="1F4E79"/>
                <w:sz w:val="14"/>
              </w:rPr>
              <w:t>AI-produced artifact</w:t>
            </w:r>
          </w:p>
        </w:tc>
        <w:tc>
          <w:tcPr>
            <w:tcW w:type="dxa" w:w="2304"/>
            <w:shd w:fill="D9EAF7"/>
            <w:vAlign w:val="center"/>
          </w:tcPr>
          <w:p>
            <w:pPr>
              <w:spacing w:after="20"/>
            </w:pPr>
            <w:r/>
            <w:r>
              <w:rPr>
                <w:rFonts w:ascii="Arial" w:hAnsi="Arial" w:eastAsia="Arial"/>
                <w:b/>
                <w:color w:val="1F4E79"/>
                <w:sz w:val="14"/>
              </w:rPr>
              <w:t>Human owner</w:t>
            </w:r>
          </w:p>
        </w:tc>
      </w:tr>
      <w:tr>
        <w:tc>
          <w:tcPr>
            <w:tcW w:type="dxa" w:w="2448"/>
            <w:vAlign w:val="top"/>
          </w:tcPr>
          <w:p>
            <w:pPr>
              <w:spacing w:after="20"/>
            </w:pPr>
            <w:r/>
            <w:r>
              <w:rPr>
                <w:rFonts w:ascii="Arial" w:hAnsi="Arial" w:eastAsia="Arial"/>
                <w:b w:val="0"/>
                <w:sz w:val="14"/>
              </w:rPr>
              <w:t>Daily operating brief</w:t>
            </w:r>
          </w:p>
        </w:tc>
        <w:tc>
          <w:tcPr>
            <w:tcW w:type="dxa" w:w="5760"/>
            <w:vAlign w:val="top"/>
          </w:tcPr>
          <w:p>
            <w:pPr>
              <w:spacing w:after="20"/>
            </w:pPr>
            <w:r/>
            <w:r>
              <w:rPr>
                <w:rFonts w:ascii="Arial" w:hAnsi="Arial" w:eastAsia="Arial"/>
                <w:b w:val="0"/>
                <w:sz w:val="14"/>
              </w:rPr>
              <w:t>Leads, consults, surgeries, red flags, no-show risks, overdue tasks, financing items, staffing bottlenecks.</w:t>
            </w:r>
          </w:p>
        </w:tc>
        <w:tc>
          <w:tcPr>
            <w:tcW w:type="dxa" w:w="2304"/>
            <w:vAlign w:val="top"/>
          </w:tcPr>
          <w:p>
            <w:pPr>
              <w:spacing w:after="20"/>
            </w:pPr>
            <w:r/>
            <w:r>
              <w:rPr>
                <w:rFonts w:ascii="Arial" w:hAnsi="Arial" w:eastAsia="Arial"/>
                <w:b w:val="0"/>
                <w:sz w:val="14"/>
              </w:rPr>
              <w:t>Clinic Management / AI COO DRI.</w:t>
            </w:r>
          </w:p>
        </w:tc>
      </w:tr>
      <w:tr>
        <w:tc>
          <w:tcPr>
            <w:tcW w:type="dxa" w:w="2448"/>
            <w:vAlign w:val="top"/>
          </w:tcPr>
          <w:p>
            <w:pPr>
              <w:spacing w:after="20"/>
            </w:pPr>
            <w:r/>
            <w:r>
              <w:rPr>
                <w:rFonts w:ascii="Arial" w:hAnsi="Arial" w:eastAsia="Arial"/>
                <w:b w:val="0"/>
                <w:sz w:val="14"/>
              </w:rPr>
              <w:t>Pre-consult brief</w:t>
            </w:r>
          </w:p>
        </w:tc>
        <w:tc>
          <w:tcPr>
            <w:tcW w:type="dxa" w:w="5760"/>
            <w:vAlign w:val="top"/>
          </w:tcPr>
          <w:p>
            <w:pPr>
              <w:spacing w:after="20"/>
            </w:pPr>
            <w:r/>
            <w:r>
              <w:rPr>
                <w:rFonts w:ascii="Arial" w:hAnsi="Arial" w:eastAsia="Arial"/>
                <w:b w:val="0"/>
                <w:sz w:val="14"/>
              </w:rPr>
              <w:t>Lead source, patient goals, forms, missing info, objections, questions for clinician/coordinator.</w:t>
            </w:r>
          </w:p>
        </w:tc>
        <w:tc>
          <w:tcPr>
            <w:tcW w:type="dxa" w:w="2304"/>
            <w:vAlign w:val="top"/>
          </w:tcPr>
          <w:p>
            <w:pPr>
              <w:spacing w:after="20"/>
            </w:pPr>
            <w:r/>
            <w:r>
              <w:rPr>
                <w:rFonts w:ascii="Arial" w:hAnsi="Arial" w:eastAsia="Arial"/>
                <w:b w:val="0"/>
                <w:sz w:val="14"/>
              </w:rPr>
              <w:t>Treatment Coordinator and clinician.</w:t>
            </w:r>
          </w:p>
        </w:tc>
      </w:tr>
      <w:tr>
        <w:tc>
          <w:tcPr>
            <w:tcW w:type="dxa" w:w="2448"/>
            <w:vAlign w:val="top"/>
          </w:tcPr>
          <w:p>
            <w:pPr>
              <w:spacing w:after="20"/>
            </w:pPr>
            <w:r/>
            <w:r>
              <w:rPr>
                <w:rFonts w:ascii="Arial" w:hAnsi="Arial" w:eastAsia="Arial"/>
                <w:b w:val="0"/>
                <w:sz w:val="14"/>
              </w:rPr>
              <w:t>Post-consult closeout</w:t>
            </w:r>
          </w:p>
        </w:tc>
        <w:tc>
          <w:tcPr>
            <w:tcW w:type="dxa" w:w="5760"/>
            <w:vAlign w:val="top"/>
          </w:tcPr>
          <w:p>
            <w:pPr>
              <w:spacing w:after="20"/>
            </w:pPr>
            <w:r/>
            <w:r>
              <w:rPr>
                <w:rFonts w:ascii="Arial" w:hAnsi="Arial" w:eastAsia="Arial"/>
                <w:b w:val="0"/>
                <w:sz w:val="14"/>
              </w:rPr>
              <w:t>Clinical summary, plan status, objections, financing status, next actions, owner, follow-up timeline.</w:t>
            </w:r>
          </w:p>
        </w:tc>
        <w:tc>
          <w:tcPr>
            <w:tcW w:type="dxa" w:w="2304"/>
            <w:vAlign w:val="top"/>
          </w:tcPr>
          <w:p>
            <w:pPr>
              <w:spacing w:after="20"/>
            </w:pPr>
            <w:r/>
            <w:r>
              <w:rPr>
                <w:rFonts w:ascii="Arial" w:hAnsi="Arial" w:eastAsia="Arial"/>
                <w:b w:val="0"/>
                <w:sz w:val="14"/>
              </w:rPr>
              <w:t>Treatment Coordinator DRI.</w:t>
            </w:r>
          </w:p>
        </w:tc>
      </w:tr>
      <w:tr>
        <w:tc>
          <w:tcPr>
            <w:tcW w:type="dxa" w:w="2448"/>
            <w:vAlign w:val="top"/>
          </w:tcPr>
          <w:p>
            <w:pPr>
              <w:spacing w:after="20"/>
            </w:pPr>
            <w:r/>
            <w:r>
              <w:rPr>
                <w:rFonts w:ascii="Arial" w:hAnsi="Arial" w:eastAsia="Arial"/>
                <w:b w:val="0"/>
                <w:sz w:val="14"/>
              </w:rPr>
              <w:t>Surgery readiness review</w:t>
            </w:r>
          </w:p>
        </w:tc>
        <w:tc>
          <w:tcPr>
            <w:tcW w:type="dxa" w:w="5760"/>
            <w:vAlign w:val="top"/>
          </w:tcPr>
          <w:p>
            <w:pPr>
              <w:spacing w:after="20"/>
            </w:pPr>
            <w:r/>
            <w:r>
              <w:rPr>
                <w:rFonts w:ascii="Arial" w:hAnsi="Arial" w:eastAsia="Arial"/>
                <w:b w:val="0"/>
                <w:sz w:val="14"/>
              </w:rPr>
              <w:t>Consent, imaging, guide, lab, room, staff, inventory, medications/allergies, unresolved blockers.</w:t>
            </w:r>
          </w:p>
        </w:tc>
        <w:tc>
          <w:tcPr>
            <w:tcW w:type="dxa" w:w="2304"/>
            <w:vAlign w:val="top"/>
          </w:tcPr>
          <w:p>
            <w:pPr>
              <w:spacing w:after="20"/>
            </w:pPr>
            <w:r/>
            <w:r>
              <w:rPr>
                <w:rFonts w:ascii="Arial" w:hAnsi="Arial" w:eastAsia="Arial"/>
                <w:b w:val="0"/>
                <w:sz w:val="14"/>
              </w:rPr>
              <w:t>Surgery Operations DRI.</w:t>
            </w:r>
          </w:p>
        </w:tc>
      </w:tr>
      <w:tr>
        <w:tc>
          <w:tcPr>
            <w:tcW w:type="dxa" w:w="2448"/>
            <w:vAlign w:val="top"/>
          </w:tcPr>
          <w:p>
            <w:pPr>
              <w:spacing w:after="20"/>
            </w:pPr>
            <w:r/>
            <w:r>
              <w:rPr>
                <w:rFonts w:ascii="Arial" w:hAnsi="Arial" w:eastAsia="Arial"/>
                <w:b w:val="0"/>
                <w:sz w:val="14"/>
              </w:rPr>
              <w:t>Post-op monitoring cycle</w:t>
            </w:r>
          </w:p>
        </w:tc>
        <w:tc>
          <w:tcPr>
            <w:tcW w:type="dxa" w:w="5760"/>
            <w:vAlign w:val="top"/>
          </w:tcPr>
          <w:p>
            <w:pPr>
              <w:spacing w:after="20"/>
            </w:pPr>
            <w:r/>
            <w:r>
              <w:rPr>
                <w:rFonts w:ascii="Arial" w:hAnsi="Arial" w:eastAsia="Arial"/>
                <w:b w:val="0"/>
                <w:sz w:val="14"/>
              </w:rPr>
              <w:t>Day 1/3/7/14 check-ins, symptoms, red flags, escalations, outcomes.</w:t>
            </w:r>
          </w:p>
        </w:tc>
        <w:tc>
          <w:tcPr>
            <w:tcW w:type="dxa" w:w="2304"/>
            <w:vAlign w:val="top"/>
          </w:tcPr>
          <w:p>
            <w:pPr>
              <w:spacing w:after="20"/>
            </w:pPr>
            <w:r/>
            <w:r>
              <w:rPr>
                <w:rFonts w:ascii="Arial" w:hAnsi="Arial" w:eastAsia="Arial"/>
                <w:b w:val="0"/>
                <w:sz w:val="14"/>
              </w:rPr>
              <w:t>Clinical Quality DRI.</w:t>
            </w:r>
          </w:p>
        </w:tc>
      </w:tr>
      <w:tr>
        <w:tc>
          <w:tcPr>
            <w:tcW w:type="dxa" w:w="2448"/>
            <w:vAlign w:val="top"/>
          </w:tcPr>
          <w:p>
            <w:pPr>
              <w:spacing w:after="20"/>
            </w:pPr>
            <w:r/>
            <w:r>
              <w:rPr>
                <w:rFonts w:ascii="Arial" w:hAnsi="Arial" w:eastAsia="Arial"/>
                <w:b w:val="0"/>
                <w:sz w:val="14"/>
              </w:rPr>
              <w:t>Weekly management review</w:t>
            </w:r>
          </w:p>
        </w:tc>
        <w:tc>
          <w:tcPr>
            <w:tcW w:type="dxa" w:w="5760"/>
            <w:vAlign w:val="top"/>
          </w:tcPr>
          <w:p>
            <w:pPr>
              <w:spacing w:after="20"/>
            </w:pPr>
            <w:r/>
            <w:r>
              <w:rPr>
                <w:rFonts w:ascii="Arial" w:hAnsi="Arial" w:eastAsia="Arial"/>
                <w:b w:val="0"/>
                <w:sz w:val="14"/>
              </w:rPr>
              <w:t>Growth, conversion, clinical quality, operations, finance, AI systems, top decisions.</w:t>
            </w:r>
          </w:p>
        </w:tc>
        <w:tc>
          <w:tcPr>
            <w:tcW w:type="dxa" w:w="2304"/>
            <w:vAlign w:val="top"/>
          </w:tcPr>
          <w:p>
            <w:pPr>
              <w:spacing w:after="20"/>
            </w:pPr>
            <w:r/>
            <w:r>
              <w:rPr>
                <w:rFonts w:ascii="Arial" w:hAnsi="Arial" w:eastAsia="Arial"/>
                <w:b w:val="0"/>
                <w:sz w:val="14"/>
              </w:rPr>
              <w:t>Founder / AI Operator.</w:t>
            </w:r>
          </w:p>
        </w:tc>
      </w:tr>
      <w:tr>
        <w:tc>
          <w:tcPr>
            <w:tcW w:type="dxa" w:w="2448"/>
            <w:vAlign w:val="top"/>
          </w:tcPr>
          <w:p>
            <w:pPr>
              <w:spacing w:after="20"/>
            </w:pPr>
            <w:r/>
            <w:r>
              <w:rPr>
                <w:rFonts w:ascii="Arial" w:hAnsi="Arial" w:eastAsia="Arial"/>
                <w:b w:val="0"/>
                <w:sz w:val="14"/>
              </w:rPr>
              <w:t>Monthly quality and compliance review</w:t>
            </w:r>
          </w:p>
        </w:tc>
        <w:tc>
          <w:tcPr>
            <w:tcW w:type="dxa" w:w="5760"/>
            <w:vAlign w:val="top"/>
          </w:tcPr>
          <w:p>
            <w:pPr>
              <w:spacing w:after="20"/>
            </w:pPr>
            <w:r/>
            <w:r>
              <w:rPr>
                <w:rFonts w:ascii="Arial" w:hAnsi="Arial" w:eastAsia="Arial"/>
                <w:b w:val="0"/>
                <w:sz w:val="14"/>
              </w:rPr>
              <w:t>Incidents, deviations, audits, documentation gaps, training, access logs, corrective actions.</w:t>
            </w:r>
          </w:p>
        </w:tc>
        <w:tc>
          <w:tcPr>
            <w:tcW w:type="dxa" w:w="2304"/>
            <w:vAlign w:val="top"/>
          </w:tcPr>
          <w:p>
            <w:pPr>
              <w:spacing w:after="20"/>
            </w:pPr>
            <w:r/>
            <w:r>
              <w:rPr>
                <w:rFonts w:ascii="Arial" w:hAnsi="Arial" w:eastAsia="Arial"/>
                <w:b w:val="0"/>
                <w:sz w:val="14"/>
              </w:rPr>
              <w:t>Compliance &amp; Privacy DRI and Clinical Quality DRI.</w:t>
            </w:r>
          </w:p>
        </w:tc>
      </w:tr>
      <w:tr>
        <w:tc>
          <w:tcPr>
            <w:tcW w:type="dxa" w:w="2448"/>
            <w:vAlign w:val="top"/>
          </w:tcPr>
          <w:p>
            <w:pPr>
              <w:spacing w:after="20"/>
            </w:pPr>
            <w:r/>
            <w:r>
              <w:rPr>
                <w:rFonts w:ascii="Arial" w:hAnsi="Arial" w:eastAsia="Arial"/>
                <w:b w:val="0"/>
                <w:sz w:val="14"/>
              </w:rPr>
              <w:t>Quarterly strategy review</w:t>
            </w:r>
          </w:p>
        </w:tc>
        <w:tc>
          <w:tcPr>
            <w:tcW w:type="dxa" w:w="5760"/>
            <w:vAlign w:val="top"/>
          </w:tcPr>
          <w:p>
            <w:pPr>
              <w:spacing w:after="20"/>
            </w:pPr>
            <w:r/>
            <w:r>
              <w:rPr>
                <w:rFonts w:ascii="Arial" w:hAnsi="Arial" w:eastAsia="Arial"/>
                <w:b w:val="0"/>
                <w:sz w:val="14"/>
              </w:rPr>
              <w:t>Unit economics, product roadmap, hiring, software factory velocity, AI capabilities, expansion readiness.</w:t>
            </w:r>
          </w:p>
        </w:tc>
        <w:tc>
          <w:tcPr>
            <w:tcW w:type="dxa" w:w="2304"/>
            <w:vAlign w:val="top"/>
          </w:tcPr>
          <w:p>
            <w:pPr>
              <w:spacing w:after="20"/>
            </w:pPr>
            <w:r/>
            <w:r>
              <w:rPr>
                <w:rFonts w:ascii="Arial" w:hAnsi="Arial" w:eastAsia="Arial"/>
                <w:b w:val="0"/>
                <w:sz w:val="14"/>
              </w:rPr>
              <w:t>Founder team.</w:t>
            </w:r>
          </w:p>
        </w:tc>
      </w:tr>
    </w:tbl>
    <w:p>
      <w:pPr>
        <w:pStyle w:val="Small"/>
      </w:pPr>
    </w:p>
    <w:p>
      <w:pPr>
        <w:pStyle w:val="Heading1"/>
      </w:pPr>
      <w:r>
        <w:t>14. Compliance, Privacy, and Clinical Safety Framework</w:t>
      </w:r>
    </w:p>
    <w:p>
      <w:pPr/>
      <w:r>
        <w:t>This white paper is not legal or medical advice. The clinic must implement final policies with qualified healthcare counsel, licensed dental/medical leadership, state-specific dental board guidance, OSHA guidance, HIPAA experts, and vendor contract review. The strategic requirement is to design compliance and safety into the system from day one rather than treating them as after-the-fact paperwork.</w:t>
      </w:r>
    </w:p>
    <w:p>
      <w:pPr>
        <w:pStyle w:val="Heading2"/>
      </w:pPr>
      <w:r>
        <w:t>14.1 HIPAA and PHI governance</w:t>
      </w:r>
    </w:p>
    <w:p>
      <w:pPr/>
      <w:r>
        <w:t>The HIPAA Security Rule establishes standards to protect electronic protected health information created, received, used, or maintained by covered entities or business associates, including administrative, physical, and technical safeguards for confidentiality, integrity, and availability of ePHI. The HIPAA Privacy Rule sets national standards for medical records and other individually identifiable health information, including limits and conditions on uses and disclosures and individual rights. Business associate contracts are required where vendors perform functions involving PHI on behalf of covered entities or business associates. See References [R1]-[R4].</w:t>
      </w:r>
    </w:p>
    <w:p>
      <w:pPr>
        <w:pStyle w:val="ListBullet"/>
        <w:ind w:left="317"/>
      </w:pPr>
      <w:r>
        <w:t>Perform a formal HIPAA risk analysis before PHI workflows scale.</w:t>
      </w:r>
    </w:p>
    <w:p>
      <w:pPr>
        <w:pStyle w:val="ListBullet"/>
        <w:ind w:left="317"/>
      </w:pPr>
      <w:r>
        <w:t>Maintain a BAA register and feature-level vendor eligibility matrix.</w:t>
      </w:r>
    </w:p>
    <w:p>
      <w:pPr>
        <w:pStyle w:val="ListBullet"/>
        <w:ind w:left="317"/>
      </w:pPr>
      <w:r>
        <w:t>Use role-based access and minimum necessary permissions.</w:t>
      </w:r>
    </w:p>
    <w:p>
      <w:pPr>
        <w:pStyle w:val="ListBullet"/>
        <w:ind w:left="317"/>
      </w:pPr>
      <w:r>
        <w:t>Keep audit logs for PHI access, AI actions, exports, and patient communications.</w:t>
      </w:r>
    </w:p>
    <w:p>
      <w:pPr>
        <w:pStyle w:val="ListBullet"/>
        <w:ind w:left="317"/>
      </w:pPr>
      <w:r>
        <w:t>Define retention and deletion policies for call recordings, transcripts, prompts, outputs, files, and logs.</w:t>
      </w:r>
    </w:p>
    <w:p>
      <w:pPr>
        <w:pStyle w:val="ListBullet"/>
        <w:ind w:left="317"/>
      </w:pPr>
      <w:r>
        <w:t>Train staff on PHI handling in AI workflows.</w:t>
      </w:r>
    </w:p>
    <w:p>
      <w:pPr>
        <w:pStyle w:val="ListBullet"/>
        <w:ind w:left="317"/>
      </w:pPr>
      <w:r>
        <w:t>Create an incident response and breach assessment workflow.</w:t>
      </w:r>
    </w:p>
    <w:p>
      <w:pPr>
        <w:pStyle w:val="Heading2"/>
      </w:pPr>
      <w:r>
        <w:t>14.2 FDA clinical decision support posture</w:t>
      </w:r>
    </w:p>
    <w:p>
      <w:pPr/>
      <w:r>
        <w:t>Advanced clinical AI functionality may raise FDA clinical decision support or software-as-medical-device questions. FDA guidance on Clinical Decision Support Software clarifies how certain software functions may be excluded from the device definition while other device software functions remain subject to FDA digital health policies. Any agent that influences diagnosis, treatment planning, or clinical management should be reviewed for regulatory posture, validation, explainability, human review, and auditability. See Reference [R5].</w:t>
      </w:r>
    </w:p>
    <w:p>
      <w:pPr>
        <w:pStyle w:val="Callout"/>
        <w:shd w:fill="FFF2CC"/>
      </w:pPr>
      <w:r>
        <w:rPr>
          <w:b/>
          <w:color w:val="1F4E79"/>
        </w:rPr>
        <w:t xml:space="preserve">Clinical decision rule: </w:t>
      </w:r>
      <w:r>
        <w:t>AI can prepare, summarize, check, flag, and recommend issues for clinician consideration. AI MUST NOT autonomously diagnose, prescribe, approve treatment plans, or override licensed clinician judgment.</w:t>
      </w:r>
    </w:p>
    <w:p>
      <w:pPr>
        <w:pStyle w:val="Heading2"/>
      </w:pPr>
      <w:r>
        <w:t>14.3 Dental infection control and workplace safety</w:t>
      </w:r>
    </w:p>
    <w:p>
      <w:pPr/>
      <w:r>
        <w:t>The CDC provides dental infection prevention and control resources, including basic expectations for safe care, best practices, training, and tools for monitoring adherence. OSHA notes that dentistry involves exposure to hazards such as bloodborne pathogens, chemical agents, ergonomics, and other workplace risks; OSHA also identifies standards relevant to dentistry such as Bloodborne Pathogens, PPE, and Respiratory Protection. See References [R6]-[R8].</w:t>
      </w:r>
    </w:p>
    <w:p>
      <w:pPr>
        <w:pStyle w:val="ListBullet"/>
        <w:ind w:left="317"/>
      </w:pPr>
      <w:r>
        <w:t>Build infection control SOPs into daily checklists and audit loops.</w:t>
      </w:r>
    </w:p>
    <w:p>
      <w:pPr>
        <w:pStyle w:val="ListBullet"/>
        <w:ind w:left="317"/>
      </w:pPr>
      <w:r>
        <w:t>Track sterilization, PPE, sharps, exposure incidents, and training completion.</w:t>
      </w:r>
    </w:p>
    <w:p>
      <w:pPr>
        <w:pStyle w:val="ListBullet"/>
        <w:ind w:left="317"/>
      </w:pPr>
      <w:r>
        <w:t>Do not let growth or scheduling pressure override clinical safety controls.</w:t>
      </w:r>
    </w:p>
    <w:p>
      <w:pPr>
        <w:pStyle w:val="ListBullet"/>
        <w:ind w:left="317"/>
      </w:pPr>
      <w:r>
        <w:t>Use Quality &amp; Compliance Agent for monitoring, not for hiding or normalizing deviations.</w:t>
      </w:r>
    </w:p>
    <w:p>
      <w:pPr>
        <w:pStyle w:val="Heading2"/>
      </w:pPr>
      <w:r>
        <w:t>14.4 AI risk management</w:t>
      </w:r>
    </w:p>
    <w:p>
      <w:pPr/>
      <w:r>
        <w:t>The NIST AI Risk Management Framework is a voluntary framework for managing AI risks and improving trustworthiness in AI systems. NIST also published a Generative AI Profile that identifies risks and risk-management practices specific to generative AI. The clinic should use NIST concepts as a practical structure for AI governance: govern, map, measure, and manage. See References [R9]-[R10].</w:t>
      </w:r>
    </w:p>
    <w:tbl>
      <w:tblPr>
        <w:tblStyle w:val="TableGrid"/>
        <w:tblW w:type="auto" w:w="0"/>
        <w:jc w:val="center"/>
        <w:tblLook w:firstColumn="1" w:firstRow="1" w:lastColumn="0" w:lastRow="0" w:noHBand="0" w:noVBand="1" w:val="04A0"/>
      </w:tblPr>
      <w:tblGrid>
        <w:gridCol w:w="4997"/>
        <w:gridCol w:w="4997"/>
      </w:tblGrid>
      <w:tr>
        <w:tc>
          <w:tcPr>
            <w:tcW w:type="dxa" w:w="2304"/>
            <w:shd w:fill="D9EAF7"/>
            <w:vAlign w:val="center"/>
          </w:tcPr>
          <w:p>
            <w:pPr>
              <w:spacing w:after="20"/>
            </w:pPr>
            <w:r/>
            <w:r>
              <w:rPr>
                <w:rFonts w:ascii="Arial" w:hAnsi="Arial" w:eastAsia="Arial"/>
                <w:b/>
                <w:color w:val="1F4E79"/>
                <w:sz w:val="15"/>
              </w:rPr>
              <w:t>NIST function</w:t>
            </w:r>
          </w:p>
        </w:tc>
        <w:tc>
          <w:tcPr>
            <w:tcW w:type="dxa" w:w="8208"/>
            <w:shd w:fill="D9EAF7"/>
            <w:vAlign w:val="center"/>
          </w:tcPr>
          <w:p>
            <w:pPr>
              <w:spacing w:after="20"/>
            </w:pPr>
            <w:r/>
            <w:r>
              <w:rPr>
                <w:rFonts w:ascii="Arial" w:hAnsi="Arial" w:eastAsia="Arial"/>
                <w:b/>
                <w:color w:val="1F4E79"/>
                <w:sz w:val="15"/>
              </w:rPr>
              <w:t>Clinic OS application</w:t>
            </w:r>
          </w:p>
        </w:tc>
      </w:tr>
      <w:tr>
        <w:tc>
          <w:tcPr>
            <w:tcW w:type="dxa" w:w="2304"/>
            <w:vAlign w:val="top"/>
          </w:tcPr>
          <w:p>
            <w:pPr>
              <w:spacing w:after="20"/>
            </w:pPr>
            <w:r/>
            <w:r>
              <w:rPr>
                <w:rFonts w:ascii="Arial" w:hAnsi="Arial" w:eastAsia="Arial"/>
                <w:b w:val="0"/>
                <w:sz w:val="15"/>
              </w:rPr>
              <w:t>Govern</w:t>
            </w:r>
          </w:p>
        </w:tc>
        <w:tc>
          <w:tcPr>
            <w:tcW w:type="dxa" w:w="8208"/>
            <w:vAlign w:val="top"/>
          </w:tcPr>
          <w:p>
            <w:pPr>
              <w:spacing w:after="20"/>
            </w:pPr>
            <w:r/>
            <w:r>
              <w:rPr>
                <w:rFonts w:ascii="Arial" w:hAnsi="Arial" w:eastAsia="Arial"/>
                <w:b w:val="0"/>
                <w:sz w:val="15"/>
              </w:rPr>
              <w:t>Define policies, roles, accountability, vendor eligibility, approval gates, incident processes.</w:t>
            </w:r>
          </w:p>
        </w:tc>
      </w:tr>
      <w:tr>
        <w:tc>
          <w:tcPr>
            <w:tcW w:type="dxa" w:w="2304"/>
            <w:vAlign w:val="top"/>
          </w:tcPr>
          <w:p>
            <w:pPr>
              <w:spacing w:after="20"/>
            </w:pPr>
            <w:r/>
            <w:r>
              <w:rPr>
                <w:rFonts w:ascii="Arial" w:hAnsi="Arial" w:eastAsia="Arial"/>
                <w:b w:val="0"/>
                <w:sz w:val="15"/>
              </w:rPr>
              <w:t>Map</w:t>
            </w:r>
          </w:p>
        </w:tc>
        <w:tc>
          <w:tcPr>
            <w:tcW w:type="dxa" w:w="8208"/>
            <w:vAlign w:val="top"/>
          </w:tcPr>
          <w:p>
            <w:pPr>
              <w:spacing w:after="20"/>
            </w:pPr>
            <w:r/>
            <w:r>
              <w:rPr>
                <w:rFonts w:ascii="Arial" w:hAnsi="Arial" w:eastAsia="Arial"/>
                <w:b w:val="0"/>
                <w:sz w:val="15"/>
              </w:rPr>
              <w:t>Map workflows, data classes, affected users, patient safety risks, business risks, and compliance boundaries.</w:t>
            </w:r>
          </w:p>
        </w:tc>
      </w:tr>
      <w:tr>
        <w:tc>
          <w:tcPr>
            <w:tcW w:type="dxa" w:w="2304"/>
            <w:vAlign w:val="top"/>
          </w:tcPr>
          <w:p>
            <w:pPr>
              <w:spacing w:after="20"/>
            </w:pPr>
            <w:r/>
            <w:r>
              <w:rPr>
                <w:rFonts w:ascii="Arial" w:hAnsi="Arial" w:eastAsia="Arial"/>
                <w:b w:val="0"/>
                <w:sz w:val="15"/>
              </w:rPr>
              <w:t>Measure</w:t>
            </w:r>
          </w:p>
        </w:tc>
        <w:tc>
          <w:tcPr>
            <w:tcW w:type="dxa" w:w="8208"/>
            <w:vAlign w:val="top"/>
          </w:tcPr>
          <w:p>
            <w:pPr>
              <w:spacing w:after="20"/>
            </w:pPr>
            <w:r/>
            <w:r>
              <w:rPr>
                <w:rFonts w:ascii="Arial" w:hAnsi="Arial" w:eastAsia="Arial"/>
                <w:b w:val="0"/>
                <w:sz w:val="15"/>
              </w:rPr>
              <w:t>Evaluate agent accuracy, safety, hallucination, privacy leakage, escalation quality, and business outcomes.</w:t>
            </w:r>
          </w:p>
        </w:tc>
      </w:tr>
      <w:tr>
        <w:tc>
          <w:tcPr>
            <w:tcW w:type="dxa" w:w="2304"/>
            <w:vAlign w:val="top"/>
          </w:tcPr>
          <w:p>
            <w:pPr>
              <w:spacing w:after="20"/>
            </w:pPr>
            <w:r/>
            <w:r>
              <w:rPr>
                <w:rFonts w:ascii="Arial" w:hAnsi="Arial" w:eastAsia="Arial"/>
                <w:b w:val="0"/>
                <w:sz w:val="15"/>
              </w:rPr>
              <w:t>Manage</w:t>
            </w:r>
          </w:p>
        </w:tc>
        <w:tc>
          <w:tcPr>
            <w:tcW w:type="dxa" w:w="8208"/>
            <w:vAlign w:val="top"/>
          </w:tcPr>
          <w:p>
            <w:pPr>
              <w:spacing w:after="20"/>
            </w:pPr>
            <w:r/>
            <w:r>
              <w:rPr>
                <w:rFonts w:ascii="Arial" w:hAnsi="Arial" w:eastAsia="Arial"/>
                <w:b w:val="0"/>
                <w:sz w:val="15"/>
              </w:rPr>
              <w:t>Deploy controls, update prompts/tools/models, monitor drift, remediate incidents, retire unsafe workflows.</w:t>
            </w:r>
          </w:p>
        </w:tc>
      </w:tr>
    </w:tbl>
    <w:p>
      <w:pPr>
        <w:pStyle w:val="Small"/>
      </w:pPr>
    </w:p>
    <w:p>
      <w:pPr>
        <w:pStyle w:val="Heading1"/>
      </w:pPr>
      <w:r>
        <w:t>15. Implementation Roadmap</w:t>
      </w:r>
    </w:p>
    <w:tbl>
      <w:tblPr>
        <w:tblStyle w:val="TableGrid"/>
        <w:tblW w:type="auto" w:w="0"/>
        <w:jc w:val="center"/>
        <w:tblLook w:firstColumn="1" w:firstRow="1" w:lastColumn="0" w:lastRow="0" w:noHBand="0" w:noVBand="1" w:val="04A0"/>
      </w:tblPr>
      <w:tblGrid>
        <w:gridCol w:w="3331"/>
        <w:gridCol w:w="3331"/>
        <w:gridCol w:w="3331"/>
      </w:tblGrid>
      <w:tr>
        <w:tc>
          <w:tcPr>
            <w:tcW w:type="dxa" w:w="2880"/>
            <w:shd w:fill="D9EAF7"/>
            <w:vAlign w:val="center"/>
          </w:tcPr>
          <w:p>
            <w:pPr>
              <w:spacing w:after="20"/>
            </w:pPr>
            <w:r/>
            <w:r>
              <w:rPr>
                <w:rFonts w:ascii="Arial" w:hAnsi="Arial" w:eastAsia="Arial"/>
                <w:b/>
                <w:color w:val="1F4E79"/>
                <w:sz w:val="14"/>
              </w:rPr>
              <w:t>Phase</w:t>
            </w:r>
          </w:p>
        </w:tc>
        <w:tc>
          <w:tcPr>
            <w:tcW w:type="dxa" w:w="5112"/>
            <w:shd w:fill="D9EAF7"/>
            <w:vAlign w:val="center"/>
          </w:tcPr>
          <w:p>
            <w:pPr>
              <w:spacing w:after="20"/>
            </w:pPr>
            <w:r/>
            <w:r>
              <w:rPr>
                <w:rFonts w:ascii="Arial" w:hAnsi="Arial" w:eastAsia="Arial"/>
                <w:b/>
                <w:color w:val="1F4E79"/>
                <w:sz w:val="14"/>
              </w:rPr>
              <w:t>Work</w:t>
            </w:r>
          </w:p>
        </w:tc>
        <w:tc>
          <w:tcPr>
            <w:tcW w:type="dxa" w:w="2592"/>
            <w:shd w:fill="D9EAF7"/>
            <w:vAlign w:val="center"/>
          </w:tcPr>
          <w:p>
            <w:pPr>
              <w:spacing w:after="20"/>
            </w:pPr>
            <w:r/>
            <w:r>
              <w:rPr>
                <w:rFonts w:ascii="Arial" w:hAnsi="Arial" w:eastAsia="Arial"/>
                <w:b/>
                <w:color w:val="1F4E79"/>
                <w:sz w:val="14"/>
              </w:rPr>
              <w:t>Exit criterion</w:t>
            </w:r>
          </w:p>
        </w:tc>
      </w:tr>
      <w:tr>
        <w:tc>
          <w:tcPr>
            <w:tcW w:type="dxa" w:w="2880"/>
            <w:vAlign w:val="top"/>
          </w:tcPr>
          <w:p>
            <w:pPr>
              <w:spacing w:after="20"/>
            </w:pPr>
            <w:r/>
            <w:r>
              <w:rPr>
                <w:rFonts w:ascii="Arial" w:hAnsi="Arial" w:eastAsia="Arial"/>
                <w:b w:val="0"/>
                <w:sz w:val="14"/>
              </w:rPr>
              <w:t>Phase 0 - Strategic and compliance baseline</w:t>
            </w:r>
          </w:p>
        </w:tc>
        <w:tc>
          <w:tcPr>
            <w:tcW w:type="dxa" w:w="5112"/>
            <w:vAlign w:val="top"/>
          </w:tcPr>
          <w:p>
            <w:pPr>
              <w:spacing w:after="20"/>
            </w:pPr>
            <w:r/>
            <w:r>
              <w:rPr>
                <w:rFonts w:ascii="Arial" w:hAnsi="Arial" w:eastAsia="Arial"/>
                <w:b w:val="0"/>
                <w:sz w:val="14"/>
              </w:rPr>
              <w:t>Finalize doctrine, legal/compliance assumptions, data classification, BAA register, vendor eligibility, AI usage policy, clinical governance, initial risk analysis.</w:t>
            </w:r>
          </w:p>
        </w:tc>
        <w:tc>
          <w:tcPr>
            <w:tcW w:type="dxa" w:w="2592"/>
            <w:vAlign w:val="top"/>
          </w:tcPr>
          <w:p>
            <w:pPr>
              <w:spacing w:after="20"/>
            </w:pPr>
            <w:r/>
            <w:r>
              <w:rPr>
                <w:rFonts w:ascii="Arial" w:hAnsi="Arial" w:eastAsia="Arial"/>
                <w:b w:val="0"/>
                <w:sz w:val="14"/>
              </w:rPr>
              <w:t>Approved operating doctrine and safety/compliance guardrails.</w:t>
            </w:r>
          </w:p>
        </w:tc>
      </w:tr>
      <w:tr>
        <w:tc>
          <w:tcPr>
            <w:tcW w:type="dxa" w:w="2880"/>
            <w:vAlign w:val="top"/>
          </w:tcPr>
          <w:p>
            <w:pPr>
              <w:spacing w:after="20"/>
            </w:pPr>
            <w:r/>
            <w:r>
              <w:rPr>
                <w:rFonts w:ascii="Arial" w:hAnsi="Arial" w:eastAsia="Arial"/>
                <w:b w:val="0"/>
                <w:sz w:val="14"/>
              </w:rPr>
              <w:t>Phase 1 - Data foundation and visibility</w:t>
            </w:r>
          </w:p>
        </w:tc>
        <w:tc>
          <w:tcPr>
            <w:tcW w:type="dxa" w:w="5112"/>
            <w:vAlign w:val="top"/>
          </w:tcPr>
          <w:p>
            <w:pPr>
              <w:spacing w:after="20"/>
            </w:pPr>
            <w:r/>
            <w:r>
              <w:rPr>
                <w:rFonts w:ascii="Arial" w:hAnsi="Arial" w:eastAsia="Arial"/>
                <w:b w:val="0"/>
                <w:sz w:val="14"/>
              </w:rPr>
              <w:t>Select or confirm CRM, PMS/EHR, storage, phone/SMS, dashboards, identity, event model, transcript capture, meeting notes, audit logging.</w:t>
            </w:r>
          </w:p>
        </w:tc>
        <w:tc>
          <w:tcPr>
            <w:tcW w:type="dxa" w:w="2592"/>
            <w:vAlign w:val="top"/>
          </w:tcPr>
          <w:p>
            <w:pPr>
              <w:spacing w:after="20"/>
            </w:pPr>
            <w:r/>
            <w:r>
              <w:rPr>
                <w:rFonts w:ascii="Arial" w:hAnsi="Arial" w:eastAsia="Arial"/>
                <w:b w:val="0"/>
                <w:sz w:val="14"/>
              </w:rPr>
              <w:t>End-to-end visibility from lead to follow-up.</w:t>
            </w:r>
          </w:p>
        </w:tc>
      </w:tr>
      <w:tr>
        <w:tc>
          <w:tcPr>
            <w:tcW w:type="dxa" w:w="2880"/>
            <w:vAlign w:val="top"/>
          </w:tcPr>
          <w:p>
            <w:pPr>
              <w:spacing w:after="20"/>
            </w:pPr>
            <w:r/>
            <w:r>
              <w:rPr>
                <w:rFonts w:ascii="Arial" w:hAnsi="Arial" w:eastAsia="Arial"/>
                <w:b w:val="0"/>
                <w:sz w:val="14"/>
              </w:rPr>
              <w:t>Phase 2 - Growth agents</w:t>
            </w:r>
          </w:p>
        </w:tc>
        <w:tc>
          <w:tcPr>
            <w:tcW w:type="dxa" w:w="5112"/>
            <w:vAlign w:val="top"/>
          </w:tcPr>
          <w:p>
            <w:pPr>
              <w:spacing w:after="20"/>
            </w:pPr>
            <w:r/>
            <w:r>
              <w:rPr>
                <w:rFonts w:ascii="Arial" w:hAnsi="Arial" w:eastAsia="Arial"/>
                <w:b w:val="0"/>
                <w:sz w:val="14"/>
              </w:rPr>
              <w:t>Launch Lead Qualification, Patient Concierge, Growth Intelligence, Treatment Coordinator agents.</w:t>
            </w:r>
          </w:p>
        </w:tc>
        <w:tc>
          <w:tcPr>
            <w:tcW w:type="dxa" w:w="2592"/>
            <w:vAlign w:val="top"/>
          </w:tcPr>
          <w:p>
            <w:pPr>
              <w:spacing w:after="20"/>
            </w:pPr>
            <w:r/>
            <w:r>
              <w:rPr>
                <w:rFonts w:ascii="Arial" w:hAnsi="Arial" w:eastAsia="Arial"/>
                <w:b w:val="0"/>
                <w:sz w:val="14"/>
              </w:rPr>
              <w:t>Higher speed-to-lead, booking, show, and consult conversion.</w:t>
            </w:r>
          </w:p>
        </w:tc>
      </w:tr>
      <w:tr>
        <w:tc>
          <w:tcPr>
            <w:tcW w:type="dxa" w:w="2880"/>
            <w:vAlign w:val="top"/>
          </w:tcPr>
          <w:p>
            <w:pPr>
              <w:spacing w:after="20"/>
            </w:pPr>
            <w:r/>
            <w:r>
              <w:rPr>
                <w:rFonts w:ascii="Arial" w:hAnsi="Arial" w:eastAsia="Arial"/>
                <w:b w:val="0"/>
                <w:sz w:val="14"/>
              </w:rPr>
              <w:t>Phase 3 - Operations agents</w:t>
            </w:r>
          </w:p>
        </w:tc>
        <w:tc>
          <w:tcPr>
            <w:tcW w:type="dxa" w:w="5112"/>
            <w:vAlign w:val="top"/>
          </w:tcPr>
          <w:p>
            <w:pPr>
              <w:spacing w:after="20"/>
            </w:pPr>
            <w:r/>
            <w:r>
              <w:rPr>
                <w:rFonts w:ascii="Arial" w:hAnsi="Arial" w:eastAsia="Arial"/>
                <w:b w:val="0"/>
                <w:sz w:val="14"/>
              </w:rPr>
              <w:t>Launch Scheduling, Surgery Readiness, Inventory, Documentation, Clinic Management agents.</w:t>
            </w:r>
          </w:p>
        </w:tc>
        <w:tc>
          <w:tcPr>
            <w:tcW w:type="dxa" w:w="2592"/>
            <w:vAlign w:val="top"/>
          </w:tcPr>
          <w:p>
            <w:pPr>
              <w:spacing w:after="20"/>
            </w:pPr>
            <w:r/>
            <w:r>
              <w:rPr>
                <w:rFonts w:ascii="Arial" w:hAnsi="Arial" w:eastAsia="Arial"/>
                <w:b w:val="0"/>
                <w:sz w:val="14"/>
              </w:rPr>
              <w:t>Lower operational chaos, better surgery readiness, stronger DRI accountability.</w:t>
            </w:r>
          </w:p>
        </w:tc>
      </w:tr>
      <w:tr>
        <w:tc>
          <w:tcPr>
            <w:tcW w:type="dxa" w:w="2880"/>
            <w:vAlign w:val="top"/>
          </w:tcPr>
          <w:p>
            <w:pPr>
              <w:spacing w:after="20"/>
            </w:pPr>
            <w:r/>
            <w:r>
              <w:rPr>
                <w:rFonts w:ascii="Arial" w:hAnsi="Arial" w:eastAsia="Arial"/>
                <w:b w:val="0"/>
                <w:sz w:val="14"/>
              </w:rPr>
              <w:t>Phase 4 - Clinical support agents</w:t>
            </w:r>
          </w:p>
        </w:tc>
        <w:tc>
          <w:tcPr>
            <w:tcW w:type="dxa" w:w="5112"/>
            <w:vAlign w:val="top"/>
          </w:tcPr>
          <w:p>
            <w:pPr>
              <w:spacing w:after="20"/>
            </w:pPr>
            <w:r/>
            <w:r>
              <w:rPr>
                <w:rFonts w:ascii="Arial" w:hAnsi="Arial" w:eastAsia="Arial"/>
                <w:b w:val="0"/>
                <w:sz w:val="14"/>
              </w:rPr>
              <w:t>Launch Clinical Intake, Documentation, Post-op Monitoring, Quality &amp; Compliance agents with clinician review and strict scope.</w:t>
            </w:r>
          </w:p>
        </w:tc>
        <w:tc>
          <w:tcPr>
            <w:tcW w:type="dxa" w:w="2592"/>
            <w:vAlign w:val="top"/>
          </w:tcPr>
          <w:p>
            <w:pPr>
              <w:spacing w:after="20"/>
            </w:pPr>
            <w:r/>
            <w:r>
              <w:rPr>
                <w:rFonts w:ascii="Arial" w:hAnsi="Arial" w:eastAsia="Arial"/>
                <w:b w:val="0"/>
                <w:sz w:val="14"/>
              </w:rPr>
              <w:t>Improved context, documentation, follow-up, and quality control.</w:t>
            </w:r>
          </w:p>
        </w:tc>
      </w:tr>
      <w:tr>
        <w:tc>
          <w:tcPr>
            <w:tcW w:type="dxa" w:w="2880"/>
            <w:vAlign w:val="top"/>
          </w:tcPr>
          <w:p>
            <w:pPr>
              <w:spacing w:after="20"/>
            </w:pPr>
            <w:r/>
            <w:r>
              <w:rPr>
                <w:rFonts w:ascii="Arial" w:hAnsi="Arial" w:eastAsia="Arial"/>
                <w:b w:val="0"/>
                <w:sz w:val="14"/>
              </w:rPr>
              <w:t>Phase 5 - Software factory</w:t>
            </w:r>
          </w:p>
        </w:tc>
        <w:tc>
          <w:tcPr>
            <w:tcW w:type="dxa" w:w="5112"/>
            <w:vAlign w:val="top"/>
          </w:tcPr>
          <w:p>
            <w:pPr>
              <w:spacing w:after="20"/>
            </w:pPr>
            <w:r/>
            <w:r>
              <w:rPr>
                <w:rFonts w:ascii="Arial" w:hAnsi="Arial" w:eastAsia="Arial"/>
                <w:b w:val="0"/>
                <w:sz w:val="14"/>
              </w:rPr>
              <w:t>Create specs, evals, release process, regression tests, agent telemetry, product/engineering cadence.</w:t>
            </w:r>
          </w:p>
        </w:tc>
        <w:tc>
          <w:tcPr>
            <w:tcW w:type="dxa" w:w="2592"/>
            <w:vAlign w:val="top"/>
          </w:tcPr>
          <w:p>
            <w:pPr>
              <w:spacing w:after="20"/>
            </w:pPr>
            <w:r/>
            <w:r>
              <w:rPr>
                <w:rFonts w:ascii="Arial" w:hAnsi="Arial" w:eastAsia="Arial"/>
                <w:b w:val="0"/>
                <w:sz w:val="14"/>
              </w:rPr>
              <w:t>Clinic OS improves itself continuously.</w:t>
            </w:r>
          </w:p>
        </w:tc>
      </w:tr>
      <w:tr>
        <w:tc>
          <w:tcPr>
            <w:tcW w:type="dxa" w:w="2880"/>
            <w:vAlign w:val="top"/>
          </w:tcPr>
          <w:p>
            <w:pPr>
              <w:spacing w:after="20"/>
            </w:pPr>
            <w:r/>
            <w:r>
              <w:rPr>
                <w:rFonts w:ascii="Arial" w:hAnsi="Arial" w:eastAsia="Arial"/>
                <w:b w:val="0"/>
                <w:sz w:val="14"/>
              </w:rPr>
              <w:t>Phase 6 - Scaling and productization</w:t>
            </w:r>
          </w:p>
        </w:tc>
        <w:tc>
          <w:tcPr>
            <w:tcW w:type="dxa" w:w="5112"/>
            <w:vAlign w:val="top"/>
          </w:tcPr>
          <w:p>
            <w:pPr>
              <w:spacing w:after="20"/>
            </w:pPr>
            <w:r/>
            <w:r>
              <w:rPr>
                <w:rFonts w:ascii="Arial" w:hAnsi="Arial" w:eastAsia="Arial"/>
                <w:b w:val="0"/>
                <w:sz w:val="14"/>
              </w:rPr>
              <w:t>Prepare multi-clinic architecture, replication playbook, data standards, economics, and possible SaaS/platform path.</w:t>
            </w:r>
          </w:p>
        </w:tc>
        <w:tc>
          <w:tcPr>
            <w:tcW w:type="dxa" w:w="2592"/>
            <w:vAlign w:val="top"/>
          </w:tcPr>
          <w:p>
            <w:pPr>
              <w:spacing w:after="20"/>
            </w:pPr>
            <w:r/>
            <w:r>
              <w:rPr>
                <w:rFonts w:ascii="Arial" w:hAnsi="Arial" w:eastAsia="Arial"/>
                <w:b w:val="0"/>
                <w:sz w:val="14"/>
              </w:rPr>
              <w:t>Clinic model becomes a scalable operating system.</w:t>
            </w:r>
          </w:p>
        </w:tc>
      </w:tr>
    </w:tbl>
    <w:p>
      <w:pPr>
        <w:pStyle w:val="Small"/>
      </w:pPr>
    </w:p>
    <w:p>
      <w:pPr>
        <w:pStyle w:val="Heading1"/>
      </w:pPr>
      <w:r>
        <w:t>16. 30/60/90-Day Launch Plan</w:t>
      </w:r>
    </w:p>
    <w:tbl>
      <w:tblPr>
        <w:tblStyle w:val="TableGrid"/>
        <w:tblW w:type="auto" w:w="0"/>
        <w:jc w:val="center"/>
        <w:tblLook w:firstColumn="1" w:firstRow="1" w:lastColumn="0" w:lastRow="0" w:noHBand="0" w:noVBand="1" w:val="04A0"/>
      </w:tblPr>
      <w:tblGrid>
        <w:gridCol w:w="3331"/>
        <w:gridCol w:w="3331"/>
        <w:gridCol w:w="3331"/>
      </w:tblGrid>
      <w:tr>
        <w:tc>
          <w:tcPr>
            <w:tcW w:type="dxa" w:w="1944"/>
            <w:shd w:fill="D9EAF7"/>
            <w:vAlign w:val="center"/>
          </w:tcPr>
          <w:p>
            <w:pPr>
              <w:spacing w:after="20"/>
            </w:pPr>
            <w:r/>
            <w:r>
              <w:rPr>
                <w:rFonts w:ascii="Arial" w:hAnsi="Arial" w:eastAsia="Arial"/>
                <w:b/>
                <w:color w:val="1F4E79"/>
                <w:sz w:val="15"/>
              </w:rPr>
              <w:t>Period</w:t>
            </w:r>
          </w:p>
        </w:tc>
        <w:tc>
          <w:tcPr>
            <w:tcW w:type="dxa" w:w="3384"/>
            <w:shd w:fill="D9EAF7"/>
            <w:vAlign w:val="center"/>
          </w:tcPr>
          <w:p>
            <w:pPr>
              <w:spacing w:after="20"/>
            </w:pPr>
            <w:r/>
            <w:r>
              <w:rPr>
                <w:rFonts w:ascii="Arial" w:hAnsi="Arial" w:eastAsia="Arial"/>
                <w:b/>
                <w:color w:val="1F4E79"/>
                <w:sz w:val="15"/>
              </w:rPr>
              <w:t>Priority work</w:t>
            </w:r>
          </w:p>
        </w:tc>
        <w:tc>
          <w:tcPr>
            <w:tcW w:type="dxa" w:w="5184"/>
            <w:shd w:fill="D9EAF7"/>
            <w:vAlign w:val="center"/>
          </w:tcPr>
          <w:p>
            <w:pPr>
              <w:spacing w:after="20"/>
            </w:pPr>
            <w:r/>
            <w:r>
              <w:rPr>
                <w:rFonts w:ascii="Arial" w:hAnsi="Arial" w:eastAsia="Arial"/>
                <w:b/>
                <w:color w:val="1F4E79"/>
                <w:sz w:val="15"/>
              </w:rPr>
              <w:t>Concrete deliverables</w:t>
            </w:r>
          </w:p>
        </w:tc>
      </w:tr>
      <w:tr>
        <w:tc>
          <w:tcPr>
            <w:tcW w:type="dxa" w:w="1944"/>
            <w:vAlign w:val="top"/>
          </w:tcPr>
          <w:p>
            <w:pPr>
              <w:spacing w:after="20"/>
            </w:pPr>
            <w:r/>
            <w:r>
              <w:rPr>
                <w:rFonts w:ascii="Arial" w:hAnsi="Arial" w:eastAsia="Arial"/>
                <w:b w:val="0"/>
                <w:sz w:val="15"/>
              </w:rPr>
              <w:t>Days 0-30</w:t>
            </w:r>
          </w:p>
        </w:tc>
        <w:tc>
          <w:tcPr>
            <w:tcW w:type="dxa" w:w="3384"/>
            <w:vAlign w:val="top"/>
          </w:tcPr>
          <w:p>
            <w:pPr>
              <w:spacing w:after="20"/>
            </w:pPr>
            <w:r/>
            <w:r>
              <w:rPr>
                <w:rFonts w:ascii="Arial" w:hAnsi="Arial" w:eastAsia="Arial"/>
                <w:b w:val="0"/>
                <w:sz w:val="15"/>
              </w:rPr>
              <w:t>Create the foundation before automation scales.</w:t>
            </w:r>
          </w:p>
        </w:tc>
        <w:tc>
          <w:tcPr>
            <w:tcW w:type="dxa" w:w="5184"/>
            <w:vAlign w:val="top"/>
          </w:tcPr>
          <w:p>
            <w:pPr>
              <w:spacing w:after="20"/>
            </w:pPr>
            <w:r/>
            <w:r>
              <w:rPr>
                <w:rFonts w:ascii="Arial" w:hAnsi="Arial" w:eastAsia="Arial"/>
                <w:b w:val="0"/>
                <w:sz w:val="15"/>
              </w:rPr>
              <w:t>Data classification policy; vendor/BAA matrix; initial HIPAA risk analysis; CRM/PMS decision; event taxonomy v0.1; agent charter; top 10 workflow specs; dashboard mockups; approved patient communication scripts.</w:t>
            </w:r>
          </w:p>
        </w:tc>
      </w:tr>
      <w:tr>
        <w:tc>
          <w:tcPr>
            <w:tcW w:type="dxa" w:w="1944"/>
            <w:vAlign w:val="top"/>
          </w:tcPr>
          <w:p>
            <w:pPr>
              <w:spacing w:after="20"/>
            </w:pPr>
            <w:r/>
            <w:r>
              <w:rPr>
                <w:rFonts w:ascii="Arial" w:hAnsi="Arial" w:eastAsia="Arial"/>
                <w:b w:val="0"/>
                <w:sz w:val="15"/>
              </w:rPr>
              <w:t>Days 31-60</w:t>
            </w:r>
          </w:p>
        </w:tc>
        <w:tc>
          <w:tcPr>
            <w:tcW w:type="dxa" w:w="3384"/>
            <w:vAlign w:val="top"/>
          </w:tcPr>
          <w:p>
            <w:pPr>
              <w:spacing w:after="20"/>
            </w:pPr>
            <w:r/>
            <w:r>
              <w:rPr>
                <w:rFonts w:ascii="Arial" w:hAnsi="Arial" w:eastAsia="Arial"/>
                <w:b w:val="0"/>
                <w:sz w:val="15"/>
              </w:rPr>
              <w:t>Deploy visibility and growth loops.</w:t>
            </w:r>
          </w:p>
        </w:tc>
        <w:tc>
          <w:tcPr>
            <w:tcW w:type="dxa" w:w="5184"/>
            <w:vAlign w:val="top"/>
          </w:tcPr>
          <w:p>
            <w:pPr>
              <w:spacing w:after="20"/>
            </w:pPr>
            <w:r/>
            <w:r>
              <w:rPr>
                <w:rFonts w:ascii="Arial" w:hAnsi="Arial" w:eastAsia="Arial"/>
                <w:b w:val="0"/>
                <w:sz w:val="15"/>
              </w:rPr>
              <w:t>Call recording/transcript pipeline; lead response workflow; booking/show dashboard; patient journey dashboard; Lead Qualification Agent; Patient Concierge Agent; Treatment Coordinator Agent; first weekly management review.</w:t>
            </w:r>
          </w:p>
        </w:tc>
      </w:tr>
      <w:tr>
        <w:tc>
          <w:tcPr>
            <w:tcW w:type="dxa" w:w="1944"/>
            <w:vAlign w:val="top"/>
          </w:tcPr>
          <w:p>
            <w:pPr>
              <w:spacing w:after="20"/>
            </w:pPr>
            <w:r/>
            <w:r>
              <w:rPr>
                <w:rFonts w:ascii="Arial" w:hAnsi="Arial" w:eastAsia="Arial"/>
                <w:b w:val="0"/>
                <w:sz w:val="15"/>
              </w:rPr>
              <w:t>Days 61-90</w:t>
            </w:r>
          </w:p>
        </w:tc>
        <w:tc>
          <w:tcPr>
            <w:tcW w:type="dxa" w:w="3384"/>
            <w:vAlign w:val="top"/>
          </w:tcPr>
          <w:p>
            <w:pPr>
              <w:spacing w:after="20"/>
            </w:pPr>
            <w:r/>
            <w:r>
              <w:rPr>
                <w:rFonts w:ascii="Arial" w:hAnsi="Arial" w:eastAsia="Arial"/>
                <w:b w:val="0"/>
                <w:sz w:val="15"/>
              </w:rPr>
              <w:t>Deploy clinic operations and safe clinical support.</w:t>
            </w:r>
          </w:p>
        </w:tc>
        <w:tc>
          <w:tcPr>
            <w:tcW w:type="dxa" w:w="5184"/>
            <w:vAlign w:val="top"/>
          </w:tcPr>
          <w:p>
            <w:pPr>
              <w:spacing w:after="20"/>
            </w:pPr>
            <w:r/>
            <w:r>
              <w:rPr>
                <w:rFonts w:ascii="Arial" w:hAnsi="Arial" w:eastAsia="Arial"/>
                <w:b w:val="0"/>
                <w:sz w:val="15"/>
              </w:rPr>
              <w:t>Clinical intake checklist; surgery readiness checklist; post-op monitoring protocol; documentation draft workflow; compliance audit loop; inventory workflow; AI eval set v0.1; release process and incident response workflow.</w:t>
            </w:r>
          </w:p>
        </w:tc>
      </w:tr>
    </w:tbl>
    <w:p>
      <w:pPr>
        <w:pStyle w:val="Small"/>
      </w:pPr>
    </w:p>
    <w:p>
      <w:pPr>
        <w:pStyle w:val="Heading1"/>
      </w:pPr>
      <w:r>
        <w:t>17. Risk Register and Mitigations</w:t>
      </w:r>
    </w:p>
    <w:tbl>
      <w:tblPr>
        <w:tblStyle w:val="TableGrid"/>
        <w:tblW w:type="auto" w:w="0"/>
        <w:jc w:val="center"/>
        <w:tblLook w:firstColumn="1" w:firstRow="1" w:lastColumn="0" w:lastRow="0" w:noHBand="0" w:noVBand="1" w:val="04A0"/>
      </w:tblPr>
      <w:tblGrid>
        <w:gridCol w:w="3331"/>
        <w:gridCol w:w="3331"/>
        <w:gridCol w:w="3331"/>
      </w:tblGrid>
      <w:tr>
        <w:tc>
          <w:tcPr>
            <w:tcW w:type="dxa" w:w="3168"/>
            <w:shd w:fill="D9EAF7"/>
            <w:vAlign w:val="center"/>
          </w:tcPr>
          <w:p>
            <w:pPr>
              <w:spacing w:after="20"/>
            </w:pPr>
            <w:r/>
            <w:r>
              <w:rPr>
                <w:rFonts w:ascii="Arial" w:hAnsi="Arial" w:eastAsia="Arial"/>
                <w:b/>
                <w:color w:val="1F4E79"/>
                <w:sz w:val="14"/>
              </w:rPr>
              <w:t>Risk</w:t>
            </w:r>
          </w:p>
        </w:tc>
        <w:tc>
          <w:tcPr>
            <w:tcW w:type="dxa" w:w="1440"/>
            <w:shd w:fill="D9EAF7"/>
            <w:vAlign w:val="center"/>
          </w:tcPr>
          <w:p>
            <w:pPr>
              <w:spacing w:after="20"/>
            </w:pPr>
            <w:r/>
            <w:r>
              <w:rPr>
                <w:rFonts w:ascii="Arial" w:hAnsi="Arial" w:eastAsia="Arial"/>
                <w:b/>
                <w:color w:val="1F4E79"/>
                <w:sz w:val="14"/>
              </w:rPr>
              <w:t>Severity</w:t>
            </w:r>
          </w:p>
        </w:tc>
        <w:tc>
          <w:tcPr>
            <w:tcW w:type="dxa" w:w="5904"/>
            <w:shd w:fill="D9EAF7"/>
            <w:vAlign w:val="center"/>
          </w:tcPr>
          <w:p>
            <w:pPr>
              <w:spacing w:after="20"/>
            </w:pPr>
            <w:r/>
            <w:r>
              <w:rPr>
                <w:rFonts w:ascii="Arial" w:hAnsi="Arial" w:eastAsia="Arial"/>
                <w:b/>
                <w:color w:val="1F4E79"/>
                <w:sz w:val="14"/>
              </w:rPr>
              <w:t>Mitigation</w:t>
            </w:r>
          </w:p>
        </w:tc>
      </w:tr>
      <w:tr>
        <w:tc>
          <w:tcPr>
            <w:tcW w:type="dxa" w:w="3168"/>
            <w:vAlign w:val="top"/>
          </w:tcPr>
          <w:p>
            <w:pPr>
              <w:spacing w:after="20"/>
            </w:pPr>
            <w:r/>
            <w:r>
              <w:rPr>
                <w:rFonts w:ascii="Arial" w:hAnsi="Arial" w:eastAsia="Arial"/>
                <w:b w:val="0"/>
                <w:sz w:val="14"/>
              </w:rPr>
              <w:t>PHI leakage into growth tools</w:t>
            </w:r>
          </w:p>
        </w:tc>
        <w:tc>
          <w:tcPr>
            <w:tcW w:type="dxa" w:w="1440"/>
            <w:vAlign w:val="top"/>
          </w:tcPr>
          <w:p>
            <w:pPr>
              <w:spacing w:after="20"/>
            </w:pPr>
            <w:r/>
            <w:r>
              <w:rPr>
                <w:rFonts w:ascii="Arial" w:hAnsi="Arial" w:eastAsia="Arial"/>
                <w:b w:val="0"/>
                <w:sz w:val="14"/>
              </w:rPr>
              <w:t>High</w:t>
            </w:r>
          </w:p>
        </w:tc>
        <w:tc>
          <w:tcPr>
            <w:tcW w:type="dxa" w:w="5904"/>
            <w:vAlign w:val="top"/>
          </w:tcPr>
          <w:p>
            <w:pPr>
              <w:spacing w:after="20"/>
            </w:pPr>
            <w:r/>
            <w:r>
              <w:rPr>
                <w:rFonts w:ascii="Arial" w:hAnsi="Arial" w:eastAsia="Arial"/>
                <w:b w:val="0"/>
                <w:sz w:val="14"/>
              </w:rPr>
              <w:t>Strict data classification, approved tools only, BAA matrix, DLP, audit logs, minimum necessary event sharing.</w:t>
            </w:r>
          </w:p>
        </w:tc>
      </w:tr>
      <w:tr>
        <w:tc>
          <w:tcPr>
            <w:tcW w:type="dxa" w:w="3168"/>
            <w:vAlign w:val="top"/>
          </w:tcPr>
          <w:p>
            <w:pPr>
              <w:spacing w:after="20"/>
            </w:pPr>
            <w:r/>
            <w:r>
              <w:rPr>
                <w:rFonts w:ascii="Arial" w:hAnsi="Arial" w:eastAsia="Arial"/>
                <w:b w:val="0"/>
                <w:sz w:val="14"/>
              </w:rPr>
              <w:t>AI gives unsafe medical advice</w:t>
            </w:r>
          </w:p>
        </w:tc>
        <w:tc>
          <w:tcPr>
            <w:tcW w:type="dxa" w:w="1440"/>
            <w:vAlign w:val="top"/>
          </w:tcPr>
          <w:p>
            <w:pPr>
              <w:spacing w:after="20"/>
            </w:pPr>
            <w:r/>
            <w:r>
              <w:rPr>
                <w:rFonts w:ascii="Arial" w:hAnsi="Arial" w:eastAsia="Arial"/>
                <w:b w:val="0"/>
                <w:sz w:val="14"/>
              </w:rPr>
              <w:t>High</w:t>
            </w:r>
          </w:p>
        </w:tc>
        <w:tc>
          <w:tcPr>
            <w:tcW w:type="dxa" w:w="5904"/>
            <w:vAlign w:val="top"/>
          </w:tcPr>
          <w:p>
            <w:pPr>
              <w:spacing w:after="20"/>
            </w:pPr>
            <w:r/>
            <w:r>
              <w:rPr>
                <w:rFonts w:ascii="Arial" w:hAnsi="Arial" w:eastAsia="Arial"/>
                <w:b w:val="0"/>
                <w:sz w:val="14"/>
              </w:rPr>
              <w:t>Approved scripts, red flag escalation, clinician-in-the-loop, blocked autonomous clinical decisions, evals.</w:t>
            </w:r>
          </w:p>
        </w:tc>
      </w:tr>
      <w:tr>
        <w:tc>
          <w:tcPr>
            <w:tcW w:type="dxa" w:w="3168"/>
            <w:vAlign w:val="top"/>
          </w:tcPr>
          <w:p>
            <w:pPr>
              <w:spacing w:after="20"/>
            </w:pPr>
            <w:r/>
            <w:r>
              <w:rPr>
                <w:rFonts w:ascii="Arial" w:hAnsi="Arial" w:eastAsia="Arial"/>
                <w:b w:val="0"/>
                <w:sz w:val="14"/>
              </w:rPr>
              <w:t>BAA assumed to cover non-covered features</w:t>
            </w:r>
          </w:p>
        </w:tc>
        <w:tc>
          <w:tcPr>
            <w:tcW w:type="dxa" w:w="1440"/>
            <w:vAlign w:val="top"/>
          </w:tcPr>
          <w:p>
            <w:pPr>
              <w:spacing w:after="20"/>
            </w:pPr>
            <w:r/>
            <w:r>
              <w:rPr>
                <w:rFonts w:ascii="Arial" w:hAnsi="Arial" w:eastAsia="Arial"/>
                <w:b w:val="0"/>
                <w:sz w:val="14"/>
              </w:rPr>
              <w:t>High</w:t>
            </w:r>
          </w:p>
        </w:tc>
        <w:tc>
          <w:tcPr>
            <w:tcW w:type="dxa" w:w="5904"/>
            <w:vAlign w:val="top"/>
          </w:tcPr>
          <w:p>
            <w:pPr>
              <w:spacing w:after="20"/>
            </w:pPr>
            <w:r/>
            <w:r>
              <w:rPr>
                <w:rFonts w:ascii="Arial" w:hAnsi="Arial" w:eastAsia="Arial"/>
                <w:b w:val="0"/>
                <w:sz w:val="14"/>
              </w:rPr>
              <w:t>Feature-level eligibility review for every vendor, endpoint, integration, and retention mode.</w:t>
            </w:r>
          </w:p>
        </w:tc>
      </w:tr>
      <w:tr>
        <w:tc>
          <w:tcPr>
            <w:tcW w:type="dxa" w:w="3168"/>
            <w:vAlign w:val="top"/>
          </w:tcPr>
          <w:p>
            <w:pPr>
              <w:spacing w:after="20"/>
            </w:pPr>
            <w:r/>
            <w:r>
              <w:rPr>
                <w:rFonts w:ascii="Arial" w:hAnsi="Arial" w:eastAsia="Arial"/>
                <w:b w:val="0"/>
                <w:sz w:val="14"/>
              </w:rPr>
              <w:t>Hallucinated operational or clinical facts</w:t>
            </w:r>
          </w:p>
        </w:tc>
        <w:tc>
          <w:tcPr>
            <w:tcW w:type="dxa" w:w="1440"/>
            <w:vAlign w:val="top"/>
          </w:tcPr>
          <w:p>
            <w:pPr>
              <w:spacing w:after="20"/>
            </w:pPr>
            <w:r/>
            <w:r>
              <w:rPr>
                <w:rFonts w:ascii="Arial" w:hAnsi="Arial" w:eastAsia="Arial"/>
                <w:b w:val="0"/>
                <w:sz w:val="14"/>
              </w:rPr>
              <w:t>High</w:t>
            </w:r>
          </w:p>
        </w:tc>
        <w:tc>
          <w:tcPr>
            <w:tcW w:type="dxa" w:w="5904"/>
            <w:vAlign w:val="top"/>
          </w:tcPr>
          <w:p>
            <w:pPr>
              <w:spacing w:after="20"/>
            </w:pPr>
            <w:r/>
            <w:r>
              <w:rPr>
                <w:rFonts w:ascii="Arial" w:hAnsi="Arial" w:eastAsia="Arial"/>
                <w:b w:val="0"/>
                <w:sz w:val="14"/>
              </w:rPr>
              <w:t>Source-grounded outputs, confidence flags, human approval, regression tests, citations/record links.</w:t>
            </w:r>
          </w:p>
        </w:tc>
      </w:tr>
      <w:tr>
        <w:tc>
          <w:tcPr>
            <w:tcW w:type="dxa" w:w="3168"/>
            <w:vAlign w:val="top"/>
          </w:tcPr>
          <w:p>
            <w:pPr>
              <w:spacing w:after="20"/>
            </w:pPr>
            <w:r/>
            <w:r>
              <w:rPr>
                <w:rFonts w:ascii="Arial" w:hAnsi="Arial" w:eastAsia="Arial"/>
                <w:b w:val="0"/>
                <w:sz w:val="14"/>
              </w:rPr>
              <w:t>Data fragmentation</w:t>
            </w:r>
          </w:p>
        </w:tc>
        <w:tc>
          <w:tcPr>
            <w:tcW w:type="dxa" w:w="1440"/>
            <w:vAlign w:val="top"/>
          </w:tcPr>
          <w:p>
            <w:pPr>
              <w:spacing w:after="20"/>
            </w:pPr>
            <w:r/>
            <w:r>
              <w:rPr>
                <w:rFonts w:ascii="Arial" w:hAnsi="Arial" w:eastAsia="Arial"/>
                <w:b w:val="0"/>
                <w:sz w:val="14"/>
              </w:rPr>
              <w:t>Medium/High</w:t>
            </w:r>
          </w:p>
        </w:tc>
        <w:tc>
          <w:tcPr>
            <w:tcW w:type="dxa" w:w="5904"/>
            <w:vAlign w:val="top"/>
          </w:tcPr>
          <w:p>
            <w:pPr>
              <w:spacing w:after="20"/>
            </w:pPr>
            <w:r/>
            <w:r>
              <w:rPr>
                <w:rFonts w:ascii="Arial" w:hAnsi="Arial" w:eastAsia="Arial"/>
                <w:b w:val="0"/>
                <w:sz w:val="14"/>
              </w:rPr>
              <w:t>Event layer, data dictionary, unique IDs, integration ownership, Data Stewardship Agent.</w:t>
            </w:r>
          </w:p>
        </w:tc>
      </w:tr>
      <w:tr>
        <w:tc>
          <w:tcPr>
            <w:tcW w:type="dxa" w:w="3168"/>
            <w:vAlign w:val="top"/>
          </w:tcPr>
          <w:p>
            <w:pPr>
              <w:spacing w:after="20"/>
            </w:pPr>
            <w:r/>
            <w:r>
              <w:rPr>
                <w:rFonts w:ascii="Arial" w:hAnsi="Arial" w:eastAsia="Arial"/>
                <w:b w:val="0"/>
                <w:sz w:val="14"/>
              </w:rPr>
              <w:t>Over-automation before process maturity</w:t>
            </w:r>
          </w:p>
        </w:tc>
        <w:tc>
          <w:tcPr>
            <w:tcW w:type="dxa" w:w="1440"/>
            <w:vAlign w:val="top"/>
          </w:tcPr>
          <w:p>
            <w:pPr>
              <w:spacing w:after="20"/>
            </w:pPr>
            <w:r/>
            <w:r>
              <w:rPr>
                <w:rFonts w:ascii="Arial" w:hAnsi="Arial" w:eastAsia="Arial"/>
                <w:b w:val="0"/>
                <w:sz w:val="14"/>
              </w:rPr>
              <w:t>Medium/High</w:t>
            </w:r>
          </w:p>
        </w:tc>
        <w:tc>
          <w:tcPr>
            <w:tcW w:type="dxa" w:w="5904"/>
            <w:vAlign w:val="top"/>
          </w:tcPr>
          <w:p>
            <w:pPr>
              <w:spacing w:after="20"/>
            </w:pPr>
            <w:r/>
            <w:r>
              <w:rPr>
                <w:rFonts w:ascii="Arial" w:hAnsi="Arial" w:eastAsia="Arial"/>
                <w:b w:val="0"/>
                <w:sz w:val="14"/>
              </w:rPr>
              <w:t>Start with draft/recommend modes; increase autonomy only after evaluation and human approval history.</w:t>
            </w:r>
          </w:p>
        </w:tc>
      </w:tr>
      <w:tr>
        <w:tc>
          <w:tcPr>
            <w:tcW w:type="dxa" w:w="3168"/>
            <w:vAlign w:val="top"/>
          </w:tcPr>
          <w:p>
            <w:pPr>
              <w:spacing w:after="20"/>
            </w:pPr>
            <w:r/>
            <w:r>
              <w:rPr>
                <w:rFonts w:ascii="Arial" w:hAnsi="Arial" w:eastAsia="Arial"/>
                <w:b w:val="0"/>
                <w:sz w:val="14"/>
              </w:rPr>
              <w:t>Growth optimization harms patient trust</w:t>
            </w:r>
          </w:p>
        </w:tc>
        <w:tc>
          <w:tcPr>
            <w:tcW w:type="dxa" w:w="1440"/>
            <w:vAlign w:val="top"/>
          </w:tcPr>
          <w:p>
            <w:pPr>
              <w:spacing w:after="20"/>
            </w:pPr>
            <w:r/>
            <w:r>
              <w:rPr>
                <w:rFonts w:ascii="Arial" w:hAnsi="Arial" w:eastAsia="Arial"/>
                <w:b w:val="0"/>
                <w:sz w:val="14"/>
              </w:rPr>
              <w:t>High</w:t>
            </w:r>
          </w:p>
        </w:tc>
        <w:tc>
          <w:tcPr>
            <w:tcW w:type="dxa" w:w="5904"/>
            <w:vAlign w:val="top"/>
          </w:tcPr>
          <w:p>
            <w:pPr>
              <w:spacing w:after="20"/>
            </w:pPr>
            <w:r/>
            <w:r>
              <w:rPr>
                <w:rFonts w:ascii="Arial" w:hAnsi="Arial" w:eastAsia="Arial"/>
                <w:b w:val="0"/>
                <w:sz w:val="14"/>
              </w:rPr>
              <w:t>Brand/claims review, clinical truth standards, consent, patient education, no misleading offers.</w:t>
            </w:r>
          </w:p>
        </w:tc>
      </w:tr>
      <w:tr>
        <w:tc>
          <w:tcPr>
            <w:tcW w:type="dxa" w:w="3168"/>
            <w:vAlign w:val="top"/>
          </w:tcPr>
          <w:p>
            <w:pPr>
              <w:spacing w:after="20"/>
            </w:pPr>
            <w:r/>
            <w:r>
              <w:rPr>
                <w:rFonts w:ascii="Arial" w:hAnsi="Arial" w:eastAsia="Arial"/>
                <w:b w:val="0"/>
                <w:sz w:val="14"/>
              </w:rPr>
              <w:t>Staff resists AI workflows</w:t>
            </w:r>
          </w:p>
        </w:tc>
        <w:tc>
          <w:tcPr>
            <w:tcW w:type="dxa" w:w="1440"/>
            <w:vAlign w:val="top"/>
          </w:tcPr>
          <w:p>
            <w:pPr>
              <w:spacing w:after="20"/>
            </w:pPr>
            <w:r/>
            <w:r>
              <w:rPr>
                <w:rFonts w:ascii="Arial" w:hAnsi="Arial" w:eastAsia="Arial"/>
                <w:b w:val="0"/>
                <w:sz w:val="14"/>
              </w:rPr>
              <w:t>Medium</w:t>
            </w:r>
          </w:p>
        </w:tc>
        <w:tc>
          <w:tcPr>
            <w:tcW w:type="dxa" w:w="5904"/>
            <w:vAlign w:val="top"/>
          </w:tcPr>
          <w:p>
            <w:pPr>
              <w:spacing w:after="20"/>
            </w:pPr>
            <w:r/>
            <w:r>
              <w:rPr>
                <w:rFonts w:ascii="Arial" w:hAnsi="Arial" w:eastAsia="Arial"/>
                <w:b w:val="0"/>
                <w:sz w:val="14"/>
              </w:rPr>
              <w:t>Builder-operator culture, training, practical daily benefits, DRI ownership, simple tooling.</w:t>
            </w:r>
          </w:p>
        </w:tc>
      </w:tr>
      <w:tr>
        <w:tc>
          <w:tcPr>
            <w:tcW w:type="dxa" w:w="3168"/>
            <w:vAlign w:val="top"/>
          </w:tcPr>
          <w:p>
            <w:pPr>
              <w:spacing w:after="20"/>
            </w:pPr>
            <w:r/>
            <w:r>
              <w:rPr>
                <w:rFonts w:ascii="Arial" w:hAnsi="Arial" w:eastAsia="Arial"/>
                <w:b w:val="0"/>
                <w:sz w:val="14"/>
              </w:rPr>
              <w:t>Vendor lock-in</w:t>
            </w:r>
          </w:p>
        </w:tc>
        <w:tc>
          <w:tcPr>
            <w:tcW w:type="dxa" w:w="1440"/>
            <w:vAlign w:val="top"/>
          </w:tcPr>
          <w:p>
            <w:pPr>
              <w:spacing w:after="20"/>
            </w:pPr>
            <w:r/>
            <w:r>
              <w:rPr>
                <w:rFonts w:ascii="Arial" w:hAnsi="Arial" w:eastAsia="Arial"/>
                <w:b w:val="0"/>
                <w:sz w:val="14"/>
              </w:rPr>
              <w:t>Medium</w:t>
            </w:r>
          </w:p>
        </w:tc>
        <w:tc>
          <w:tcPr>
            <w:tcW w:type="dxa" w:w="5904"/>
            <w:vAlign w:val="top"/>
          </w:tcPr>
          <w:p>
            <w:pPr>
              <w:spacing w:after="20"/>
            </w:pPr>
            <w:r/>
            <w:r>
              <w:rPr>
                <w:rFonts w:ascii="Arial" w:hAnsi="Arial" w:eastAsia="Arial"/>
                <w:b w:val="0"/>
                <w:sz w:val="14"/>
              </w:rPr>
              <w:t>Open event model, exportable artifacts, modular agents, clear data ownership.</w:t>
            </w:r>
          </w:p>
        </w:tc>
      </w:tr>
      <w:tr>
        <w:tc>
          <w:tcPr>
            <w:tcW w:type="dxa" w:w="3168"/>
            <w:vAlign w:val="top"/>
          </w:tcPr>
          <w:p>
            <w:pPr>
              <w:spacing w:after="20"/>
            </w:pPr>
            <w:r/>
            <w:r>
              <w:rPr>
                <w:rFonts w:ascii="Arial" w:hAnsi="Arial" w:eastAsia="Arial"/>
                <w:b w:val="0"/>
                <w:sz w:val="14"/>
              </w:rPr>
              <w:t>Security incident or credential misuse</w:t>
            </w:r>
          </w:p>
        </w:tc>
        <w:tc>
          <w:tcPr>
            <w:tcW w:type="dxa" w:w="1440"/>
            <w:vAlign w:val="top"/>
          </w:tcPr>
          <w:p>
            <w:pPr>
              <w:spacing w:after="20"/>
            </w:pPr>
            <w:r/>
            <w:r>
              <w:rPr>
                <w:rFonts w:ascii="Arial" w:hAnsi="Arial" w:eastAsia="Arial"/>
                <w:b w:val="0"/>
                <w:sz w:val="14"/>
              </w:rPr>
              <w:t>High</w:t>
            </w:r>
          </w:p>
        </w:tc>
        <w:tc>
          <w:tcPr>
            <w:tcW w:type="dxa" w:w="5904"/>
            <w:vAlign w:val="top"/>
          </w:tcPr>
          <w:p>
            <w:pPr>
              <w:spacing w:after="20"/>
            </w:pPr>
            <w:r/>
            <w:r>
              <w:rPr>
                <w:rFonts w:ascii="Arial" w:hAnsi="Arial" w:eastAsia="Arial"/>
                <w:b w:val="0"/>
                <w:sz w:val="14"/>
              </w:rPr>
              <w:t>SSO/MFA, least privilege, logs, incident response, regular access review.</w:t>
            </w:r>
          </w:p>
        </w:tc>
      </w:tr>
      <w:tr>
        <w:tc>
          <w:tcPr>
            <w:tcW w:type="dxa" w:w="3168"/>
            <w:vAlign w:val="top"/>
          </w:tcPr>
          <w:p>
            <w:pPr>
              <w:spacing w:after="20"/>
            </w:pPr>
            <w:r/>
            <w:r>
              <w:rPr>
                <w:rFonts w:ascii="Arial" w:hAnsi="Arial" w:eastAsia="Arial"/>
                <w:b w:val="0"/>
                <w:sz w:val="14"/>
              </w:rPr>
              <w:t>Regulatory classification surprises</w:t>
            </w:r>
          </w:p>
        </w:tc>
        <w:tc>
          <w:tcPr>
            <w:tcW w:type="dxa" w:w="1440"/>
            <w:vAlign w:val="top"/>
          </w:tcPr>
          <w:p>
            <w:pPr>
              <w:spacing w:after="20"/>
            </w:pPr>
            <w:r/>
            <w:r>
              <w:rPr>
                <w:rFonts w:ascii="Arial" w:hAnsi="Arial" w:eastAsia="Arial"/>
                <w:b w:val="0"/>
                <w:sz w:val="14"/>
              </w:rPr>
              <w:t>High</w:t>
            </w:r>
          </w:p>
        </w:tc>
        <w:tc>
          <w:tcPr>
            <w:tcW w:type="dxa" w:w="5904"/>
            <w:vAlign w:val="top"/>
          </w:tcPr>
          <w:p>
            <w:pPr>
              <w:spacing w:after="20"/>
            </w:pPr>
            <w:r/>
            <w:r>
              <w:rPr>
                <w:rFonts w:ascii="Arial" w:hAnsi="Arial" w:eastAsia="Arial"/>
                <w:b w:val="0"/>
                <w:sz w:val="14"/>
              </w:rPr>
              <w:t>Early legal/regulatory review for clinical decision support and patient-facing medical use cases.</w:t>
            </w:r>
          </w:p>
        </w:tc>
      </w:tr>
    </w:tbl>
    <w:p>
      <w:pPr>
        <w:pStyle w:val="Small"/>
      </w:pPr>
    </w:p>
    <w:p>
      <w:pPr>
        <w:pStyle w:val="Heading1"/>
      </w:pPr>
      <w:r>
        <w:t>18. Required Next Documents and Artifacts</w:t>
      </w:r>
    </w:p>
    <w:p>
      <w:pPr/>
      <w:r>
        <w:t>This white paper is the top-level doctrine. It should be followed by implementation artifacts that agents and humans can execute directly.</w:t>
      </w:r>
    </w:p>
    <w:p>
      <w:pPr>
        <w:pStyle w:val="ListBullet"/>
        <w:ind w:left="317"/>
      </w:pPr>
      <w:r>
        <w:t>AI Usage Policy for Staff and Agents</w:t>
      </w:r>
    </w:p>
    <w:p>
      <w:pPr>
        <w:pStyle w:val="ListBullet"/>
        <w:ind w:left="317"/>
      </w:pPr>
      <w:r>
        <w:t>Vendor and BAA Eligibility Matrix</w:t>
      </w:r>
    </w:p>
    <w:p>
      <w:pPr>
        <w:pStyle w:val="ListBullet"/>
        <w:ind w:left="317"/>
      </w:pPr>
      <w:r>
        <w:t>Data Classification and PHI Handling Policy</w:t>
      </w:r>
    </w:p>
    <w:p>
      <w:pPr>
        <w:pStyle w:val="ListBullet"/>
        <w:ind w:left="317"/>
      </w:pPr>
      <w:r>
        <w:t>Role-Based Access Matrix</w:t>
      </w:r>
    </w:p>
    <w:p>
      <w:pPr>
        <w:pStyle w:val="ListBullet"/>
        <w:ind w:left="317"/>
      </w:pPr>
      <w:r>
        <w:t>HIPAA Risk Analysis and Remediation Plan</w:t>
      </w:r>
    </w:p>
    <w:p>
      <w:pPr>
        <w:pStyle w:val="ListBullet"/>
        <w:ind w:left="317"/>
      </w:pPr>
      <w:r>
        <w:t>Patient Communication and AI Disclosure Policy</w:t>
      </w:r>
    </w:p>
    <w:p>
      <w:pPr>
        <w:pStyle w:val="ListBullet"/>
        <w:ind w:left="317"/>
      </w:pPr>
      <w:r>
        <w:t>Lead-to-Consult Workflow Spec</w:t>
      </w:r>
    </w:p>
    <w:p>
      <w:pPr>
        <w:pStyle w:val="ListBullet"/>
        <w:ind w:left="317"/>
      </w:pPr>
      <w:r>
        <w:t>Consultation and Case Acceptance Workflow Spec</w:t>
      </w:r>
    </w:p>
    <w:p>
      <w:pPr>
        <w:pStyle w:val="ListBullet"/>
        <w:ind w:left="317"/>
      </w:pPr>
      <w:r>
        <w:t>Clinical Intake Workflow Spec</w:t>
      </w:r>
    </w:p>
    <w:p>
      <w:pPr>
        <w:pStyle w:val="ListBullet"/>
        <w:ind w:left="317"/>
      </w:pPr>
      <w:r>
        <w:t>Treatment Planning Support Workflow Spec</w:t>
      </w:r>
    </w:p>
    <w:p>
      <w:pPr>
        <w:pStyle w:val="ListBullet"/>
        <w:ind w:left="317"/>
      </w:pPr>
      <w:r>
        <w:t>Surgery Readiness Workflow Spec</w:t>
      </w:r>
    </w:p>
    <w:p>
      <w:pPr>
        <w:pStyle w:val="ListBullet"/>
        <w:ind w:left="317"/>
      </w:pPr>
      <w:r>
        <w:t>Post-op Monitoring Workflow Spec</w:t>
      </w:r>
    </w:p>
    <w:p>
      <w:pPr>
        <w:pStyle w:val="ListBullet"/>
        <w:ind w:left="317"/>
      </w:pPr>
      <w:r>
        <w:t>Quality and Compliance Audit Spec</w:t>
      </w:r>
    </w:p>
    <w:p>
      <w:pPr>
        <w:pStyle w:val="ListBullet"/>
        <w:ind w:left="317"/>
      </w:pPr>
      <w:r>
        <w:t>AI Agent Spec Template and Test Harness</w:t>
      </w:r>
    </w:p>
    <w:p>
      <w:pPr>
        <w:pStyle w:val="ListBullet"/>
        <w:ind w:left="317"/>
      </w:pPr>
      <w:r>
        <w:t>Event Taxonomy and Data Dictionary</w:t>
      </w:r>
    </w:p>
    <w:p>
      <w:pPr>
        <w:pStyle w:val="ListBullet"/>
        <w:ind w:left="317"/>
      </w:pPr>
      <w:r>
        <w:t>Dashboard Requirements Document</w:t>
      </w:r>
    </w:p>
    <w:p>
      <w:pPr>
        <w:pStyle w:val="ListBullet"/>
        <w:ind w:left="317"/>
      </w:pPr>
      <w:r>
        <w:t>Incident Response and Breach Assessment Workflow</w:t>
      </w:r>
    </w:p>
    <w:p>
      <w:pPr>
        <w:pStyle w:val="ListBullet"/>
        <w:ind w:left="317"/>
      </w:pPr>
      <w:r>
        <w:t>Software Factory Release Process</w:t>
      </w:r>
    </w:p>
    <w:p>
      <w:pPr>
        <w:pStyle w:val="Heading1"/>
      </w:pPr>
      <w:r>
        <w:t>19. Open Questions</w:t>
      </w:r>
    </w:p>
    <w:p>
      <w:pPr/>
      <w:r>
        <w:t>These questions should be resolved as early as possible because they affect architecture, compliance, staffing, and go-to-market execution.</w:t>
      </w:r>
    </w:p>
    <w:p>
      <w:pPr>
        <w:pStyle w:val="ListBullet"/>
        <w:ind w:left="317"/>
      </w:pPr>
      <w:r>
        <w:t>Which state/jurisdiction will the clinic operate in, and what state dental board rules apply?</w:t>
      </w:r>
    </w:p>
    <w:p>
      <w:pPr>
        <w:pStyle w:val="ListBullet"/>
        <w:ind w:left="317"/>
      </w:pPr>
      <w:r>
        <w:t>Will the clinic be cash-pay, insurance-based, financing-heavy, or hybrid?</w:t>
      </w:r>
    </w:p>
    <w:p>
      <w:pPr>
        <w:pStyle w:val="ListBullet"/>
        <w:ind w:left="317"/>
      </w:pPr>
      <w:r>
        <w:t>Which PMS/EHR, imaging, phone/SMS, CRM, and payment/financing systems will become systems of record?</w:t>
      </w:r>
    </w:p>
    <w:p>
      <w:pPr>
        <w:pStyle w:val="ListBullet"/>
        <w:ind w:left="317"/>
      </w:pPr>
      <w:r>
        <w:t>Which Google services are included in the executed BAA and approved internal configuration?</w:t>
      </w:r>
    </w:p>
    <w:p>
      <w:pPr>
        <w:pStyle w:val="ListBullet"/>
        <w:ind w:left="317"/>
      </w:pPr>
      <w:r>
        <w:t>Which OpenAI API endpoints/features are approved for PHI under the current BAA and retention mode?</w:t>
      </w:r>
    </w:p>
    <w:p>
      <w:pPr>
        <w:pStyle w:val="ListBullet"/>
        <w:ind w:left="317"/>
      </w:pPr>
      <w:r>
        <w:t>Which Anthropic/Claude Code/API services will be covered once the BAA is executed, and what configuration is required?</w:t>
      </w:r>
    </w:p>
    <w:p>
      <w:pPr>
        <w:pStyle w:val="ListBullet"/>
        <w:ind w:left="317"/>
      </w:pPr>
      <w:r>
        <w:t>Who are the initial licensed clinical reviewers for AI-assisted clinical workflows?</w:t>
      </w:r>
    </w:p>
    <w:p>
      <w:pPr>
        <w:pStyle w:val="ListBullet"/>
        <w:ind w:left="317"/>
      </w:pPr>
      <w:r>
        <w:t>What patient consent/disclosure language will be used for AI-assisted communication, documentation, and monitoring?</w:t>
      </w:r>
    </w:p>
    <w:p>
      <w:pPr>
        <w:pStyle w:val="ListBullet"/>
        <w:ind w:left="317"/>
      </w:pPr>
      <w:r>
        <w:t>What implant systems, labs, surgical guide workflows, and inventory vendors will be used?</w:t>
      </w:r>
    </w:p>
    <w:p>
      <w:pPr>
        <w:pStyle w:val="ListBullet"/>
        <w:ind w:left="317"/>
      </w:pPr>
      <w:r>
        <w:t>What are the top three patient acquisition channels for launch, and what claims/offers require clinical/legal review?</w:t>
      </w:r>
    </w:p>
    <w:p>
      <w:pPr>
        <w:pStyle w:val="ListBullet"/>
        <w:ind w:left="317"/>
      </w:pPr>
      <w:r>
        <w:t>What is the initial DRI map, and who owns each launch metric?</w:t>
      </w:r>
    </w:p>
    <w:p>
      <w:pPr>
        <w:pStyle w:val="ListBullet"/>
        <w:ind w:left="317"/>
      </w:pPr>
      <w:r>
        <w:t>What is the minimum viable dashboard required before opening doors?</w:t>
      </w:r>
    </w:p>
    <w:p>
      <w:pPr>
        <w:pStyle w:val="Heading1"/>
      </w:pPr>
      <w:r>
        <w:t>20. Closing Doctrine</w:t>
      </w:r>
    </w:p>
    <w:p>
      <w:pPr/>
      <w:r>
        <w:t>The strategic opportunity is to build a dental implant clinic that is faster, safer, more measurable, more patient-responsive, and more scalable than a conventional clinic because it is designed as an AI-native company from the beginning.</w:t>
      </w:r>
    </w:p>
    <w:p>
      <w:pPr/>
      <w:r>
        <w:t>The company should not hire first and automate later. It should design closed-loop workflows first, then hire humans into roles that amplify the system. The goal is not fewer humans for its own sake; the goal is fewer layers of human middleware and more human judgment where it matters: patient trust, clinical care, surgical quality, ethics, leadership, and system design.</w:t>
      </w:r>
    </w:p>
    <w:p>
      <w:pPr/>
      <w:r>
        <w:t>The operating sentence for the company is:</w:t>
      </w:r>
    </w:p>
    <w:p>
      <w:pPr>
        <w:pStyle w:val="Callout"/>
        <w:shd w:fill="EAF2F8"/>
      </w:pPr>
      <w:r>
        <w:rPr>
          <w:b/>
          <w:color w:val="1F4E79"/>
        </w:rPr>
        <w:t xml:space="preserve">Mission: </w:t>
      </w:r>
      <w:r>
        <w:t>We are building an AI-native Dental Implant Clinic OS where growth, patient experience, clinical operations, compliance, finance, and management are connected through safe, auditable, self-improving closed loops.</w:t>
      </w:r>
    </w:p>
    <w:p>
      <w:r>
        <w:br w:type="page"/>
      </w:r>
    </w:p>
    <w:p>
      <w:pPr>
        <w:pStyle w:val="Heading1"/>
      </w:pPr>
      <w:r>
        <w:t>Appendix A - Canonical AI Agent System Prompt</w:t>
      </w:r>
    </w:p>
    <w:p>
      <w:pPr/>
      <w:r>
        <w:t>The following prompt can be adapted as the root policy for future internal agents. Workflow-specific prompts must add precise tools, permissions, data access, escalation rules, and tests.</w:t>
      </w:r>
    </w:p>
    <w:p>
      <w:pPr>
        <w:pStyle w:val="CodeBlock"/>
        <w:shd w:fill="F2F2F2"/>
      </w:pPr>
      <w:r>
        <w:rPr>
          <w:rFonts w:ascii="Courier New" w:hAnsi="Courier New" w:eastAsia="Courier New"/>
          <w:sz w:val="16"/>
        </w:rPr>
        <w:t>You are an AI agent operating inside an AI-native dental implant clinic OS.</w:t>
      </w:r>
      <w:r>
        <w:br/>
      </w:r>
      <w:r>
        <w:rPr>
          <w:rFonts w:ascii="Courier New" w:hAnsi="Courier New" w:eastAsia="Courier New"/>
          <w:sz w:val="16"/>
        </w:rPr>
        <w:t>Your mission is to help the clinic improve patient experience, clinical readiness,</w:t>
      </w:r>
      <w:r>
        <w:br/>
      </w:r>
      <w:r>
        <w:rPr>
          <w:rFonts w:ascii="Courier New" w:hAnsi="Courier New" w:eastAsia="Courier New"/>
          <w:sz w:val="16"/>
        </w:rPr>
        <w:t>operational reliability, and business performance while preserving patient safety,</w:t>
      </w:r>
      <w:r>
        <w:br/>
      </w:r>
      <w:r>
        <w:rPr>
          <w:rFonts w:ascii="Courier New" w:hAnsi="Courier New" w:eastAsia="Courier New"/>
          <w:sz w:val="16"/>
        </w:rPr>
        <w:t>privacy, compliance, and human clinical authority.</w:t>
      </w:r>
      <w:r>
        <w:br/>
      </w:r>
      <w:r>
        <w:rPr>
          <w:rFonts w:ascii="Courier New" w:hAnsi="Courier New" w:eastAsia="Courier New"/>
          <w:sz w:val="16"/>
        </w:rPr>
      </w:r>
      <w:r>
        <w:br/>
      </w:r>
      <w:r>
        <w:rPr>
          <w:rFonts w:ascii="Courier New" w:hAnsi="Courier New" w:eastAsia="Courier New"/>
          <w:sz w:val="16"/>
        </w:rPr>
        <w:t>Before every action:</w:t>
      </w:r>
      <w:r>
        <w:br/>
      </w:r>
      <w:r>
        <w:rPr>
          <w:rFonts w:ascii="Courier New" w:hAnsi="Courier New" w:eastAsia="Courier New"/>
          <w:sz w:val="16"/>
        </w:rPr>
        <w:t>1. Classify the data: Public, Internal, Restricted Business, or PHI/ePHI.</w:t>
      </w:r>
      <w:r>
        <w:br/>
      </w:r>
      <w:r>
        <w:rPr>
          <w:rFonts w:ascii="Courier New" w:hAnsi="Courier New" w:eastAsia="Courier New"/>
          <w:sz w:val="16"/>
        </w:rPr>
        <w:t>2. Confirm that the tools, vendor, endpoint, project, and retention mode are approved for that data class.</w:t>
      </w:r>
      <w:r>
        <w:br/>
      </w:r>
      <w:r>
        <w:rPr>
          <w:rFonts w:ascii="Courier New" w:hAnsi="Courier New" w:eastAsia="Courier New"/>
          <w:sz w:val="16"/>
        </w:rPr>
        <w:t>3. Use the minimum necessary context.</w:t>
      </w:r>
      <w:r>
        <w:br/>
      </w:r>
      <w:r>
        <w:rPr>
          <w:rFonts w:ascii="Courier New" w:hAnsi="Courier New" w:eastAsia="Courier New"/>
          <w:sz w:val="16"/>
        </w:rPr>
        <w:t>4. Identify whether the action is summarize, draft, recommend, route, execute, or clinical/regulated.</w:t>
      </w:r>
      <w:r>
        <w:br/>
      </w:r>
      <w:r>
        <w:rPr>
          <w:rFonts w:ascii="Courier New" w:hAnsi="Courier New" w:eastAsia="Courier New"/>
          <w:sz w:val="16"/>
        </w:rPr>
        <w:t>5. If the action is clinical/regulated, do not execute autonomously. Escalate to the licensed clinician.</w:t>
      </w:r>
      <w:r>
        <w:br/>
      </w:r>
      <w:r>
        <w:rPr>
          <w:rFonts w:ascii="Courier New" w:hAnsi="Courier New" w:eastAsia="Courier New"/>
          <w:sz w:val="16"/>
        </w:rPr>
      </w:r>
      <w:r>
        <w:br/>
      </w:r>
      <w:r>
        <w:rPr>
          <w:rFonts w:ascii="Courier New" w:hAnsi="Courier New" w:eastAsia="Courier New"/>
          <w:sz w:val="16"/>
        </w:rPr>
        <w:t>You MUST NOT:</w:t>
      </w:r>
      <w:r>
        <w:br/>
      </w:r>
      <w:r>
        <w:rPr>
          <w:rFonts w:ascii="Courier New" w:hAnsi="Courier New" w:eastAsia="Courier New"/>
          <w:sz w:val="16"/>
        </w:rPr>
        <w:t>- Diagnose, prescribe, finalize treatment plans, or change clinical instructions.</w:t>
      </w:r>
      <w:r>
        <w:br/>
      </w:r>
      <w:r>
        <w:rPr>
          <w:rFonts w:ascii="Courier New" w:hAnsi="Courier New" w:eastAsia="Courier New"/>
          <w:sz w:val="16"/>
        </w:rPr>
        <w:t>- Reveal PHI in unapproved systems or channels.</w:t>
      </w:r>
      <w:r>
        <w:br/>
      </w:r>
      <w:r>
        <w:rPr>
          <w:rFonts w:ascii="Courier New" w:hAnsi="Courier New" w:eastAsia="Courier New"/>
          <w:sz w:val="16"/>
        </w:rPr>
        <w:t>- Make pricing, financing, or treatment promises outside approved policy.</w:t>
      </w:r>
      <w:r>
        <w:br/>
      </w:r>
      <w:r>
        <w:rPr>
          <w:rFonts w:ascii="Courier New" w:hAnsi="Courier New" w:eastAsia="Courier New"/>
          <w:sz w:val="16"/>
        </w:rPr>
        <w:t>- Hide uncertainty, missing data, policy conflict, or safety risks.</w:t>
      </w:r>
      <w:r>
        <w:br/>
      </w:r>
      <w:r>
        <w:rPr>
          <w:rFonts w:ascii="Courier New" w:hAnsi="Courier New" w:eastAsia="Courier New"/>
          <w:sz w:val="16"/>
        </w:rPr>
      </w:r>
      <w:r>
        <w:br/>
      </w:r>
      <w:r>
        <w:rPr>
          <w:rFonts w:ascii="Courier New" w:hAnsi="Courier New" w:eastAsia="Courier New"/>
          <w:sz w:val="16"/>
        </w:rPr>
        <w:t>Every output should include:</w:t>
      </w:r>
      <w:r>
        <w:br/>
      </w:r>
      <w:r>
        <w:rPr>
          <w:rFonts w:ascii="Courier New" w:hAnsi="Courier New" w:eastAsia="Courier New"/>
          <w:sz w:val="16"/>
        </w:rPr>
        <w:t>- summary</w:t>
      </w:r>
      <w:r>
        <w:br/>
      </w:r>
      <w:r>
        <w:rPr>
          <w:rFonts w:ascii="Courier New" w:hAnsi="Courier New" w:eastAsia="Courier New"/>
          <w:sz w:val="16"/>
        </w:rPr>
        <w:t>- sources or records used when available</w:t>
      </w:r>
      <w:r>
        <w:br/>
      </w:r>
      <w:r>
        <w:rPr>
          <w:rFonts w:ascii="Courier New" w:hAnsi="Courier New" w:eastAsia="Courier New"/>
          <w:sz w:val="16"/>
        </w:rPr>
        <w:t>- data class</w:t>
      </w:r>
      <w:r>
        <w:br/>
      </w:r>
      <w:r>
        <w:rPr>
          <w:rFonts w:ascii="Courier New" w:hAnsi="Courier New" w:eastAsia="Courier New"/>
          <w:sz w:val="16"/>
        </w:rPr>
        <w:t>- confidence or uncertainty</w:t>
      </w:r>
      <w:r>
        <w:br/>
      </w:r>
      <w:r>
        <w:rPr>
          <w:rFonts w:ascii="Courier New" w:hAnsi="Courier New" w:eastAsia="Courier New"/>
          <w:sz w:val="16"/>
        </w:rPr>
        <w:t>- risk flags</w:t>
      </w:r>
      <w:r>
        <w:br/>
      </w:r>
      <w:r>
        <w:rPr>
          <w:rFonts w:ascii="Courier New" w:hAnsi="Courier New" w:eastAsia="Courier New"/>
          <w:sz w:val="16"/>
        </w:rPr>
        <w:t>- next action</w:t>
      </w:r>
      <w:r>
        <w:br/>
      </w:r>
      <w:r>
        <w:rPr>
          <w:rFonts w:ascii="Courier New" w:hAnsi="Courier New" w:eastAsia="Courier New"/>
          <w:sz w:val="16"/>
        </w:rPr>
        <w:t>- owner or DRI</w:t>
      </w:r>
      <w:r>
        <w:br/>
      </w:r>
      <w:r>
        <w:rPr>
          <w:rFonts w:ascii="Courier New" w:hAnsi="Courier New" w:eastAsia="Courier New"/>
          <w:sz w:val="16"/>
        </w:rPr>
        <w:t>- whether human approval is required</w:t>
      </w:r>
      <w:r>
        <w:br/>
      </w:r>
    </w:p>
    <w:p>
      <w:pPr>
        <w:pStyle w:val="Heading1"/>
      </w:pPr>
      <w:r>
        <w:t>Appendix B - Minimum Agent Specification Template</w:t>
      </w:r>
    </w:p>
    <w:tbl>
      <w:tblPr>
        <w:tblStyle w:val="TableGrid"/>
        <w:tblW w:type="auto" w:w="0"/>
        <w:jc w:val="center"/>
        <w:tblLook w:firstColumn="1" w:firstRow="1" w:lastColumn="0" w:lastRow="0" w:noHBand="0" w:noVBand="1" w:val="04A0"/>
      </w:tblPr>
      <w:tblGrid>
        <w:gridCol w:w="4997"/>
        <w:gridCol w:w="4997"/>
      </w:tblGrid>
      <w:tr>
        <w:tc>
          <w:tcPr>
            <w:tcW w:type="dxa" w:w="2880"/>
            <w:shd w:fill="D9EAF7"/>
            <w:vAlign w:val="center"/>
          </w:tcPr>
          <w:p>
            <w:pPr>
              <w:spacing w:after="20"/>
            </w:pPr>
            <w:r/>
            <w:r>
              <w:rPr>
                <w:rFonts w:ascii="Arial" w:hAnsi="Arial" w:eastAsia="Arial"/>
                <w:b/>
                <w:color w:val="1F4E79"/>
                <w:sz w:val="15"/>
              </w:rPr>
              <w:t>Field</w:t>
            </w:r>
          </w:p>
        </w:tc>
        <w:tc>
          <w:tcPr>
            <w:tcW w:type="dxa" w:w="7632"/>
            <w:shd w:fill="D9EAF7"/>
            <w:vAlign w:val="center"/>
          </w:tcPr>
          <w:p>
            <w:pPr>
              <w:spacing w:after="20"/>
            </w:pPr>
            <w:r/>
            <w:r>
              <w:rPr>
                <w:rFonts w:ascii="Arial" w:hAnsi="Arial" w:eastAsia="Arial"/>
                <w:b/>
                <w:color w:val="1F4E79"/>
                <w:sz w:val="15"/>
              </w:rPr>
              <w:t>Required content</w:t>
            </w:r>
          </w:p>
        </w:tc>
      </w:tr>
      <w:tr>
        <w:tc>
          <w:tcPr>
            <w:tcW w:type="dxa" w:w="2880"/>
            <w:vAlign w:val="top"/>
          </w:tcPr>
          <w:p>
            <w:pPr>
              <w:spacing w:after="20"/>
            </w:pPr>
            <w:r/>
            <w:r>
              <w:rPr>
                <w:rFonts w:ascii="Arial" w:hAnsi="Arial" w:eastAsia="Arial"/>
                <w:b w:val="0"/>
                <w:sz w:val="15"/>
              </w:rPr>
              <w:t>Agent name</w:t>
            </w:r>
          </w:p>
        </w:tc>
        <w:tc>
          <w:tcPr>
            <w:tcW w:type="dxa" w:w="7632"/>
            <w:vAlign w:val="top"/>
          </w:tcPr>
          <w:p>
            <w:pPr>
              <w:spacing w:after="20"/>
            </w:pPr>
            <w:r/>
            <w:r>
              <w:rPr>
                <w:rFonts w:ascii="Arial" w:hAnsi="Arial" w:eastAsia="Arial"/>
                <w:b w:val="0"/>
                <w:sz w:val="15"/>
              </w:rPr>
              <w:t>Clear functional title.</w:t>
            </w:r>
          </w:p>
        </w:tc>
      </w:tr>
      <w:tr>
        <w:tc>
          <w:tcPr>
            <w:tcW w:type="dxa" w:w="2880"/>
            <w:vAlign w:val="top"/>
          </w:tcPr>
          <w:p>
            <w:pPr>
              <w:spacing w:after="20"/>
            </w:pPr>
            <w:r/>
            <w:r>
              <w:rPr>
                <w:rFonts w:ascii="Arial" w:hAnsi="Arial" w:eastAsia="Arial"/>
                <w:b w:val="0"/>
                <w:sz w:val="15"/>
              </w:rPr>
              <w:t>Mission</w:t>
            </w:r>
          </w:p>
        </w:tc>
        <w:tc>
          <w:tcPr>
            <w:tcW w:type="dxa" w:w="7632"/>
            <w:vAlign w:val="top"/>
          </w:tcPr>
          <w:p>
            <w:pPr>
              <w:spacing w:after="20"/>
            </w:pPr>
            <w:r/>
            <w:r>
              <w:rPr>
                <w:rFonts w:ascii="Arial" w:hAnsi="Arial" w:eastAsia="Arial"/>
                <w:b w:val="0"/>
                <w:sz w:val="15"/>
              </w:rPr>
              <w:t>One-sentence purpose tied to a clinic outcome.</w:t>
            </w:r>
          </w:p>
        </w:tc>
      </w:tr>
      <w:tr>
        <w:tc>
          <w:tcPr>
            <w:tcW w:type="dxa" w:w="2880"/>
            <w:vAlign w:val="top"/>
          </w:tcPr>
          <w:p>
            <w:pPr>
              <w:spacing w:after="20"/>
            </w:pPr>
            <w:r/>
            <w:r>
              <w:rPr>
                <w:rFonts w:ascii="Arial" w:hAnsi="Arial" w:eastAsia="Arial"/>
                <w:b w:val="0"/>
                <w:sz w:val="15"/>
              </w:rPr>
              <w:t>Owner / DRI</w:t>
            </w:r>
          </w:p>
        </w:tc>
        <w:tc>
          <w:tcPr>
            <w:tcW w:type="dxa" w:w="7632"/>
            <w:vAlign w:val="top"/>
          </w:tcPr>
          <w:p>
            <w:pPr>
              <w:spacing w:after="20"/>
            </w:pPr>
            <w:r/>
            <w:r>
              <w:rPr>
                <w:rFonts w:ascii="Arial" w:hAnsi="Arial" w:eastAsia="Arial"/>
                <w:b w:val="0"/>
                <w:sz w:val="15"/>
              </w:rPr>
              <w:t>Human accountable for performance and safety.</w:t>
            </w:r>
          </w:p>
        </w:tc>
      </w:tr>
      <w:tr>
        <w:tc>
          <w:tcPr>
            <w:tcW w:type="dxa" w:w="2880"/>
            <w:vAlign w:val="top"/>
          </w:tcPr>
          <w:p>
            <w:pPr>
              <w:spacing w:after="20"/>
            </w:pPr>
            <w:r/>
            <w:r>
              <w:rPr>
                <w:rFonts w:ascii="Arial" w:hAnsi="Arial" w:eastAsia="Arial"/>
                <w:b w:val="0"/>
                <w:sz w:val="15"/>
              </w:rPr>
              <w:t>Allowed data classes</w:t>
            </w:r>
          </w:p>
        </w:tc>
        <w:tc>
          <w:tcPr>
            <w:tcW w:type="dxa" w:w="7632"/>
            <w:vAlign w:val="top"/>
          </w:tcPr>
          <w:p>
            <w:pPr>
              <w:spacing w:after="20"/>
            </w:pPr>
            <w:r/>
            <w:r>
              <w:rPr>
                <w:rFonts w:ascii="Arial" w:hAnsi="Arial" w:eastAsia="Arial"/>
                <w:b w:val="0"/>
                <w:sz w:val="15"/>
              </w:rPr>
              <w:t>Public, Internal, Restricted Business, PHI/ePHI.</w:t>
            </w:r>
          </w:p>
        </w:tc>
      </w:tr>
      <w:tr>
        <w:tc>
          <w:tcPr>
            <w:tcW w:type="dxa" w:w="2880"/>
            <w:vAlign w:val="top"/>
          </w:tcPr>
          <w:p>
            <w:pPr>
              <w:spacing w:after="20"/>
            </w:pPr>
            <w:r/>
            <w:r>
              <w:rPr>
                <w:rFonts w:ascii="Arial" w:hAnsi="Arial" w:eastAsia="Arial"/>
                <w:b w:val="0"/>
                <w:sz w:val="15"/>
              </w:rPr>
              <w:t>Allowed systems/tools</w:t>
            </w:r>
          </w:p>
        </w:tc>
        <w:tc>
          <w:tcPr>
            <w:tcW w:type="dxa" w:w="7632"/>
            <w:vAlign w:val="top"/>
          </w:tcPr>
          <w:p>
            <w:pPr>
              <w:spacing w:after="20"/>
            </w:pPr>
            <w:r/>
            <w:r>
              <w:rPr>
                <w:rFonts w:ascii="Arial" w:hAnsi="Arial" w:eastAsia="Arial"/>
                <w:b w:val="0"/>
                <w:sz w:val="15"/>
              </w:rPr>
              <w:t>Specific systems, accounts, endpoints, projects, vendors.</w:t>
            </w:r>
          </w:p>
        </w:tc>
      </w:tr>
      <w:tr>
        <w:tc>
          <w:tcPr>
            <w:tcW w:type="dxa" w:w="2880"/>
            <w:vAlign w:val="top"/>
          </w:tcPr>
          <w:p>
            <w:pPr>
              <w:spacing w:after="20"/>
            </w:pPr>
            <w:r/>
            <w:r>
              <w:rPr>
                <w:rFonts w:ascii="Arial" w:hAnsi="Arial" w:eastAsia="Arial"/>
                <w:b w:val="0"/>
                <w:sz w:val="15"/>
              </w:rPr>
              <w:t>Inputs</w:t>
            </w:r>
          </w:p>
        </w:tc>
        <w:tc>
          <w:tcPr>
            <w:tcW w:type="dxa" w:w="7632"/>
            <w:vAlign w:val="top"/>
          </w:tcPr>
          <w:p>
            <w:pPr>
              <w:spacing w:after="20"/>
            </w:pPr>
            <w:r/>
            <w:r>
              <w:rPr>
                <w:rFonts w:ascii="Arial" w:hAnsi="Arial" w:eastAsia="Arial"/>
                <w:b w:val="0"/>
                <w:sz w:val="15"/>
              </w:rPr>
              <w:t>Data sources and event triggers.</w:t>
            </w:r>
          </w:p>
        </w:tc>
      </w:tr>
      <w:tr>
        <w:tc>
          <w:tcPr>
            <w:tcW w:type="dxa" w:w="2880"/>
            <w:vAlign w:val="top"/>
          </w:tcPr>
          <w:p>
            <w:pPr>
              <w:spacing w:after="20"/>
            </w:pPr>
            <w:r/>
            <w:r>
              <w:rPr>
                <w:rFonts w:ascii="Arial" w:hAnsi="Arial" w:eastAsia="Arial"/>
                <w:b w:val="0"/>
                <w:sz w:val="15"/>
              </w:rPr>
              <w:t>Outputs</w:t>
            </w:r>
          </w:p>
        </w:tc>
        <w:tc>
          <w:tcPr>
            <w:tcW w:type="dxa" w:w="7632"/>
            <w:vAlign w:val="top"/>
          </w:tcPr>
          <w:p>
            <w:pPr>
              <w:spacing w:after="20"/>
            </w:pPr>
            <w:r/>
            <w:r>
              <w:rPr>
                <w:rFonts w:ascii="Arial" w:hAnsi="Arial" w:eastAsia="Arial"/>
                <w:b w:val="0"/>
                <w:sz w:val="15"/>
              </w:rPr>
              <w:t>Artifacts, tasks, messages, summaries, dashboard updates.</w:t>
            </w:r>
          </w:p>
        </w:tc>
      </w:tr>
      <w:tr>
        <w:tc>
          <w:tcPr>
            <w:tcW w:type="dxa" w:w="2880"/>
            <w:vAlign w:val="top"/>
          </w:tcPr>
          <w:p>
            <w:pPr>
              <w:spacing w:after="20"/>
            </w:pPr>
            <w:r/>
            <w:r>
              <w:rPr>
                <w:rFonts w:ascii="Arial" w:hAnsi="Arial" w:eastAsia="Arial"/>
                <w:b w:val="0"/>
                <w:sz w:val="15"/>
              </w:rPr>
              <w:t>Autonomy level</w:t>
            </w:r>
          </w:p>
        </w:tc>
        <w:tc>
          <w:tcPr>
            <w:tcW w:type="dxa" w:w="7632"/>
            <w:vAlign w:val="top"/>
          </w:tcPr>
          <w:p>
            <w:pPr>
              <w:spacing w:after="20"/>
            </w:pPr>
            <w:r/>
            <w:r>
              <w:rPr>
                <w:rFonts w:ascii="Arial" w:hAnsi="Arial" w:eastAsia="Arial"/>
                <w:b w:val="0"/>
                <w:sz w:val="15"/>
              </w:rPr>
              <w:t>Read, draft, recommend, route, low-risk execute, sensitive execute, prohibited.</w:t>
            </w:r>
          </w:p>
        </w:tc>
      </w:tr>
      <w:tr>
        <w:tc>
          <w:tcPr>
            <w:tcW w:type="dxa" w:w="2880"/>
            <w:vAlign w:val="top"/>
          </w:tcPr>
          <w:p>
            <w:pPr>
              <w:spacing w:after="20"/>
            </w:pPr>
            <w:r/>
            <w:r>
              <w:rPr>
                <w:rFonts w:ascii="Arial" w:hAnsi="Arial" w:eastAsia="Arial"/>
                <w:b w:val="0"/>
                <w:sz w:val="15"/>
              </w:rPr>
              <w:t>Human approval</w:t>
            </w:r>
          </w:p>
        </w:tc>
        <w:tc>
          <w:tcPr>
            <w:tcW w:type="dxa" w:w="7632"/>
            <w:vAlign w:val="top"/>
          </w:tcPr>
          <w:p>
            <w:pPr>
              <w:spacing w:after="20"/>
            </w:pPr>
            <w:r/>
            <w:r>
              <w:rPr>
                <w:rFonts w:ascii="Arial" w:hAnsi="Arial" w:eastAsia="Arial"/>
                <w:b w:val="0"/>
                <w:sz w:val="15"/>
              </w:rPr>
              <w:t>When required and who approves.</w:t>
            </w:r>
          </w:p>
        </w:tc>
      </w:tr>
      <w:tr>
        <w:tc>
          <w:tcPr>
            <w:tcW w:type="dxa" w:w="2880"/>
            <w:vAlign w:val="top"/>
          </w:tcPr>
          <w:p>
            <w:pPr>
              <w:spacing w:after="20"/>
            </w:pPr>
            <w:r/>
            <w:r>
              <w:rPr>
                <w:rFonts w:ascii="Arial" w:hAnsi="Arial" w:eastAsia="Arial"/>
                <w:b w:val="0"/>
                <w:sz w:val="15"/>
              </w:rPr>
              <w:t>Escalation triggers</w:t>
            </w:r>
          </w:p>
        </w:tc>
        <w:tc>
          <w:tcPr>
            <w:tcW w:type="dxa" w:w="7632"/>
            <w:vAlign w:val="top"/>
          </w:tcPr>
          <w:p>
            <w:pPr>
              <w:spacing w:after="20"/>
            </w:pPr>
            <w:r/>
            <w:r>
              <w:rPr>
                <w:rFonts w:ascii="Arial" w:hAnsi="Arial" w:eastAsia="Arial"/>
                <w:b w:val="0"/>
                <w:sz w:val="15"/>
              </w:rPr>
              <w:t>Clinical, privacy, security, financial, or operational escalations.</w:t>
            </w:r>
          </w:p>
        </w:tc>
      </w:tr>
      <w:tr>
        <w:tc>
          <w:tcPr>
            <w:tcW w:type="dxa" w:w="2880"/>
            <w:vAlign w:val="top"/>
          </w:tcPr>
          <w:p>
            <w:pPr>
              <w:spacing w:after="20"/>
            </w:pPr>
            <w:r/>
            <w:r>
              <w:rPr>
                <w:rFonts w:ascii="Arial" w:hAnsi="Arial" w:eastAsia="Arial"/>
                <w:b w:val="0"/>
                <w:sz w:val="15"/>
              </w:rPr>
              <w:t>KPIs</w:t>
            </w:r>
          </w:p>
        </w:tc>
        <w:tc>
          <w:tcPr>
            <w:tcW w:type="dxa" w:w="7632"/>
            <w:vAlign w:val="top"/>
          </w:tcPr>
          <w:p>
            <w:pPr>
              <w:spacing w:after="20"/>
            </w:pPr>
            <w:r/>
            <w:r>
              <w:rPr>
                <w:rFonts w:ascii="Arial" w:hAnsi="Arial" w:eastAsia="Arial"/>
                <w:b w:val="0"/>
                <w:sz w:val="15"/>
              </w:rPr>
              <w:t>Business, clinical, operational, safety, and AI reliability metrics.</w:t>
            </w:r>
          </w:p>
        </w:tc>
      </w:tr>
      <w:tr>
        <w:tc>
          <w:tcPr>
            <w:tcW w:type="dxa" w:w="2880"/>
            <w:vAlign w:val="top"/>
          </w:tcPr>
          <w:p>
            <w:pPr>
              <w:spacing w:after="20"/>
            </w:pPr>
            <w:r/>
            <w:r>
              <w:rPr>
                <w:rFonts w:ascii="Arial" w:hAnsi="Arial" w:eastAsia="Arial"/>
                <w:b w:val="0"/>
                <w:sz w:val="15"/>
              </w:rPr>
              <w:t>Evaluation tests</w:t>
            </w:r>
          </w:p>
        </w:tc>
        <w:tc>
          <w:tcPr>
            <w:tcW w:type="dxa" w:w="7632"/>
            <w:vAlign w:val="top"/>
          </w:tcPr>
          <w:p>
            <w:pPr>
              <w:spacing w:after="20"/>
            </w:pPr>
            <w:r/>
            <w:r>
              <w:rPr>
                <w:rFonts w:ascii="Arial" w:hAnsi="Arial" w:eastAsia="Arial"/>
                <w:b w:val="0"/>
                <w:sz w:val="15"/>
              </w:rPr>
              <w:t>Scenario tests, regression tests, red-team cases, privacy tests.</w:t>
            </w:r>
          </w:p>
        </w:tc>
      </w:tr>
      <w:tr>
        <w:tc>
          <w:tcPr>
            <w:tcW w:type="dxa" w:w="2880"/>
            <w:vAlign w:val="top"/>
          </w:tcPr>
          <w:p>
            <w:pPr>
              <w:spacing w:after="20"/>
            </w:pPr>
            <w:r/>
            <w:r>
              <w:rPr>
                <w:rFonts w:ascii="Arial" w:hAnsi="Arial" w:eastAsia="Arial"/>
                <w:b w:val="0"/>
                <w:sz w:val="15"/>
              </w:rPr>
              <w:t>Logging requirements</w:t>
            </w:r>
          </w:p>
        </w:tc>
        <w:tc>
          <w:tcPr>
            <w:tcW w:type="dxa" w:w="7632"/>
            <w:vAlign w:val="top"/>
          </w:tcPr>
          <w:p>
            <w:pPr>
              <w:spacing w:after="20"/>
            </w:pPr>
            <w:r/>
            <w:r>
              <w:rPr>
                <w:rFonts w:ascii="Arial" w:hAnsi="Arial" w:eastAsia="Arial"/>
                <w:b w:val="0"/>
                <w:sz w:val="15"/>
              </w:rPr>
              <w:t>Inputs, outputs, tool calls, model version, timestamps, approvals.</w:t>
            </w:r>
          </w:p>
        </w:tc>
      </w:tr>
    </w:tbl>
    <w:p>
      <w:pPr>
        <w:pStyle w:val="Small"/>
      </w:pPr>
    </w:p>
    <w:p>
      <w:pPr>
        <w:pStyle w:val="Heading1"/>
      </w:pPr>
      <w:r>
        <w:t>Appendix C - Expanded Event Taxonomy v0.1</w:t>
      </w:r>
    </w:p>
    <w:p>
      <w:pPr>
        <w:pStyle w:val="ListBullet"/>
        <w:ind w:left="317"/>
      </w:pPr>
      <w:r>
        <w:t>lead_created, lead_contacted, lead_disqualified, lead_qualified, consult_booked, consult_confirmed, consult_rescheduled, no_show_risk_flagged, patient_showed, clinical_intake_started, clinical_intake_completed, imaging_completed, treatment_plan_created, treatment_plan_reviewed, treatment_plan_presented, treatment_plan_accepted, treatment_plan_declined, financing_started, financing_approved, financing_declined, surgery_scheduled, surgery_ready, surgery_blocked, surgery_completed, post_op_checkin_sent, post_op_checkin_completed, post_op_red_flag, clinician_followup_completed, review_requested, review_received, referral_created, chart_incomplete, consent_missing, access_anomaly_detected, agent_eval_failed, incident_opened, incident_resolved.</w:t>
      </w:r>
    </w:p>
    <w:p>
      <w:pPr>
        <w:pStyle w:val="Heading1"/>
      </w:pPr>
      <w:r>
        <w:t>Appendix D - Escalation Matrix v0.1</w:t>
      </w:r>
    </w:p>
    <w:tbl>
      <w:tblPr>
        <w:tblStyle w:val="TableGrid"/>
        <w:tblW w:type="auto" w:w="0"/>
        <w:jc w:val="center"/>
        <w:tblLook w:firstColumn="1" w:firstRow="1" w:lastColumn="0" w:lastRow="0" w:noHBand="0" w:noVBand="1" w:val="04A0"/>
      </w:tblPr>
      <w:tblGrid>
        <w:gridCol w:w="3331"/>
        <w:gridCol w:w="3331"/>
        <w:gridCol w:w="3331"/>
      </w:tblGrid>
      <w:tr>
        <w:tc>
          <w:tcPr>
            <w:tcW w:type="dxa" w:w="2376"/>
            <w:shd w:fill="D9EAF7"/>
            <w:vAlign w:val="center"/>
          </w:tcPr>
          <w:p>
            <w:pPr>
              <w:spacing w:after="20"/>
            </w:pPr>
            <w:r/>
            <w:r>
              <w:rPr>
                <w:rFonts w:ascii="Arial" w:hAnsi="Arial" w:eastAsia="Arial"/>
                <w:b/>
                <w:color w:val="1F4E79"/>
                <w:sz w:val="14"/>
              </w:rPr>
              <w:t>Escalation category</w:t>
            </w:r>
          </w:p>
        </w:tc>
        <w:tc>
          <w:tcPr>
            <w:tcW w:type="dxa" w:w="5832"/>
            <w:shd w:fill="D9EAF7"/>
            <w:vAlign w:val="center"/>
          </w:tcPr>
          <w:p>
            <w:pPr>
              <w:spacing w:after="20"/>
            </w:pPr>
            <w:r/>
            <w:r>
              <w:rPr>
                <w:rFonts w:ascii="Arial" w:hAnsi="Arial" w:eastAsia="Arial"/>
                <w:b/>
                <w:color w:val="1F4E79"/>
                <w:sz w:val="14"/>
              </w:rPr>
              <w:t>Examples</w:t>
            </w:r>
          </w:p>
        </w:tc>
        <w:tc>
          <w:tcPr>
            <w:tcW w:type="dxa" w:w="2304"/>
            <w:shd w:fill="D9EAF7"/>
            <w:vAlign w:val="center"/>
          </w:tcPr>
          <w:p>
            <w:pPr>
              <w:spacing w:after="20"/>
            </w:pPr>
            <w:r/>
            <w:r>
              <w:rPr>
                <w:rFonts w:ascii="Arial" w:hAnsi="Arial" w:eastAsia="Arial"/>
                <w:b/>
                <w:color w:val="1F4E79"/>
                <w:sz w:val="14"/>
              </w:rPr>
              <w:t>Owner</w:t>
            </w:r>
          </w:p>
        </w:tc>
      </w:tr>
      <w:tr>
        <w:tc>
          <w:tcPr>
            <w:tcW w:type="dxa" w:w="2376"/>
            <w:vAlign w:val="top"/>
          </w:tcPr>
          <w:p>
            <w:pPr>
              <w:spacing w:after="20"/>
            </w:pPr>
            <w:r/>
            <w:r>
              <w:rPr>
                <w:rFonts w:ascii="Arial" w:hAnsi="Arial" w:eastAsia="Arial"/>
                <w:b w:val="0"/>
                <w:sz w:val="14"/>
              </w:rPr>
              <w:t>Clinical urgent</w:t>
            </w:r>
          </w:p>
        </w:tc>
        <w:tc>
          <w:tcPr>
            <w:tcW w:type="dxa" w:w="5832"/>
            <w:vAlign w:val="top"/>
          </w:tcPr>
          <w:p>
            <w:pPr>
              <w:spacing w:after="20"/>
            </w:pPr>
            <w:r/>
            <w:r>
              <w:rPr>
                <w:rFonts w:ascii="Arial" w:hAnsi="Arial" w:eastAsia="Arial"/>
                <w:b w:val="0"/>
                <w:sz w:val="14"/>
              </w:rPr>
              <w:t>Severe pain, swelling, fever, uncontrolled bleeding, breathing/swallowing difficulty, allergic reaction, suspected infection.</w:t>
            </w:r>
          </w:p>
        </w:tc>
        <w:tc>
          <w:tcPr>
            <w:tcW w:type="dxa" w:w="2304"/>
            <w:vAlign w:val="top"/>
          </w:tcPr>
          <w:p>
            <w:pPr>
              <w:spacing w:after="20"/>
            </w:pPr>
            <w:r/>
            <w:r>
              <w:rPr>
                <w:rFonts w:ascii="Arial" w:hAnsi="Arial" w:eastAsia="Arial"/>
                <w:b w:val="0"/>
                <w:sz w:val="14"/>
              </w:rPr>
              <w:t>Licensed clinician / clinical emergency protocol.</w:t>
            </w:r>
          </w:p>
        </w:tc>
      </w:tr>
      <w:tr>
        <w:tc>
          <w:tcPr>
            <w:tcW w:type="dxa" w:w="2376"/>
            <w:vAlign w:val="top"/>
          </w:tcPr>
          <w:p>
            <w:pPr>
              <w:spacing w:after="20"/>
            </w:pPr>
            <w:r/>
            <w:r>
              <w:rPr>
                <w:rFonts w:ascii="Arial" w:hAnsi="Arial" w:eastAsia="Arial"/>
                <w:b w:val="0"/>
                <w:sz w:val="14"/>
              </w:rPr>
              <w:t>Clinical non-urgent</w:t>
            </w:r>
          </w:p>
        </w:tc>
        <w:tc>
          <w:tcPr>
            <w:tcW w:type="dxa" w:w="5832"/>
            <w:vAlign w:val="top"/>
          </w:tcPr>
          <w:p>
            <w:pPr>
              <w:spacing w:after="20"/>
            </w:pPr>
            <w:r/>
            <w:r>
              <w:rPr>
                <w:rFonts w:ascii="Arial" w:hAnsi="Arial" w:eastAsia="Arial"/>
                <w:b w:val="0"/>
                <w:sz w:val="14"/>
              </w:rPr>
              <w:t>Missing history, unclear medication, incomplete imaging, post-op discomfort outside script.</w:t>
            </w:r>
          </w:p>
        </w:tc>
        <w:tc>
          <w:tcPr>
            <w:tcW w:type="dxa" w:w="2304"/>
            <w:vAlign w:val="top"/>
          </w:tcPr>
          <w:p>
            <w:pPr>
              <w:spacing w:after="20"/>
            </w:pPr>
            <w:r/>
            <w:r>
              <w:rPr>
                <w:rFonts w:ascii="Arial" w:hAnsi="Arial" w:eastAsia="Arial"/>
                <w:b w:val="0"/>
                <w:sz w:val="14"/>
              </w:rPr>
              <w:t>Clinical Quality DRI or assigned clinician.</w:t>
            </w:r>
          </w:p>
        </w:tc>
      </w:tr>
      <w:tr>
        <w:tc>
          <w:tcPr>
            <w:tcW w:type="dxa" w:w="2376"/>
            <w:vAlign w:val="top"/>
          </w:tcPr>
          <w:p>
            <w:pPr>
              <w:spacing w:after="20"/>
            </w:pPr>
            <w:r/>
            <w:r>
              <w:rPr>
                <w:rFonts w:ascii="Arial" w:hAnsi="Arial" w:eastAsia="Arial"/>
                <w:b w:val="0"/>
                <w:sz w:val="14"/>
              </w:rPr>
              <w:t>Privacy/security</w:t>
            </w:r>
          </w:p>
        </w:tc>
        <w:tc>
          <w:tcPr>
            <w:tcW w:type="dxa" w:w="5832"/>
            <w:vAlign w:val="top"/>
          </w:tcPr>
          <w:p>
            <w:pPr>
              <w:spacing w:after="20"/>
            </w:pPr>
            <w:r/>
            <w:r>
              <w:rPr>
                <w:rFonts w:ascii="Arial" w:hAnsi="Arial" w:eastAsia="Arial"/>
                <w:b w:val="0"/>
                <w:sz w:val="14"/>
              </w:rPr>
              <w:t>PHI in wrong tool, wrong-recipient message, missing BAA, suspicious access, exposed file.</w:t>
            </w:r>
          </w:p>
        </w:tc>
        <w:tc>
          <w:tcPr>
            <w:tcW w:type="dxa" w:w="2304"/>
            <w:vAlign w:val="top"/>
          </w:tcPr>
          <w:p>
            <w:pPr>
              <w:spacing w:after="20"/>
            </w:pPr>
            <w:r/>
            <w:r>
              <w:rPr>
                <w:rFonts w:ascii="Arial" w:hAnsi="Arial" w:eastAsia="Arial"/>
                <w:b w:val="0"/>
                <w:sz w:val="14"/>
              </w:rPr>
              <w:t>Compliance &amp; Privacy DRI.</w:t>
            </w:r>
          </w:p>
        </w:tc>
      </w:tr>
      <w:tr>
        <w:tc>
          <w:tcPr>
            <w:tcW w:type="dxa" w:w="2376"/>
            <w:vAlign w:val="top"/>
          </w:tcPr>
          <w:p>
            <w:pPr>
              <w:spacing w:after="20"/>
            </w:pPr>
            <w:r/>
            <w:r>
              <w:rPr>
                <w:rFonts w:ascii="Arial" w:hAnsi="Arial" w:eastAsia="Arial"/>
                <w:b w:val="0"/>
                <w:sz w:val="14"/>
              </w:rPr>
              <w:t>Growth/claims</w:t>
            </w:r>
          </w:p>
        </w:tc>
        <w:tc>
          <w:tcPr>
            <w:tcW w:type="dxa" w:w="5832"/>
            <w:vAlign w:val="top"/>
          </w:tcPr>
          <w:p>
            <w:pPr>
              <w:spacing w:after="20"/>
            </w:pPr>
            <w:r/>
            <w:r>
              <w:rPr>
                <w:rFonts w:ascii="Arial" w:hAnsi="Arial" w:eastAsia="Arial"/>
                <w:b w:val="0"/>
                <w:sz w:val="14"/>
              </w:rPr>
              <w:t>Misleading ad, unsupported treatment claim, patient complaint about promise or price.</w:t>
            </w:r>
          </w:p>
        </w:tc>
        <w:tc>
          <w:tcPr>
            <w:tcW w:type="dxa" w:w="2304"/>
            <w:vAlign w:val="top"/>
          </w:tcPr>
          <w:p>
            <w:pPr>
              <w:spacing w:after="20"/>
            </w:pPr>
            <w:r/>
            <w:r>
              <w:rPr>
                <w:rFonts w:ascii="Arial" w:hAnsi="Arial" w:eastAsia="Arial"/>
                <w:b w:val="0"/>
                <w:sz w:val="14"/>
              </w:rPr>
              <w:t>Growth DRI plus Compliance/Clinical review.</w:t>
            </w:r>
          </w:p>
        </w:tc>
      </w:tr>
      <w:tr>
        <w:tc>
          <w:tcPr>
            <w:tcW w:type="dxa" w:w="2376"/>
            <w:vAlign w:val="top"/>
          </w:tcPr>
          <w:p>
            <w:pPr>
              <w:spacing w:after="20"/>
            </w:pPr>
            <w:r/>
            <w:r>
              <w:rPr>
                <w:rFonts w:ascii="Arial" w:hAnsi="Arial" w:eastAsia="Arial"/>
                <w:b w:val="0"/>
                <w:sz w:val="14"/>
              </w:rPr>
              <w:t>Financial</w:t>
            </w:r>
          </w:p>
        </w:tc>
        <w:tc>
          <w:tcPr>
            <w:tcW w:type="dxa" w:w="5832"/>
            <w:vAlign w:val="top"/>
          </w:tcPr>
          <w:p>
            <w:pPr>
              <w:spacing w:after="20"/>
            </w:pPr>
            <w:r/>
            <w:r>
              <w:rPr>
                <w:rFonts w:ascii="Arial" w:hAnsi="Arial" w:eastAsia="Arial"/>
                <w:b w:val="0"/>
                <w:sz w:val="14"/>
              </w:rPr>
              <w:t>Pricing exception, financing complaint, refund threat, collections issue.</w:t>
            </w:r>
          </w:p>
        </w:tc>
        <w:tc>
          <w:tcPr>
            <w:tcW w:type="dxa" w:w="2304"/>
            <w:vAlign w:val="top"/>
          </w:tcPr>
          <w:p>
            <w:pPr>
              <w:spacing w:after="20"/>
            </w:pPr>
            <w:r/>
            <w:r>
              <w:rPr>
                <w:rFonts w:ascii="Arial" w:hAnsi="Arial" w:eastAsia="Arial"/>
                <w:b w:val="0"/>
                <w:sz w:val="14"/>
              </w:rPr>
              <w:t>Finance DRI.</w:t>
            </w:r>
          </w:p>
        </w:tc>
      </w:tr>
      <w:tr>
        <w:tc>
          <w:tcPr>
            <w:tcW w:type="dxa" w:w="2376"/>
            <w:vAlign w:val="top"/>
          </w:tcPr>
          <w:p>
            <w:pPr>
              <w:spacing w:after="20"/>
            </w:pPr>
            <w:r/>
            <w:r>
              <w:rPr>
                <w:rFonts w:ascii="Arial" w:hAnsi="Arial" w:eastAsia="Arial"/>
                <w:b w:val="0"/>
                <w:sz w:val="14"/>
              </w:rPr>
              <w:t>AI system</w:t>
            </w:r>
          </w:p>
        </w:tc>
        <w:tc>
          <w:tcPr>
            <w:tcW w:type="dxa" w:w="5832"/>
            <w:vAlign w:val="top"/>
          </w:tcPr>
          <w:p>
            <w:pPr>
              <w:spacing w:after="20"/>
            </w:pPr>
            <w:r/>
            <w:r>
              <w:rPr>
                <w:rFonts w:ascii="Arial" w:hAnsi="Arial" w:eastAsia="Arial"/>
                <w:b w:val="0"/>
                <w:sz w:val="14"/>
              </w:rPr>
              <w:t>Unsafe output, repeated hallucination, failed eval, unexpected tool action.</w:t>
            </w:r>
          </w:p>
        </w:tc>
        <w:tc>
          <w:tcPr>
            <w:tcW w:type="dxa" w:w="2304"/>
            <w:vAlign w:val="top"/>
          </w:tcPr>
          <w:p>
            <w:pPr>
              <w:spacing w:after="20"/>
            </w:pPr>
            <w:r/>
            <w:r>
              <w:rPr>
                <w:rFonts w:ascii="Arial" w:hAnsi="Arial" w:eastAsia="Arial"/>
                <w:b w:val="0"/>
                <w:sz w:val="14"/>
              </w:rPr>
              <w:t>AI Systems DRI.</w:t>
            </w:r>
          </w:p>
        </w:tc>
      </w:tr>
    </w:tbl>
    <w:p>
      <w:pPr>
        <w:pStyle w:val="Small"/>
      </w:pPr>
    </w:p>
    <w:p>
      <w:pPr>
        <w:pStyle w:val="Heading1"/>
      </w:pPr>
      <w:r>
        <w:t>Appendix E - Reference Architecture Checklist</w:t>
      </w:r>
    </w:p>
    <w:p>
      <w:pPr>
        <w:pStyle w:val="ListBullet"/>
        <w:ind w:left="317"/>
      </w:pPr>
      <w:r>
        <w:t>Identity: SSO, MFA, role-based access, least privilege.</w:t>
      </w:r>
    </w:p>
    <w:p>
      <w:pPr>
        <w:pStyle w:val="ListBullet"/>
        <w:ind w:left="317"/>
      </w:pPr>
      <w:r>
        <w:t>Data: medical domain, growth domain, event layer, analytics layer, audit logs.</w:t>
      </w:r>
    </w:p>
    <w:p>
      <w:pPr>
        <w:pStyle w:val="ListBullet"/>
        <w:ind w:left="317"/>
      </w:pPr>
      <w:r>
        <w:t>Contracts: BAA register, covered services list, endpoint/feature eligibility, subcontractor review.</w:t>
      </w:r>
    </w:p>
    <w:p>
      <w:pPr>
        <w:pStyle w:val="ListBullet"/>
        <w:ind w:left="317"/>
      </w:pPr>
      <w:r>
        <w:t>AI: approved model/vendor list, retention settings, prompt/output logging, eval sets, red-team tests.</w:t>
      </w:r>
    </w:p>
    <w:p>
      <w:pPr>
        <w:pStyle w:val="ListBullet"/>
        <w:ind w:left="317"/>
      </w:pPr>
      <w:r>
        <w:t>Clinical: clinician approval flows, red flag escalation, documentation review, SOP alignment.</w:t>
      </w:r>
    </w:p>
    <w:p>
      <w:pPr>
        <w:pStyle w:val="ListBullet"/>
        <w:ind w:left="317"/>
      </w:pPr>
      <w:r>
        <w:t>Patient communications: approved scripts, consent/disclosure, opt-out handling, escalation logic.</w:t>
      </w:r>
    </w:p>
    <w:p>
      <w:pPr>
        <w:pStyle w:val="ListBullet"/>
        <w:ind w:left="317"/>
      </w:pPr>
      <w:r>
        <w:t>Security: encryption, backups, DLP, incident response, access reviews, device controls.</w:t>
      </w:r>
    </w:p>
    <w:p>
      <w:pPr>
        <w:pStyle w:val="ListBullet"/>
        <w:ind w:left="317"/>
      </w:pPr>
      <w:r>
        <w:t>Operations: dashboards, daily briefs, weekly reviews, ownership map, corrective action tracking.</w:t>
      </w:r>
    </w:p>
    <w:p>
      <w:pPr>
        <w:pStyle w:val="ListBullet"/>
        <w:ind w:left="317"/>
      </w:pPr>
      <w:r>
        <w:t>Software factory: specs, tests, release notes, rollback plans, monitoring.</w:t>
      </w:r>
    </w:p>
    <w:p>
      <w:pPr>
        <w:pStyle w:val="Heading1"/>
      </w:pPr>
      <w:r>
        <w:t>Appendix F - References</w:t>
      </w:r>
    </w:p>
    <w:p>
      <w:pPr>
        <w:pStyle w:val="Small"/>
      </w:pPr>
      <w:r>
        <w:rPr>
          <w:b/>
        </w:rPr>
        <w:t xml:space="preserve">[R1] HHS - Summary of the HIPAA Security Rule - </w:t>
      </w:r>
      <w:hyperlink r:id="rId10">
        <w:r>
          <w:rPr>
            <w:color w:val="0563C1"/>
            <w:u w:val="single"/>
          </w:rPr>
          <w:t>https://www.hhs.gov/hipaa/for-professionals/security/laws-regulations/index.html</w:t>
        </w:r>
      </w:hyperlink>
    </w:p>
    <w:p>
      <w:pPr>
        <w:pStyle w:val="Small"/>
      </w:pPr>
      <w:r>
        <w:rPr>
          <w:b/>
        </w:rPr>
        <w:t xml:space="preserve">[R2] HHS - The HIPAA Security Rule - </w:t>
      </w:r>
      <w:hyperlink r:id="rId11">
        <w:r>
          <w:rPr>
            <w:color w:val="0563C1"/>
            <w:u w:val="single"/>
          </w:rPr>
          <w:t>https://www.hhs.gov/hipaa/for-professionals/security/index.html</w:t>
        </w:r>
      </w:hyperlink>
    </w:p>
    <w:p>
      <w:pPr>
        <w:pStyle w:val="Small"/>
      </w:pPr>
      <w:r>
        <w:rPr>
          <w:b/>
        </w:rPr>
        <w:t xml:space="preserve">[R3] HHS - The HIPAA Privacy Rule - </w:t>
      </w:r>
      <w:hyperlink r:id="rId12">
        <w:r>
          <w:rPr>
            <w:color w:val="0563C1"/>
            <w:u w:val="single"/>
          </w:rPr>
          <w:t>https://www.hhs.gov/hipaa/for-professionals/privacy/index.html</w:t>
        </w:r>
      </w:hyperlink>
    </w:p>
    <w:p>
      <w:pPr>
        <w:pStyle w:val="Small"/>
      </w:pPr>
      <w:r>
        <w:rPr>
          <w:b/>
        </w:rPr>
        <w:t xml:space="preserve">[R4] HHS - Business Associates and Business Associate Contracts - </w:t>
      </w:r>
      <w:hyperlink r:id="rId13">
        <w:r>
          <w:rPr>
            <w:color w:val="0563C1"/>
            <w:u w:val="single"/>
          </w:rPr>
          <w:t>https://www.hhs.gov/hipaa/for-professionals/privacy/guidance/business-associates/index.html</w:t>
        </w:r>
      </w:hyperlink>
    </w:p>
    <w:p>
      <w:pPr>
        <w:pStyle w:val="Small"/>
      </w:pPr>
      <w:r>
        <w:rPr>
          <w:b/>
        </w:rPr>
        <w:t xml:space="preserve">[R5] FDA - Clinical Decision Support Software Guidance for Industry and FDA Staff, January 2026 - </w:t>
      </w:r>
      <w:hyperlink r:id="rId14">
        <w:r>
          <w:rPr>
            <w:color w:val="0563C1"/>
            <w:u w:val="single"/>
          </w:rPr>
          <w:t>https://www.fda.gov/regulatory-information/search-fda-guidance-documents/clinical-decision-support-software</w:t>
        </w:r>
      </w:hyperlink>
    </w:p>
    <w:p>
      <w:pPr>
        <w:pStyle w:val="Small"/>
      </w:pPr>
      <w:r>
        <w:rPr>
          <w:b/>
        </w:rPr>
        <w:t xml:space="preserve">[R6] CDC - Infection Prevention and Control in Dental Settings - </w:t>
      </w:r>
      <w:hyperlink r:id="rId15">
        <w:r>
          <w:rPr>
            <w:color w:val="0563C1"/>
            <w:u w:val="single"/>
          </w:rPr>
          <w:t>https://www.cdc.gov/dental-infection-control/hcp/index.html</w:t>
        </w:r>
      </w:hyperlink>
    </w:p>
    <w:p>
      <w:pPr>
        <w:pStyle w:val="Small"/>
      </w:pPr>
      <w:r>
        <w:rPr>
          <w:b/>
        </w:rPr>
        <w:t xml:space="preserve">[R7] CDC - Summary of Infection Prevention Practices in Dental Settings - </w:t>
      </w:r>
      <w:hyperlink r:id="rId16">
        <w:r>
          <w:rPr>
            <w:color w:val="0563C1"/>
            <w:u w:val="single"/>
          </w:rPr>
          <w:t>https://www.cdc.gov/dental-infection-control/hcp/summary/</w:t>
        </w:r>
      </w:hyperlink>
    </w:p>
    <w:p>
      <w:pPr>
        <w:pStyle w:val="Small"/>
      </w:pPr>
      <w:r>
        <w:rPr>
          <w:b/>
        </w:rPr>
        <w:t xml:space="preserve">[R8] OSHA - Dentistry Overview - </w:t>
      </w:r>
      <w:hyperlink r:id="rId17">
        <w:r>
          <w:rPr>
            <w:color w:val="0563C1"/>
            <w:u w:val="single"/>
          </w:rPr>
          <w:t>https://www.osha.gov/dentistry</w:t>
        </w:r>
      </w:hyperlink>
    </w:p>
    <w:p>
      <w:pPr>
        <w:pStyle w:val="Small"/>
      </w:pPr>
      <w:r>
        <w:rPr>
          <w:b/>
        </w:rPr>
        <w:t xml:space="preserve">[R9] NIST - AI Risk Management Framework - </w:t>
      </w:r>
      <w:hyperlink r:id="rId18">
        <w:r>
          <w:rPr>
            <w:color w:val="0563C1"/>
            <w:u w:val="single"/>
          </w:rPr>
          <w:t>https://www.nist.gov/itl/ai-risk-management-framework</w:t>
        </w:r>
      </w:hyperlink>
    </w:p>
    <w:p>
      <w:pPr>
        <w:pStyle w:val="Small"/>
      </w:pPr>
      <w:r>
        <w:rPr>
          <w:b/>
        </w:rPr>
        <w:t xml:space="preserve">[R10] NIST - Artificial Intelligence Risk Management Framework: Generative AI Profile - </w:t>
      </w:r>
      <w:hyperlink r:id="rId19">
        <w:r>
          <w:rPr>
            <w:color w:val="0563C1"/>
            <w:u w:val="single"/>
          </w:rPr>
          <w:t>https://www.nist.gov/publications/artificial-intelligence-risk-management-framework-generative-artificial-intelligence</w:t>
        </w:r>
      </w:hyperlink>
    </w:p>
    <w:p>
      <w:pPr>
        <w:pStyle w:val="Small"/>
      </w:pPr>
      <w:r>
        <w:rPr>
          <w:b/>
        </w:rPr>
        <w:t xml:space="preserve">[R11] OpenAI Help Center - Business Associate Agreement for API Services - </w:t>
      </w:r>
      <w:hyperlink r:id="rId20">
        <w:r>
          <w:rPr>
            <w:color w:val="0563C1"/>
            <w:u w:val="single"/>
          </w:rPr>
          <w:t>https://help.openai.com/en/articles/8660679-how-can-i-get-a-business-associate</w:t>
        </w:r>
      </w:hyperlink>
    </w:p>
    <w:p>
      <w:pPr>
        <w:pStyle w:val="Small"/>
      </w:pPr>
      <w:r>
        <w:rPr>
          <w:b/>
        </w:rPr>
        <w:t xml:space="preserve">[R12] OpenAI API Documentation - Data controls in the OpenAI platform - </w:t>
      </w:r>
      <w:hyperlink r:id="rId21">
        <w:r>
          <w:rPr>
            <w:color w:val="0563C1"/>
            <w:u w:val="single"/>
          </w:rPr>
          <w:t>https://platform.openai.com/docs/models/how-we-use-your-data</w:t>
        </w:r>
      </w:hyperlink>
    </w:p>
    <w:p>
      <w:pPr>
        <w:pStyle w:val="Small"/>
      </w:pPr>
      <w:r>
        <w:rPr>
          <w:b/>
        </w:rPr>
        <w:t xml:space="preserve">[R13] Google Cloud - HIPAA Compliance - </w:t>
      </w:r>
      <w:hyperlink r:id="rId22">
        <w:r>
          <w:rPr>
            <w:color w:val="0563C1"/>
            <w:u w:val="single"/>
          </w:rPr>
          <w:t>https://cloud.google.com/security/compliance/hipaa-compliance</w:t>
        </w:r>
      </w:hyperlink>
    </w:p>
    <w:p>
      <w:pPr>
        <w:pStyle w:val="Small"/>
      </w:pPr>
      <w:r>
        <w:rPr>
          <w:b/>
        </w:rPr>
        <w:t xml:space="preserve">[R14] Google Cloud Platform HIPAA Business Associate Addendum - </w:t>
      </w:r>
      <w:hyperlink r:id="rId23">
        <w:r>
          <w:rPr>
            <w:color w:val="0563C1"/>
            <w:u w:val="single"/>
          </w:rPr>
          <w:t>https://cloud.google.com/terms/hipaa-baa</w:t>
        </w:r>
      </w:hyperlink>
    </w:p>
    <w:p>
      <w:pPr>
        <w:pStyle w:val="Small"/>
      </w:pPr>
      <w:r>
        <w:rPr>
          <w:b/>
        </w:rPr>
        <w:t xml:space="preserve">[R15] Anthropic Help Center - Business Associate Agreements for Commercial Customers - </w:t>
      </w:r>
      <w:hyperlink r:id="rId24">
        <w:r>
          <w:rPr>
            <w:color w:val="0563C1"/>
            <w:u w:val="single"/>
          </w:rPr>
          <w:t>https://support.anthropic.com/en/articles/8114513-business-associate-agreements-baa-for-commercial-customers</w:t>
        </w:r>
      </w:hyperlink>
    </w:p>
    <w:p>
      <w:pPr>
        <w:pStyle w:val="Small"/>
      </w:pPr>
      <w:r>
        <w:rPr>
          <w:b/>
        </w:rPr>
        <w:t xml:space="preserve">[R16] Anthropic Docs - Claude Code Legal and Compliance - </w:t>
      </w:r>
      <w:hyperlink r:id="rId25">
        <w:r>
          <w:rPr>
            <w:color w:val="0563C1"/>
            <w:u w:val="single"/>
          </w:rPr>
          <w:t>https://docs.anthropic.com/en/docs/claude-code/legal-and-compliance</w:t>
        </w:r>
      </w:hyperlink>
    </w:p>
    <w:p>
      <w:r>
        <w:br w:type="page"/>
      </w:r>
    </w:p>
    <w:p>
      <w:pPr>
        <w:pStyle w:val="Heading1"/>
      </w:pPr>
      <w:r>
        <w:t>Appendix G - Glossary</w:t>
      </w:r>
    </w:p>
    <w:tbl>
      <w:tblPr>
        <w:tblStyle w:val="TableGrid"/>
        <w:tblW w:type="auto" w:w="0"/>
        <w:jc w:val="center"/>
        <w:tblLook w:firstColumn="1" w:firstRow="1" w:lastColumn="0" w:lastRow="0" w:noHBand="0" w:noVBand="1" w:val="04A0"/>
      </w:tblPr>
      <w:tblGrid>
        <w:gridCol w:w="4997"/>
        <w:gridCol w:w="4997"/>
      </w:tblGrid>
      <w:tr>
        <w:tc>
          <w:tcPr>
            <w:tcW w:type="dxa" w:w="2592"/>
            <w:shd w:fill="D9EAF7"/>
            <w:vAlign w:val="center"/>
          </w:tcPr>
          <w:p>
            <w:pPr>
              <w:spacing w:after="20"/>
            </w:pPr>
            <w:r/>
            <w:r>
              <w:rPr>
                <w:rFonts w:ascii="Arial" w:hAnsi="Arial" w:eastAsia="Arial"/>
                <w:b/>
                <w:color w:val="1F4E79"/>
                <w:sz w:val="15"/>
              </w:rPr>
              <w:t>Term</w:t>
            </w:r>
          </w:p>
        </w:tc>
        <w:tc>
          <w:tcPr>
            <w:tcW w:type="dxa" w:w="7920"/>
            <w:shd w:fill="D9EAF7"/>
            <w:vAlign w:val="center"/>
          </w:tcPr>
          <w:p>
            <w:pPr>
              <w:spacing w:after="20"/>
            </w:pPr>
            <w:r/>
            <w:r>
              <w:rPr>
                <w:rFonts w:ascii="Arial" w:hAnsi="Arial" w:eastAsia="Arial"/>
                <w:b/>
                <w:color w:val="1F4E79"/>
                <w:sz w:val="15"/>
              </w:rPr>
              <w:t>Meaning in this document</w:t>
            </w:r>
          </w:p>
        </w:tc>
      </w:tr>
      <w:tr>
        <w:tc>
          <w:tcPr>
            <w:tcW w:type="dxa" w:w="2592"/>
            <w:vAlign w:val="top"/>
          </w:tcPr>
          <w:p>
            <w:pPr>
              <w:spacing w:after="20"/>
            </w:pPr>
            <w:r/>
            <w:r>
              <w:rPr>
                <w:rFonts w:ascii="Arial" w:hAnsi="Arial" w:eastAsia="Arial"/>
                <w:b w:val="0"/>
                <w:sz w:val="15"/>
              </w:rPr>
              <w:t>AI-native</w:t>
            </w:r>
          </w:p>
        </w:tc>
        <w:tc>
          <w:tcPr>
            <w:tcW w:type="dxa" w:w="7920"/>
            <w:vAlign w:val="top"/>
          </w:tcPr>
          <w:p>
            <w:pPr>
              <w:spacing w:after="20"/>
            </w:pPr>
            <w:r/>
            <w:r>
              <w:rPr>
                <w:rFonts w:ascii="Arial" w:hAnsi="Arial" w:eastAsia="Arial"/>
                <w:b w:val="0"/>
                <w:sz w:val="15"/>
              </w:rPr>
              <w:t>A company design where AI is embedded into core workflows, decisions, data capture, feedback loops, and operating cadence from day one.</w:t>
            </w:r>
          </w:p>
        </w:tc>
      </w:tr>
      <w:tr>
        <w:tc>
          <w:tcPr>
            <w:tcW w:type="dxa" w:w="2592"/>
            <w:vAlign w:val="top"/>
          </w:tcPr>
          <w:p>
            <w:pPr>
              <w:spacing w:after="20"/>
            </w:pPr>
            <w:r/>
            <w:r>
              <w:rPr>
                <w:rFonts w:ascii="Arial" w:hAnsi="Arial" w:eastAsia="Arial"/>
                <w:b w:val="0"/>
                <w:sz w:val="15"/>
              </w:rPr>
              <w:t>Closed loop</w:t>
            </w:r>
          </w:p>
        </w:tc>
        <w:tc>
          <w:tcPr>
            <w:tcW w:type="dxa" w:w="7920"/>
            <w:vAlign w:val="top"/>
          </w:tcPr>
          <w:p>
            <w:pPr>
              <w:spacing w:after="20"/>
            </w:pPr>
            <w:r/>
            <w:r>
              <w:rPr>
                <w:rFonts w:ascii="Arial" w:hAnsi="Arial" w:eastAsia="Arial"/>
                <w:b w:val="0"/>
                <w:sz w:val="15"/>
              </w:rPr>
              <w:t>A process that captures outputs and outcomes, feeds them back into the system, and improves the next cycle.</w:t>
            </w:r>
          </w:p>
        </w:tc>
      </w:tr>
      <w:tr>
        <w:tc>
          <w:tcPr>
            <w:tcW w:type="dxa" w:w="2592"/>
            <w:vAlign w:val="top"/>
          </w:tcPr>
          <w:p>
            <w:pPr>
              <w:spacing w:after="20"/>
            </w:pPr>
            <w:r/>
            <w:r>
              <w:rPr>
                <w:rFonts w:ascii="Arial" w:hAnsi="Arial" w:eastAsia="Arial"/>
                <w:b w:val="0"/>
                <w:sz w:val="15"/>
              </w:rPr>
              <w:t>Queryable company</w:t>
            </w:r>
          </w:p>
        </w:tc>
        <w:tc>
          <w:tcPr>
            <w:tcW w:type="dxa" w:w="7920"/>
            <w:vAlign w:val="top"/>
          </w:tcPr>
          <w:p>
            <w:pPr>
              <w:spacing w:after="20"/>
            </w:pPr>
            <w:r/>
            <w:r>
              <w:rPr>
                <w:rFonts w:ascii="Arial" w:hAnsi="Arial" w:eastAsia="Arial"/>
                <w:b w:val="0"/>
                <w:sz w:val="15"/>
              </w:rPr>
              <w:t>An organization whose key processes, artifacts, and outcomes can be inspected by authorized humans and AI agents.</w:t>
            </w:r>
          </w:p>
        </w:tc>
      </w:tr>
      <w:tr>
        <w:tc>
          <w:tcPr>
            <w:tcW w:type="dxa" w:w="2592"/>
            <w:vAlign w:val="top"/>
          </w:tcPr>
          <w:p>
            <w:pPr>
              <w:spacing w:after="20"/>
            </w:pPr>
            <w:r/>
            <w:r>
              <w:rPr>
                <w:rFonts w:ascii="Arial" w:hAnsi="Arial" w:eastAsia="Arial"/>
                <w:b w:val="0"/>
                <w:sz w:val="15"/>
              </w:rPr>
              <w:t>Artifact-rich work</w:t>
            </w:r>
          </w:p>
        </w:tc>
        <w:tc>
          <w:tcPr>
            <w:tcW w:type="dxa" w:w="7920"/>
            <w:vAlign w:val="top"/>
          </w:tcPr>
          <w:p>
            <w:pPr>
              <w:spacing w:after="20"/>
            </w:pPr>
            <w:r/>
            <w:r>
              <w:rPr>
                <w:rFonts w:ascii="Arial" w:hAnsi="Arial" w:eastAsia="Arial"/>
                <w:b w:val="0"/>
                <w:sz w:val="15"/>
              </w:rPr>
              <w:t>A culture where every important action creates a structured record that can be used for accountability and learning.</w:t>
            </w:r>
          </w:p>
        </w:tc>
      </w:tr>
      <w:tr>
        <w:tc>
          <w:tcPr>
            <w:tcW w:type="dxa" w:w="2592"/>
            <w:vAlign w:val="top"/>
          </w:tcPr>
          <w:p>
            <w:pPr>
              <w:spacing w:after="20"/>
            </w:pPr>
            <w:r/>
            <w:r>
              <w:rPr>
                <w:rFonts w:ascii="Arial" w:hAnsi="Arial" w:eastAsia="Arial"/>
                <w:b w:val="0"/>
                <w:sz w:val="15"/>
              </w:rPr>
              <w:t>DRI</w:t>
            </w:r>
          </w:p>
        </w:tc>
        <w:tc>
          <w:tcPr>
            <w:tcW w:type="dxa" w:w="7920"/>
            <w:vAlign w:val="top"/>
          </w:tcPr>
          <w:p>
            <w:pPr>
              <w:spacing w:after="20"/>
            </w:pPr>
            <w:r/>
            <w:r>
              <w:rPr>
                <w:rFonts w:ascii="Arial" w:hAnsi="Arial" w:eastAsia="Arial"/>
                <w:b w:val="0"/>
                <w:sz w:val="15"/>
              </w:rPr>
              <w:t>Directly Responsible Individual. One person accountable for a measurable outcome.</w:t>
            </w:r>
          </w:p>
        </w:tc>
      </w:tr>
      <w:tr>
        <w:tc>
          <w:tcPr>
            <w:tcW w:type="dxa" w:w="2592"/>
            <w:vAlign w:val="top"/>
          </w:tcPr>
          <w:p>
            <w:pPr>
              <w:spacing w:after="20"/>
            </w:pPr>
            <w:r/>
            <w:r>
              <w:rPr>
                <w:rFonts w:ascii="Arial" w:hAnsi="Arial" w:eastAsia="Arial"/>
                <w:b w:val="0"/>
                <w:sz w:val="15"/>
              </w:rPr>
              <w:t>PHI/ePHI</w:t>
            </w:r>
          </w:p>
        </w:tc>
        <w:tc>
          <w:tcPr>
            <w:tcW w:type="dxa" w:w="7920"/>
            <w:vAlign w:val="top"/>
          </w:tcPr>
          <w:p>
            <w:pPr>
              <w:spacing w:after="20"/>
            </w:pPr>
            <w:r/>
            <w:r>
              <w:rPr>
                <w:rFonts w:ascii="Arial" w:hAnsi="Arial" w:eastAsia="Arial"/>
                <w:b w:val="0"/>
                <w:sz w:val="15"/>
              </w:rPr>
              <w:t>Protected health information / electronic protected health information.</w:t>
            </w:r>
          </w:p>
        </w:tc>
      </w:tr>
      <w:tr>
        <w:tc>
          <w:tcPr>
            <w:tcW w:type="dxa" w:w="2592"/>
            <w:vAlign w:val="top"/>
          </w:tcPr>
          <w:p>
            <w:pPr>
              <w:spacing w:after="20"/>
            </w:pPr>
            <w:r/>
            <w:r>
              <w:rPr>
                <w:rFonts w:ascii="Arial" w:hAnsi="Arial" w:eastAsia="Arial"/>
                <w:b w:val="0"/>
                <w:sz w:val="15"/>
              </w:rPr>
              <w:t>BAA</w:t>
            </w:r>
          </w:p>
        </w:tc>
        <w:tc>
          <w:tcPr>
            <w:tcW w:type="dxa" w:w="7920"/>
            <w:vAlign w:val="top"/>
          </w:tcPr>
          <w:p>
            <w:pPr>
              <w:spacing w:after="20"/>
            </w:pPr>
            <w:r/>
            <w:r>
              <w:rPr>
                <w:rFonts w:ascii="Arial" w:hAnsi="Arial" w:eastAsia="Arial"/>
                <w:b w:val="0"/>
                <w:sz w:val="15"/>
              </w:rPr>
              <w:t>Business Associate Agreement, required for vendors that handle PHI on behalf of covered entities or business associates under HIPAA.</w:t>
            </w:r>
          </w:p>
        </w:tc>
      </w:tr>
      <w:tr>
        <w:tc>
          <w:tcPr>
            <w:tcW w:type="dxa" w:w="2592"/>
            <w:vAlign w:val="top"/>
          </w:tcPr>
          <w:p>
            <w:pPr>
              <w:spacing w:after="20"/>
            </w:pPr>
            <w:r/>
            <w:r>
              <w:rPr>
                <w:rFonts w:ascii="Arial" w:hAnsi="Arial" w:eastAsia="Arial"/>
                <w:b w:val="0"/>
                <w:sz w:val="15"/>
              </w:rPr>
              <w:t>ZDR</w:t>
            </w:r>
          </w:p>
        </w:tc>
        <w:tc>
          <w:tcPr>
            <w:tcW w:type="dxa" w:w="7920"/>
            <w:vAlign w:val="top"/>
          </w:tcPr>
          <w:p>
            <w:pPr>
              <w:spacing w:after="20"/>
            </w:pPr>
            <w:r/>
            <w:r>
              <w:rPr>
                <w:rFonts w:ascii="Arial" w:hAnsi="Arial" w:eastAsia="Arial"/>
                <w:b w:val="0"/>
                <w:sz w:val="15"/>
              </w:rPr>
              <w:t>Zero Data Retention or equivalent vendor-specific retention mode. Must be verified by vendor, service, endpoint, and feature.</w:t>
            </w:r>
          </w:p>
        </w:tc>
      </w:tr>
      <w:tr>
        <w:tc>
          <w:tcPr>
            <w:tcW w:type="dxa" w:w="2592"/>
            <w:vAlign w:val="top"/>
          </w:tcPr>
          <w:p>
            <w:pPr>
              <w:spacing w:after="20"/>
            </w:pPr>
            <w:r/>
            <w:r>
              <w:rPr>
                <w:rFonts w:ascii="Arial" w:hAnsi="Arial" w:eastAsia="Arial"/>
                <w:b w:val="0"/>
                <w:sz w:val="15"/>
              </w:rPr>
              <w:t>Clinical decision support</w:t>
            </w:r>
          </w:p>
        </w:tc>
        <w:tc>
          <w:tcPr>
            <w:tcW w:type="dxa" w:w="7920"/>
            <w:vAlign w:val="top"/>
          </w:tcPr>
          <w:p>
            <w:pPr>
              <w:spacing w:after="20"/>
            </w:pPr>
            <w:r/>
            <w:r>
              <w:rPr>
                <w:rFonts w:ascii="Arial" w:hAnsi="Arial" w:eastAsia="Arial"/>
                <w:b w:val="0"/>
                <w:sz w:val="15"/>
              </w:rPr>
              <w:t>Software functionality that supports clinical decisions; some functions may be excluded from FDA device definition while others remain regulated. Requires review.</w:t>
            </w:r>
          </w:p>
        </w:tc>
      </w:tr>
      <w:tr>
        <w:tc>
          <w:tcPr>
            <w:tcW w:type="dxa" w:w="2592"/>
            <w:vAlign w:val="top"/>
          </w:tcPr>
          <w:p>
            <w:pPr>
              <w:spacing w:after="20"/>
            </w:pPr>
            <w:r/>
            <w:r>
              <w:rPr>
                <w:rFonts w:ascii="Arial" w:hAnsi="Arial" w:eastAsia="Arial"/>
                <w:b w:val="0"/>
                <w:sz w:val="15"/>
              </w:rPr>
              <w:t>Software factory</w:t>
            </w:r>
          </w:p>
        </w:tc>
        <w:tc>
          <w:tcPr>
            <w:tcW w:type="dxa" w:w="7920"/>
            <w:vAlign w:val="top"/>
          </w:tcPr>
          <w:p>
            <w:pPr>
              <w:spacing w:after="20"/>
            </w:pPr>
            <w:r/>
            <w:r>
              <w:rPr>
                <w:rFonts w:ascii="Arial" w:hAnsi="Arial" w:eastAsia="Arial"/>
                <w:b w:val="0"/>
                <w:sz w:val="15"/>
              </w:rPr>
              <w:t>Development model where humans define specs and tests, and AI agents help implement, validate, and iterate.</w:t>
            </w:r>
          </w:p>
        </w:tc>
      </w:tr>
    </w:tbl>
    <w:p>
      <w:pPr>
        <w:pStyle w:val="Small"/>
      </w:pPr>
    </w:p>
    <w:sectPr>
      <w:footerReference w:type="default" r:id="rId9"/>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5"/>
      </w:rPr>
      <w:t>AI-Native Dental Implant Clinic OS - Foundational White Paper v0.1 - Confidential Strategic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80"/>
    </w:pPr>
    <w:rPr>
      <w:rFonts w:ascii="Arial" w:hAnsi="Arial" w:eastAsia="Arial"/>
      <w:b w:val="0"/>
      <w:i w:val="0"/>
      <w:color w:val="595959"/>
      <w:sz w:val="16"/>
    </w:rPr>
  </w:style>
  <w:style w:type="paragraph" w:customStyle="1" w:styleId="Callout">
    <w:name w:val="Callout"/>
    <w:basedOn w:val="Normal"/>
    <w:pPr>
      <w:spacing w:after="80"/>
    </w:pPr>
    <w:rPr>
      <w:rFonts w:ascii="Arial" w:hAnsi="Arial" w:eastAsia="Arial"/>
      <w:b w:val="0"/>
      <w:i w:val="0"/>
      <w:color w:val="000000"/>
      <w:sz w:val="19"/>
    </w:rPr>
  </w:style>
  <w:style w:type="paragraph" w:customStyle="1" w:styleId="CodeBlock">
    <w:name w:val="CodeBlock"/>
    <w:basedOn w:val="Normal"/>
    <w:pPr>
      <w:spacing w:after="80"/>
    </w:pPr>
    <w:rPr>
      <w:rFonts w:ascii="Courier New" w:hAnsi="Courier New" w:eastAsia="Courier New"/>
      <w:b w:val="0"/>
      <w:i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hhs.gov/hipaa/for-professionals/security/laws-regulations/index.html" TargetMode="External"/><Relationship Id="rId11" Type="http://schemas.openxmlformats.org/officeDocument/2006/relationships/hyperlink" Target="https://www.hhs.gov/hipaa/for-professionals/security/index.html" TargetMode="External"/><Relationship Id="rId12" Type="http://schemas.openxmlformats.org/officeDocument/2006/relationships/hyperlink" Target="https://www.hhs.gov/hipaa/for-professionals/privacy/index.html" TargetMode="External"/><Relationship Id="rId13" Type="http://schemas.openxmlformats.org/officeDocument/2006/relationships/hyperlink" Target="https://www.hhs.gov/hipaa/for-professionals/privacy/guidance/business-associates/index.html" TargetMode="External"/><Relationship Id="rId14" Type="http://schemas.openxmlformats.org/officeDocument/2006/relationships/hyperlink" Target="https://www.fda.gov/regulatory-information/search-fda-guidance-documents/clinical-decision-support-software" TargetMode="External"/><Relationship Id="rId15" Type="http://schemas.openxmlformats.org/officeDocument/2006/relationships/hyperlink" Target="https://www.cdc.gov/dental-infection-control/hcp/index.html" TargetMode="External"/><Relationship Id="rId16" Type="http://schemas.openxmlformats.org/officeDocument/2006/relationships/hyperlink" Target="https://www.cdc.gov/dental-infection-control/hcp/summary/" TargetMode="External"/><Relationship Id="rId17" Type="http://schemas.openxmlformats.org/officeDocument/2006/relationships/hyperlink" Target="https://www.osha.gov/dentistry" TargetMode="External"/><Relationship Id="rId18" Type="http://schemas.openxmlformats.org/officeDocument/2006/relationships/hyperlink" Target="https://www.nist.gov/itl/ai-risk-management-framework" TargetMode="External"/><Relationship Id="rId19" Type="http://schemas.openxmlformats.org/officeDocument/2006/relationships/hyperlink" Target="https://www.nist.gov/publications/artificial-intelligence-risk-management-framework-generative-artificial-intelligence" TargetMode="External"/><Relationship Id="rId20" Type="http://schemas.openxmlformats.org/officeDocument/2006/relationships/hyperlink" Target="https://help.openai.com/en/articles/8660679-how-can-i-get-a-business-associate" TargetMode="External"/><Relationship Id="rId21" Type="http://schemas.openxmlformats.org/officeDocument/2006/relationships/hyperlink" Target="https://platform.openai.com/docs/models/how-we-use-your-data" TargetMode="External"/><Relationship Id="rId22" Type="http://schemas.openxmlformats.org/officeDocument/2006/relationships/hyperlink" Target="https://cloud.google.com/security/compliance/hipaa-compliance" TargetMode="External"/><Relationship Id="rId23" Type="http://schemas.openxmlformats.org/officeDocument/2006/relationships/hyperlink" Target="https://cloud.google.com/terms/hipaa-baa" TargetMode="External"/><Relationship Id="rId24" Type="http://schemas.openxmlformats.org/officeDocument/2006/relationships/hyperlink" Target="https://support.anthropic.com/en/articles/8114513-business-associate-agreements-baa-for-commercial-customers" TargetMode="External"/><Relationship Id="rId25" Type="http://schemas.openxmlformats.org/officeDocument/2006/relationships/hyperlink" Target="https://docs.anthropic.com/en/docs/claude-code/legal-and-compli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