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pPr>
      <w:r>
        <w:rPr>
          <w:rFonts w:ascii="Calibri" w:cs="Calibri" w:eastAsia="Calibri" w:hAnsi="Calibri"/>
          <w:b/>
          <w:bCs/>
          <w:caps/>
          <w:color w:val="0b7a6e"/>
          <w:sz w:val="22"/>
          <w:szCs w:val="22"/>
        </w:rPr>
        <w:t xml:space="preserve">RESEARCH SYNTHESIS</w:t>
      </w:r>
    </w:p>
    <w:p>
      <w:pPr>
        <w:spacing w:after="160"/>
      </w:pPr>
      <w:r>
        <w:rPr>
          <w:rFonts w:ascii="Calibri" w:cs="Calibri" w:eastAsia="Calibri" w:hAnsi="Calibri"/>
          <w:b/>
          <w:bCs/>
          <w:color w:val="13233f"/>
          <w:sz w:val="44"/>
          <w:szCs w:val="44"/>
        </w:rPr>
        <w:t xml:space="preserve">Agentic AI in Alternative Asset Operations and the Audit &amp; Attest Function</w:t>
      </w:r>
    </w:p>
    <w:p>
      <w:pPr>
        <w:spacing w:after="300"/>
      </w:pPr>
      <w:r>
        <w:rPr>
          <w:rFonts w:ascii="Calibri" w:cs="Calibri" w:eastAsia="Calibri" w:hAnsi="Calibri"/>
          <w:i/>
          <w:iCs/>
          <w:color w:val="5a6577"/>
          <w:sz w:val="24"/>
          <w:szCs w:val="24"/>
        </w:rPr>
        <w:t xml:space="preserve">Where the Market Stands, What Remains Unsolved, and How the FundLens Suite and FundLens Audit Are Designed to Address the Gap</w:t>
      </w:r>
    </w:p>
    <w:p>
      <w:pPr>
        <w:pBdr>
          <w:bottom w:val="single" w:color="c4ccd6" w:sz="4" w:space="2"/>
        </w:pBdr>
        <w:spacing w:after="80" w:before="80"/>
      </w:pPr>
      <w:r>
        <w:t xml:space="preserve"/>
      </w:r>
    </w:p>
    <w:p>
      <w:pPr>
        <w:spacing w:after="60" w:before="60" w:line="300"/>
      </w:pPr>
      <w:r>
        <w:rPr>
          <w:rFonts w:ascii="Calibri" w:cs="Calibri" w:eastAsia="Calibri" w:hAnsi="Calibri"/>
          <w:color w:val="5a6577"/>
          <w:sz w:val="21"/>
          <w:szCs w:val="21"/>
        </w:rPr>
        <w:t xml:space="preserve">Prepared by </w:t>
      </w:r>
      <w:r>
        <w:rPr>
          <w:rFonts w:ascii="Calibri" w:cs="Calibri" w:eastAsia="Calibri" w:hAnsi="Calibri"/>
          <w:b/>
          <w:bCs/>
          <w:color w:val="13233f"/>
          <w:sz w:val="21"/>
          <w:szCs w:val="21"/>
        </w:rPr>
        <w:t xml:space="preserve">DeciFin</w:t>
      </w:r>
      <w:r>
        <w:rPr>
          <w:rFonts w:ascii="Calibri" w:cs="Calibri" w:eastAsia="Calibri" w:hAnsi="Calibri"/>
          <w:color w:val="5a6577"/>
          <w:sz w:val="21"/>
          <w:szCs w:val="21"/>
        </w:rPr>
        <w:t xml:space="preserve">  ·  FundLens Suite  ·  v1.0  ·  May 2026</w:t>
      </w:r>
    </w:p>
    <w:p>
      <w:pPr>
        <w:spacing w:after="300" w:before="60" w:line="300"/>
      </w:pPr>
      <w:r>
        <w:rPr>
          <w:rFonts w:ascii="Calibri" w:cs="Calibri" w:eastAsia="Calibri" w:hAnsi="Calibri"/>
          <w:i/>
          <w:iCs/>
          <w:color w:val="5a6577"/>
          <w:sz w:val="19"/>
          <w:szCs w:val="19"/>
        </w:rPr>
        <w:t xml:space="preserve">A practitioner synthesis written from direct experience on both sides of the engagement — audit and fund administration.</w:t>
      </w:r>
    </w:p>
    <w:p>
      <w:pPr>
        <w:pBdr>
          <w:bottom w:val="single" w:color="c4ccd6" w:sz="4" w:space="2"/>
        </w:pBdr>
        <w:spacing w:after="80" w:before="80"/>
      </w:pPr>
      <w:r>
        <w:t xml:space="preserve"/>
      </w:r>
    </w:p>
    <w:p>
      <w:pPr>
        <w:spacing w:after="0" w:before="120"/>
      </w:pPr>
      <w:r>
        <w:t xml:space="preserve"/>
      </w:r>
    </w:p>
    <w:p>
      <w:pPr>
        <w:keepNext/>
        <w:spacing w:after="100" w:before="260"/>
      </w:pPr>
      <w:r>
        <w:rPr>
          <w:rFonts w:ascii="Calibri" w:cs="Calibri" w:eastAsia="Calibri" w:hAnsi="Calibri"/>
          <w:b/>
          <w:bCs/>
          <w:color w:val="13233f"/>
          <w:sz w:val="24"/>
          <w:szCs w:val="24"/>
        </w:rPr>
        <w:t xml:space="preserve">Abstract</w:t>
      </w:r>
    </w:p>
    <w:p>
      <w:pPr>
        <w:spacing w:after="120" w:before="60" w:line="300"/>
      </w:pPr>
      <w:r>
        <w:rPr>
          <w:rFonts w:ascii="Calibri" w:cs="Calibri" w:eastAsia="Calibri" w:hAnsi="Calibri"/>
          <w:color w:val="1a1f2e"/>
          <w:sz w:val="21"/>
          <w:szCs w:val="21"/>
        </w:rPr>
        <w:t xml:space="preserve">This synthesis examines the state of agentic artificial intelligence in two adjacent, interdependent domains: the back-office operations of alternative asset funds (private equity, venture capital, hedge funds, and private credit) and the audit and attest function that provides assurance over them. It argues that while the broad case for machine learning and agentic workflows in these fields is now empirically supported — and is being validated at scale by the largest assurance firms — a specific, high-value gap remains unaddressed: rigorous, adversarial, document-level review of fund financial reporting that is accessible outside the largest enterprise platforms. The FundLens suite addresses the foundational layers of this gap, and FundLens Audit is designed to address its most demanding layer. The synthesis closes with an explicit treatment of where evidence is strong versus where vendor narrative outpaces it, and an unambiguous statement on the indispensability of human verification.</w:t>
      </w:r>
    </w:p>
    <w:p>
      <w:r>
        <w:br w:type="page"/>
      </w:r>
    </w:p>
    <w:p>
      <w:pPr>
        <w:keepNext/>
        <w:pBdr>
          <w:bottom w:val="single" w:color="0b7a6e" w:sz="4" w:space="4"/>
        </w:pBdr>
        <w:spacing w:after="140" w:before="360"/>
      </w:pPr>
      <w:r>
        <w:rPr>
          <w:rFonts w:ascii="Calibri" w:cs="Calibri" w:eastAsia="Calibri" w:hAnsi="Calibri"/>
          <w:b/>
          <w:bCs/>
          <w:color w:val="0b7a6e"/>
          <w:sz w:val="30"/>
          <w:szCs w:val="30"/>
        </w:rPr>
        <w:t xml:space="preserve">00  </w:t>
      </w:r>
      <w:r>
        <w:rPr>
          <w:rFonts w:ascii="Calibri" w:cs="Calibri" w:eastAsia="Calibri" w:hAnsi="Calibri"/>
          <w:b/>
          <w:bCs/>
          <w:color w:val="13233f"/>
          <w:sz w:val="30"/>
          <w:szCs w:val="30"/>
        </w:rPr>
        <w:t xml:space="preserve">Methodology &amp; Evidentiary Standard</w:t>
      </w:r>
    </w:p>
    <w:p>
      <w:pPr>
        <w:spacing w:after="120" w:before="60" w:line="300"/>
      </w:pPr>
      <w:r>
        <w:rPr>
          <w:rFonts w:ascii="Calibri" w:cs="Calibri" w:eastAsia="Calibri" w:hAnsi="Calibri"/>
          <w:color w:val="1a1f2e"/>
          <w:sz w:val="21"/>
          <w:szCs w:val="21"/>
        </w:rPr>
        <w:t xml:space="preserve">This document is a research synthesis, not a marketing brief. Its credibility depends on distinguishing what is demonstrated from what is asserted, so that distinction is made explicit up front.</w:t>
      </w:r>
    </w:p>
    <w:p>
      <w:pPr>
        <w:keepNext/>
        <w:spacing w:after="80" w:before="180"/>
      </w:pPr>
      <w:r>
        <w:rPr>
          <w:rFonts w:ascii="Calibri" w:cs="Calibri" w:eastAsia="Calibri" w:hAnsi="Calibri"/>
          <w:b/>
          <w:bCs/>
          <w:color w:val="0b7a6e"/>
          <w:sz w:val="22"/>
          <w:szCs w:val="22"/>
        </w:rPr>
        <w:t xml:space="preserve">Source selection</w:t>
      </w:r>
    </w:p>
    <w:p>
      <w:pPr>
        <w:spacing w:after="120" w:before="60" w:line="300"/>
      </w:pPr>
      <w:r>
        <w:rPr>
          <w:rFonts w:ascii="Calibri" w:cs="Calibri" w:eastAsia="Calibri" w:hAnsi="Calibri"/>
          <w:color w:val="1a1f2e"/>
          <w:sz w:val="21"/>
          <w:szCs w:val="21"/>
        </w:rPr>
        <w:t xml:space="preserve">Sources were prioritized in the following order: (1) primary regulatory material (PCAOB speeches, standards releases, and working-group deliverables); (2) named-firm public disclosures of production deployments (e.g., EY Canvas); (3) professional-body and large-firm advisory publications; and (4) industry and vendor commentary, treated as directional signal rather than verified outcome. Vendor self-reported metrics are flagged as such wherever cited.</w:t>
      </w:r>
    </w:p>
    <w:p>
      <w:pPr>
        <w:keepNext/>
        <w:spacing w:after="80" w:before="180"/>
      </w:pPr>
      <w:r>
        <w:rPr>
          <w:rFonts w:ascii="Calibri" w:cs="Calibri" w:eastAsia="Calibri" w:hAnsi="Calibri"/>
          <w:b/>
          <w:bCs/>
          <w:color w:val="0b7a6e"/>
          <w:sz w:val="22"/>
          <w:szCs w:val="22"/>
        </w:rPr>
        <w:t xml:space="preserve">Claim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Tier</w:t>
            </w:r>
          </w:p>
        </w:tc>
        <w:tc>
          <w:tcPr>
            <w:tcW w:type="dxa" w:w="436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Standard of evidence</w:t>
            </w:r>
          </w:p>
        </w:tc>
        <w:tc>
          <w:tcPr>
            <w:tcW w:type="dxa" w:w="350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How it is used here</w:t>
            </w:r>
          </w:p>
        </w:tc>
      </w:tr>
      <w:tr>
        <w:tc>
          <w:tcPr>
            <w:tcW w:type="dxa" w:w="15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Verified</w:t>
            </w:r>
          </w:p>
        </w:tc>
        <w:tc>
          <w:tcPr>
            <w:tcW w:type="dxa" w:w="436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Stated by a regulator, named firm in an official disclosure, or professional body</w:t>
            </w:r>
          </w:p>
        </w:tc>
        <w:tc>
          <w:tcPr>
            <w:tcW w:type="dxa" w:w="35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Presented as fact, with citation</w:t>
            </w:r>
          </w:p>
        </w:tc>
      </w:tr>
      <w:tr>
        <w:tc>
          <w:tcPr>
            <w:tcW w:type="dxa" w:w="15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Directional</w:t>
            </w:r>
          </w:p>
        </w:tc>
        <w:tc>
          <w:tcPr>
            <w:tcW w:type="dxa" w:w="436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Reported by reputable advisory or industry sources; plausible and consistent across sources but not independently audited</w:t>
            </w:r>
          </w:p>
        </w:tc>
        <w:tc>
          <w:tcPr>
            <w:tcW w:type="dxa" w:w="35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Presented as trend or signal, explicitly hedged</w:t>
            </w:r>
          </w:p>
        </w:tc>
      </w:tr>
      <w:tr>
        <w:tc>
          <w:tcPr>
            <w:tcW w:type="dxa" w:w="15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Asserted</w:t>
            </w:r>
          </w:p>
        </w:tc>
        <w:tc>
          <w:tcPr>
            <w:tcW w:type="dxa" w:w="436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Vendor or marketing claim, single-source, or self-reported with incentive to inflate</w:t>
            </w:r>
          </w:p>
        </w:tc>
        <w:tc>
          <w:tcPr>
            <w:tcW w:type="dxa" w:w="35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Identified as a claim; not used as proof</w:t>
            </w:r>
          </w:p>
        </w:tc>
      </w:tr>
    </w:tbl>
    <w:p>
      <w:pPr>
        <w:spacing w:after="0" w:before="80"/>
      </w:pPr>
      <w:r>
        <w:t xml:space="preserve"/>
      </w:r>
    </w:p>
    <w:tbl>
      <w:tblPr>
        <w:tblW w:type="dxa" w:w="9360"/>
        <w:tblBorders>
          <w:top w:val="none"/>
          <w:left w:val="single" w:color="9a6a00" w:sz="18"/>
          <w:bottom w:val="none"/>
          <w:right w:val="none"/>
          <w:insideH w:val="none"/>
          <w:insideV w:val="none"/>
        </w:tblBorders>
      </w:tblPr>
      <w:tblGrid>
        <w:gridCol w:w="9360"/>
      </w:tblGrid>
      <w:tr>
        <w:tc>
          <w:tcPr>
            <w:tcW w:type="dxa" w:w="9360"/>
            <w:shd w:fill="fdf3e3" w:val="clear"/>
            <w:tcMar>
              <w:top w:type="dxa" w:w="140"/>
              <w:left w:type="dxa" w:w="220"/>
              <w:bottom w:type="dxa" w:w="140"/>
              <w:right w:type="dxa" w:w="200"/>
            </w:tcMar>
          </w:tcPr>
          <w:p>
            <w:pPr>
              <w:spacing w:after="60"/>
            </w:pPr>
            <w:r>
              <w:rPr>
                <w:rFonts w:ascii="Calibri" w:cs="Calibri" w:eastAsia="Calibri" w:hAnsi="Calibri"/>
                <w:b/>
                <w:bCs/>
                <w:caps/>
                <w:color w:val="9a6a00"/>
                <w:sz w:val="18"/>
                <w:szCs w:val="18"/>
              </w:rPr>
              <w:t xml:space="preserve">Standing disclaimer</w:t>
            </w:r>
          </w:p>
          <w:p>
            <w:pPr>
              <w:spacing w:after="0" w:line="290"/>
            </w:pPr>
            <w:r>
              <w:rPr>
                <w:rFonts w:ascii="Calibri" w:cs="Calibri" w:eastAsia="Calibri" w:hAnsi="Calibri"/>
                <w:i/>
                <w:iCs/>
                <w:color w:val="1a1f2e"/>
                <w:sz w:val="20"/>
                <w:szCs w:val="20"/>
              </w:rPr>
              <w:t xml:space="preserve">Every capability discussed in this document is positioned as decision support requiring human verification. No agentic system described here — including FundLens Audit — is represented as a replacement for the professional judgment, skepticism, or sign-off of a qualified fund accountant, controller, or auditor. This is not a softening caveat; it is a design principle, and it is consistent with the explicit posture of the PCAOB and every major assurance firm cited herein.</w:t>
            </w:r>
          </w:p>
        </w:tc>
      </w:tr>
    </w:tbl>
    <w:p>
      <w:r>
        <w:br w:type="page"/>
      </w:r>
    </w:p>
    <w:p>
      <w:pPr>
        <w:keepNext/>
        <w:pBdr>
          <w:bottom w:val="single" w:color="0b7a6e" w:sz="4" w:space="4"/>
        </w:pBdr>
        <w:spacing w:after="140" w:before="360"/>
      </w:pPr>
      <w:r>
        <w:rPr>
          <w:rFonts w:ascii="Calibri" w:cs="Calibri" w:eastAsia="Calibri" w:hAnsi="Calibri"/>
          <w:b/>
          <w:bCs/>
          <w:color w:val="0b7a6e"/>
          <w:sz w:val="30"/>
          <w:szCs w:val="30"/>
        </w:rPr>
        <w:t xml:space="preserve">01  </w:t>
      </w:r>
      <w:r>
        <w:rPr>
          <w:rFonts w:ascii="Calibri" w:cs="Calibri" w:eastAsia="Calibri" w:hAnsi="Calibri"/>
          <w:b/>
          <w:bCs/>
          <w:color w:val="13233f"/>
          <w:sz w:val="30"/>
          <w:szCs w:val="30"/>
        </w:rPr>
        <w:t xml:space="preserve">The FundLens Suite — Function and Trajectory</w:t>
      </w:r>
    </w:p>
    <w:p>
      <w:pPr>
        <w:spacing w:after="120" w:before="60" w:line="300"/>
      </w:pPr>
      <w:r>
        <w:rPr>
          <w:rFonts w:ascii="Calibri" w:cs="Calibri" w:eastAsia="Calibri" w:hAnsi="Calibri"/>
          <w:color w:val="1a1f2e"/>
          <w:sz w:val="21"/>
          <w:szCs w:val="21"/>
        </w:rPr>
        <w:t xml:space="preserve">FundLens is a suite of focused tools that automate discrete, high-friction tasks in alternative asset fund operations. Each tool was built to solve a specific operational problem the author encountered directly in fund accounting and audit practice. They are deliberately narrow — a design choice that aligns with advisory consensus that AI in fund administration succeeds when deployed as narrow, well-scoped agents rather than broad, ambiguous solutions.</w:t>
      </w:r>
      <w:r>
        <w:rPr>
          <w:rFonts w:ascii="Calibri" w:cs="Calibri" w:eastAsia="Calibri" w:hAnsi="Calibri"/>
          <w:b/>
          <w:bCs/>
          <w:color w:val="0b7a6e"/>
          <w:sz w:val="14"/>
          <w:szCs w:val="14"/>
          <w:vertAlign w:val="superscript"/>
        </w:rPr>
        <w:t xml:space="preserve"> [7]</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Tool</w:t>
            </w:r>
          </w:p>
        </w:tc>
        <w:tc>
          <w:tcPr>
            <w:tcW w:type="dxa" w:w="420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Function</w:t>
            </w:r>
          </w:p>
        </w:tc>
        <w:tc>
          <w:tcPr>
            <w:tcW w:type="dxa" w:w="366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Operational problem it removes</w:t>
            </w:r>
          </w:p>
        </w:tc>
      </w:tr>
      <w:tr>
        <w:tc>
          <w:tcPr>
            <w:tcW w:type="dxa" w:w="15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FundLens</w:t>
            </w:r>
          </w:p>
        </w:tc>
        <w:tc>
          <w:tcPr>
            <w:tcW w:type="dxa" w:w="42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Fund document intelligence. Extracts structured data — fund structure, terms, capital accounts, NAV components — from LPAs, PPMs, and capital account statements.</w:t>
            </w:r>
          </w:p>
        </w:tc>
        <w:tc>
          <w:tcPr>
            <w:tcW w:type="dxa" w:w="366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Personnel routinely spend days reading lengthy LPAs and PPMs to extract fund-specific terms for system setup and reporting.</w:t>
            </w:r>
          </w:p>
        </w:tc>
      </w:tr>
      <w:tr>
        <w:tc>
          <w:tcPr>
            <w:tcW w:type="dxa" w:w="15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DesoFall</w:t>
            </w:r>
          </w:p>
        </w:tc>
        <w:tc>
          <w:tcPr>
            <w:tcW w:type="dxa" w:w="42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Private equity waterfall distribution calculator. Parses LPA economic terms and applies tiered waterfall logic (return of capital, preferred return, catch-up, carry split).</w:t>
            </w:r>
          </w:p>
        </w:tc>
        <w:tc>
          <w:tcPr>
            <w:tcW w:type="dxa" w:w="366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Distribution waterfalls are error-prone, manually modeled in spreadsheets, and a recurring source of LP-facing restatements.</w:t>
            </w:r>
          </w:p>
        </w:tc>
      </w:tr>
      <w:tr>
        <w:tc>
          <w:tcPr>
            <w:tcW w:type="dxa" w:w="15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DraftLens</w:t>
            </w:r>
          </w:p>
        </w:tc>
        <w:tc>
          <w:tcPr>
            <w:tcW w:type="dxa" w:w="42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Financial statement comparison. Prior-vs-current-year variance analysis, language and formatting review, clerical error detection, and ASC guidance surfacing.</w:t>
            </w:r>
          </w:p>
        </w:tc>
        <w:tc>
          <w:tcPr>
            <w:tcW w:type="dxa" w:w="366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Year-over-year financial statement review is slow, inconsistent across preparers, and prone to missed clerical and disclosure drift.</w:t>
            </w:r>
          </w:p>
        </w:tc>
      </w:tr>
      <w:tr>
        <w:tc>
          <w:tcPr>
            <w:tcW w:type="dxa" w:w="15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FundLens Forecast</w:t>
            </w:r>
          </w:p>
        </w:tc>
        <w:tc>
          <w:tcPr>
            <w:tcW w:type="dxa" w:w="42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Forward-looking fund portfolio metrics — projection of portfolio value, performance, cash flow timing, and return measures across scenarios.</w:t>
            </w:r>
          </w:p>
        </w:tc>
        <w:tc>
          <w:tcPr>
            <w:tcW w:type="dxa" w:w="366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Forecasting is fragmented across bespoke models with little reproducibility or scenario discipline.</w:t>
            </w:r>
          </w:p>
        </w:tc>
      </w:tr>
    </w:tbl>
    <w:p>
      <w:pPr>
        <w:spacing w:after="0" w:before="100"/>
      </w:pPr>
      <w:r>
        <w:t xml:space="preserve"/>
      </w:r>
    </w:p>
    <w:p>
      <w:pPr>
        <w:keepNext/>
        <w:spacing w:after="100" w:before="260"/>
      </w:pPr>
      <w:r>
        <w:rPr>
          <w:rFonts w:ascii="Calibri" w:cs="Calibri" w:eastAsia="Calibri" w:hAnsi="Calibri"/>
          <w:b/>
          <w:bCs/>
          <w:color w:val="13233f"/>
          <w:sz w:val="24"/>
          <w:szCs w:val="24"/>
        </w:rPr>
        <w:t xml:space="preserve">Why FundLens Audit Is the Next Level</w:t>
      </w:r>
    </w:p>
    <w:p>
      <w:pPr>
        <w:spacing w:after="120" w:before="60" w:line="300"/>
      </w:pPr>
      <w:r>
        <w:rPr>
          <w:rFonts w:ascii="Calibri" w:cs="Calibri" w:eastAsia="Calibri" w:hAnsi="Calibri"/>
          <w:color w:val="1a1f2e"/>
          <w:sz w:val="21"/>
          <w:szCs w:val="21"/>
        </w:rPr>
        <w:t xml:space="preserve">The four existing tools share a structural property: each operates on a bounded problem with a single primary actor. FundLens reads documents. DesoFall computes a waterfall. DraftLens compares two statements. FundLens Forecast projects metrics. They are individually useful, and collectively they establish a defensible competency — the author can demonstrate, not merely assert, that a language model can read and reason over fund documents reliably.</w:t>
      </w:r>
    </w:p>
    <w:p>
      <w:pPr>
        <w:spacing w:after="120" w:before="60" w:line="300"/>
      </w:pPr>
      <w:r>
        <w:rPr>
          <w:rFonts w:ascii="Calibri" w:cs="Calibri" w:eastAsia="Calibri" w:hAnsi="Calibri"/>
          <w:color w:val="1a1f2e"/>
          <w:sz w:val="21"/>
          <w:szCs w:val="21"/>
        </w:rPr>
        <w:t xml:space="preserve">FundLens Audit is categorically different. It is the first tool in the suite that performs adversarial, multi-document, judgment-adjacent review — the work that, in practice, separates a competent fund accountant from a junior one and a strong audit senior from a checklist follower. It does not compute a single answer; it interrogates a body of fund documentation for internal inconsistency, non-market terms, disclosure gaps, and economic implausibility, and then challenges its own conclusions before reporting. This is the capability unlock for everything that follows in the roadmap, because the multi-agent adversarial pattern it establishes is the prerequisite for live audit-workflow tooling.</w:t>
      </w:r>
    </w:p>
    <w:tbl>
      <w:tblPr>
        <w:tblW w:type="dxa" w:w="9360"/>
        <w:tblBorders>
          <w:top w:val="none"/>
          <w:left w:val="single" w:color="0b7a6e" w:sz="18"/>
          <w:bottom w:val="none"/>
          <w:right w:val="none"/>
          <w:insideH w:val="none"/>
          <w:insideV w:val="none"/>
        </w:tblBorders>
      </w:tblPr>
      <w:tblGrid>
        <w:gridCol w:w="9360"/>
      </w:tblGrid>
      <w:tr>
        <w:tc>
          <w:tcPr>
            <w:tcW w:type="dxa" w:w="9360"/>
            <w:shd w:fill="e6f4f1" w:val="clear"/>
            <w:tcMar>
              <w:top w:type="dxa" w:w="140"/>
              <w:left w:type="dxa" w:w="220"/>
              <w:bottom w:type="dxa" w:w="140"/>
              <w:right w:type="dxa" w:w="200"/>
            </w:tcMar>
          </w:tcPr>
          <w:p>
            <w:pPr>
              <w:spacing w:after="60"/>
            </w:pPr>
            <w:r>
              <w:rPr>
                <w:rFonts w:ascii="Calibri" w:cs="Calibri" w:eastAsia="Calibri" w:hAnsi="Calibri"/>
                <w:b/>
                <w:bCs/>
                <w:caps/>
                <w:color w:val="0b7a6e"/>
                <w:sz w:val="18"/>
                <w:szCs w:val="18"/>
              </w:rPr>
              <w:t xml:space="preserve">Why this matters strategically</w:t>
            </w:r>
          </w:p>
          <w:p>
            <w:pPr>
              <w:spacing w:after="0" w:line="290"/>
            </w:pPr>
            <w:r>
              <w:rPr>
                <w:rFonts w:ascii="Calibri" w:cs="Calibri" w:eastAsia="Calibri" w:hAnsi="Calibri"/>
                <w:i/>
                <w:iCs/>
                <w:color w:val="1a1f2e"/>
                <w:sz w:val="20"/>
                <w:szCs w:val="20"/>
              </w:rPr>
              <w:t xml:space="preserve">The earlier tools prove competence. FundLens Audit demonstrates judgment-adjacent capability — the exact thing skeptics assume domain-specific AI cannot do. It is also the bridge to the live-workflow tools that constitute the most defensible long-term position.</w:t>
            </w:r>
          </w:p>
        </w:tc>
      </w:tr>
    </w:tbl>
    <w:p>
      <w:r>
        <w:br w:type="page"/>
      </w:r>
    </w:p>
    <w:p>
      <w:pPr>
        <w:keepNext/>
        <w:pBdr>
          <w:bottom w:val="single" w:color="0b7a6e" w:sz="4" w:space="4"/>
        </w:pBdr>
        <w:spacing w:after="140" w:before="360"/>
      </w:pPr>
      <w:r>
        <w:rPr>
          <w:rFonts w:ascii="Calibri" w:cs="Calibri" w:eastAsia="Calibri" w:hAnsi="Calibri"/>
          <w:b/>
          <w:bCs/>
          <w:color w:val="0b7a6e"/>
          <w:sz w:val="30"/>
          <w:szCs w:val="30"/>
        </w:rPr>
        <w:t xml:space="preserve">02  </w:t>
      </w:r>
      <w:r>
        <w:rPr>
          <w:rFonts w:ascii="Calibri" w:cs="Calibri" w:eastAsia="Calibri" w:hAnsi="Calibri"/>
          <w:b/>
          <w:bCs/>
          <w:color w:val="13233f"/>
          <w:sz w:val="30"/>
          <w:szCs w:val="30"/>
        </w:rPr>
        <w:t xml:space="preserve">The Alternative Asset Back Office — Function and Nuance</w:t>
      </w:r>
    </w:p>
    <w:p>
      <w:pPr>
        <w:spacing w:after="120" w:before="60" w:line="300"/>
      </w:pPr>
      <w:r>
        <w:rPr>
          <w:rFonts w:ascii="Calibri" w:cs="Calibri" w:eastAsia="Calibri" w:hAnsi="Calibri"/>
          <w:color w:val="1a1f2e"/>
          <w:sz w:val="21"/>
          <w:szCs w:val="21"/>
        </w:rPr>
        <w:t xml:space="preserve">To argue a use case credibly, the nuances of the field have to be stated by someone who has done the work. The following is written from direct fund administration experience.</w:t>
      </w:r>
    </w:p>
    <w:p>
      <w:pPr>
        <w:keepNext/>
        <w:spacing w:after="80" w:before="180"/>
      </w:pPr>
      <w:r>
        <w:rPr>
          <w:rFonts w:ascii="Calibri" w:cs="Calibri" w:eastAsia="Calibri" w:hAnsi="Calibri"/>
          <w:b/>
          <w:bCs/>
          <w:color w:val="0b7a6e"/>
          <w:sz w:val="22"/>
          <w:szCs w:val="22"/>
        </w:rPr>
        <w:t xml:space="preserve">What the back office actually does</w:t>
      </w:r>
    </w:p>
    <w:p>
      <w:pPr>
        <w:spacing w:after="120" w:before="60" w:line="300"/>
      </w:pPr>
      <w:r>
        <w:rPr>
          <w:rFonts w:ascii="Calibri" w:cs="Calibri" w:eastAsia="Calibri" w:hAnsi="Calibri"/>
          <w:color w:val="1a1f2e"/>
          <w:sz w:val="21"/>
          <w:szCs w:val="21"/>
        </w:rPr>
        <w:t xml:space="preserve">Alternative asset fund operations sit between the investment activity and the investor. The core deliverables are the net asset value (NAV), the partner capital accounts, the financial statements, and the regulatory and investor reporting that flows from them. Each is deceptively complex:</w:t>
      </w:r>
    </w:p>
    <w:p>
      <w:pPr>
        <w:pStyle w:val="ListParagraph"/>
        <w:numPr>
          <w:ilvl w:val="0"/>
          <w:numId w:val="2"/>
        </w:numPr>
        <w:spacing w:after="50" w:before="50" w:line="290"/>
      </w:pPr>
      <w:r>
        <w:rPr>
          <w:rFonts w:ascii="Calibri" w:cs="Calibri" w:eastAsia="Calibri" w:hAnsi="Calibri"/>
          <w:b/>
          <w:bCs/>
          <w:color w:val="1a1f2e"/>
          <w:sz w:val="21"/>
          <w:szCs w:val="21"/>
        </w:rPr>
        <w:t xml:space="preserve">NAV is not one number. </w:t>
      </w:r>
      <w:r>
        <w:rPr>
          <w:rFonts w:ascii="Calibri" w:cs="Calibri" w:eastAsia="Calibri" w:hAnsi="Calibri"/>
          <w:color w:val="1a1f2e"/>
          <w:sz w:val="21"/>
          <w:szCs w:val="21"/>
        </w:rPr>
        <w:t xml:space="preserve">It is the output of position valuation, accrual logic, fee and carry mechanics, and reconciliation across custodians, administrators, and pricing feeds — sources that arrive in different formats and at different times.</w:t>
      </w:r>
    </w:p>
    <w:p>
      <w:pPr>
        <w:pStyle w:val="ListParagraph"/>
        <w:numPr>
          <w:ilvl w:val="0"/>
          <w:numId w:val="2"/>
        </w:numPr>
        <w:spacing w:after="50" w:before="50" w:line="290"/>
      </w:pPr>
      <w:r>
        <w:rPr>
          <w:rFonts w:ascii="Calibri" w:cs="Calibri" w:eastAsia="Calibri" w:hAnsi="Calibri"/>
          <w:b/>
          <w:bCs/>
          <w:color w:val="1a1f2e"/>
          <w:sz w:val="21"/>
          <w:szCs w:val="21"/>
        </w:rPr>
        <w:t xml:space="preserve">Capital accounts must foot and cross-foot. </w:t>
      </w:r>
      <w:r>
        <w:rPr>
          <w:rFonts w:ascii="Calibri" w:cs="Calibri" w:eastAsia="Calibri" w:hAnsi="Calibri"/>
          <w:color w:val="1a1f2e"/>
          <w:sz w:val="21"/>
          <w:szCs w:val="21"/>
        </w:rPr>
        <w:t xml:space="preserve">Contributions, distributions, allocated income and loss, and management fee and carry allocations must reconcile to the fund total and to each LP’s economic entitlement under the LPA.</w:t>
      </w:r>
    </w:p>
    <w:p>
      <w:pPr>
        <w:pStyle w:val="ListParagraph"/>
        <w:numPr>
          <w:ilvl w:val="0"/>
          <w:numId w:val="2"/>
        </w:numPr>
        <w:spacing w:after="50" w:before="50" w:line="290"/>
      </w:pPr>
      <w:r>
        <w:rPr>
          <w:rFonts w:ascii="Calibri" w:cs="Calibri" w:eastAsia="Calibri" w:hAnsi="Calibri"/>
          <w:b/>
          <w:bCs/>
          <w:color w:val="1a1f2e"/>
          <w:sz w:val="21"/>
          <w:szCs w:val="21"/>
        </w:rPr>
        <w:t xml:space="preserve">The LPA is the source of truth and it is prose. </w:t>
      </w:r>
      <w:r>
        <w:rPr>
          <w:rFonts w:ascii="Calibri" w:cs="Calibri" w:eastAsia="Calibri" w:hAnsi="Calibri"/>
          <w:color w:val="1a1f2e"/>
          <w:sz w:val="21"/>
          <w:szCs w:val="21"/>
        </w:rPr>
        <w:t xml:space="preserve">Waterfall structure, preferred return, hurdle, catch-up, and fee offsets are written in legal language, not structured data — which is precisely why extraction and interpretation are slow and error-prone.</w:t>
      </w:r>
    </w:p>
    <w:p>
      <w:pPr>
        <w:pStyle w:val="ListParagraph"/>
        <w:numPr>
          <w:ilvl w:val="0"/>
          <w:numId w:val="2"/>
        </w:numPr>
        <w:spacing w:after="50" w:before="50" w:line="290"/>
      </w:pPr>
      <w:r>
        <w:rPr>
          <w:rFonts w:ascii="Calibri" w:cs="Calibri" w:eastAsia="Calibri" w:hAnsi="Calibri"/>
          <w:b/>
          <w:bCs/>
          <w:color w:val="1a1f2e"/>
          <w:sz w:val="21"/>
          <w:szCs w:val="21"/>
        </w:rPr>
        <w:t xml:space="preserve">Financial statements carry ASC 946 obligations. </w:t>
      </w:r>
      <w:r>
        <w:rPr>
          <w:rFonts w:ascii="Calibri" w:cs="Calibri" w:eastAsia="Calibri" w:hAnsi="Calibri"/>
          <w:color w:val="1a1f2e"/>
          <w:sz w:val="21"/>
          <w:szCs w:val="21"/>
        </w:rPr>
        <w:t xml:space="preserve">Investment company accounting, fair value hierarchy disclosure, and schedule-of-investments requirements are exacting and a frequent source of audit adjustments.</w:t>
      </w:r>
    </w:p>
    <w:p>
      <w:pPr>
        <w:keepNext/>
        <w:spacing w:after="80" w:before="180"/>
      </w:pPr>
      <w:r>
        <w:rPr>
          <w:rFonts w:ascii="Calibri" w:cs="Calibri" w:eastAsia="Calibri" w:hAnsi="Calibri"/>
          <w:b/>
          <w:bCs/>
          <w:color w:val="0b7a6e"/>
          <w:sz w:val="22"/>
          <w:szCs w:val="22"/>
        </w:rPr>
        <w:t xml:space="preserve">Where the friction concentrates</w:t>
      </w:r>
    </w:p>
    <w:p>
      <w:pPr>
        <w:spacing w:after="120" w:before="60" w:line="300"/>
      </w:pPr>
      <w:r>
        <w:rPr>
          <w:rFonts w:ascii="Calibri" w:cs="Calibri" w:eastAsia="Calibri" w:hAnsi="Calibri"/>
          <w:color w:val="1a1f2e"/>
          <w:sz w:val="21"/>
          <w:szCs w:val="21"/>
        </w:rPr>
        <w:t xml:space="preserve">Industry advisory consensus and direct experience converge on the same pain points: data aggregation across heterogeneous sources, document-heavy system setup, exception triage that drowns analysts in noise, and the NAV close cycle itself. Grant Thornton notes that fund administrator personnel often spend days reviewing lengthy LPAs and PPMs to extract fund-specific terms, and that AI-driven anomaly detection at one administrator client cut operational labor costs by nearly half.</w:t>
      </w:r>
      <w:r>
        <w:rPr>
          <w:rFonts w:ascii="Calibri" w:cs="Calibri" w:eastAsia="Calibri" w:hAnsi="Calibri"/>
          <w:b/>
          <w:bCs/>
          <w:color w:val="0b7a6e"/>
          <w:sz w:val="14"/>
          <w:szCs w:val="14"/>
          <w:vertAlign w:val="superscript"/>
        </w:rPr>
        <w:t xml:space="preserve"> [15]</w:t>
      </w:r>
    </w:p>
    <w:p>
      <w:pPr>
        <w:spacing w:after="120" w:before="60" w:line="300"/>
      </w:pPr>
      <w:r>
        <w:rPr>
          <w:rFonts w:ascii="Calibri" w:cs="Calibri" w:eastAsia="Calibri" w:hAnsi="Calibri"/>
          <w:color w:val="1a1f2e"/>
          <w:sz w:val="21"/>
          <w:szCs w:val="21"/>
        </w:rPr>
        <w:t xml:space="preserve">The directional market data is consistent with this. Industry sources report that more than half of mid-market private equity firms had active AI initiatives by 2025, that AI in asset management is projected to grow at roughly a 24% compound annual rate through 2034, and that NAV production at firms with mature automation has compressed from a multi-hour to a near-immediate cycle.</w:t>
      </w:r>
      <w:r>
        <w:rPr>
          <w:rFonts w:ascii="Calibri" w:cs="Calibri" w:eastAsia="Calibri" w:hAnsi="Calibri"/>
          <w:b/>
          <w:bCs/>
          <w:color w:val="0b7a6e"/>
          <w:sz w:val="14"/>
          <w:szCs w:val="14"/>
          <w:vertAlign w:val="superscript"/>
        </w:rPr>
        <w:t xml:space="preserve"> [11]</w:t>
      </w:r>
    </w:p>
    <w:tbl>
      <w:tblPr>
        <w:tblW w:type="dxa" w:w="9360"/>
        <w:tblBorders>
          <w:top w:val="none"/>
          <w:left w:val="single" w:color="9a6a00" w:sz="18"/>
          <w:bottom w:val="none"/>
          <w:right w:val="none"/>
          <w:insideH w:val="none"/>
          <w:insideV w:val="none"/>
        </w:tblBorders>
      </w:tblPr>
      <w:tblGrid>
        <w:gridCol w:w="9360"/>
      </w:tblGrid>
      <w:tr>
        <w:tc>
          <w:tcPr>
            <w:tcW w:type="dxa" w:w="9360"/>
            <w:shd w:fill="fdf3e3" w:val="clear"/>
            <w:tcMar>
              <w:top w:type="dxa" w:w="140"/>
              <w:left w:type="dxa" w:w="220"/>
              <w:bottom w:type="dxa" w:w="140"/>
              <w:right w:type="dxa" w:w="200"/>
            </w:tcMar>
          </w:tcPr>
          <w:p>
            <w:pPr>
              <w:spacing w:after="60"/>
            </w:pPr>
            <w:r>
              <w:rPr>
                <w:rFonts w:ascii="Calibri" w:cs="Calibri" w:eastAsia="Calibri" w:hAnsi="Calibri"/>
                <w:b/>
                <w:bCs/>
                <w:caps/>
                <w:color w:val="9a6a00"/>
                <w:sz w:val="18"/>
                <w:szCs w:val="18"/>
              </w:rPr>
              <w:t xml:space="preserve">Practitioner note — read with the field in mind</w:t>
            </w:r>
          </w:p>
          <w:p>
            <w:pPr>
              <w:spacing w:after="0" w:line="290"/>
            </w:pPr>
            <w:r>
              <w:rPr>
                <w:rFonts w:ascii="Calibri" w:cs="Calibri" w:eastAsia="Calibri" w:hAnsi="Calibri"/>
                <w:i/>
                <w:iCs/>
                <w:color w:val="1a1f2e"/>
                <w:sz w:val="20"/>
                <w:szCs w:val="20"/>
              </w:rPr>
              <w:t xml:space="preserve">The headline NAV-cycle compression figures originate largely from administrators and platform vendors with an incentive to present best-case outcomes. The direction is real and corroborated across independent advisory sources; the specific magnitudes should be treated as directional, not as a benchmark a fund should expect by default.</w:t>
            </w:r>
          </w:p>
        </w:tc>
      </w:tr>
    </w:tbl>
    <w:p>
      <w:r>
        <w:br w:type="page"/>
      </w:r>
    </w:p>
    <w:p>
      <w:pPr>
        <w:keepNext/>
        <w:pBdr>
          <w:bottom w:val="single" w:color="0b7a6e" w:sz="4" w:space="4"/>
        </w:pBdr>
        <w:spacing w:after="140" w:before="360"/>
      </w:pPr>
      <w:r>
        <w:rPr>
          <w:rFonts w:ascii="Calibri" w:cs="Calibri" w:eastAsia="Calibri" w:hAnsi="Calibri"/>
          <w:b/>
          <w:bCs/>
          <w:color w:val="0b7a6e"/>
          <w:sz w:val="30"/>
          <w:szCs w:val="30"/>
        </w:rPr>
        <w:t xml:space="preserve">03  </w:t>
      </w:r>
      <w:r>
        <w:rPr>
          <w:rFonts w:ascii="Calibri" w:cs="Calibri" w:eastAsia="Calibri" w:hAnsi="Calibri"/>
          <w:b/>
          <w:bCs/>
          <w:color w:val="13233f"/>
          <w:sz w:val="30"/>
          <w:szCs w:val="30"/>
        </w:rPr>
        <w:t xml:space="preserve">The Audit &amp; Attest Function — Function and Nuance</w:t>
      </w:r>
    </w:p>
    <w:p>
      <w:pPr>
        <w:spacing w:after="120" w:before="60" w:line="300"/>
      </w:pPr>
      <w:r>
        <w:rPr>
          <w:rFonts w:ascii="Calibri" w:cs="Calibri" w:eastAsia="Calibri" w:hAnsi="Calibri"/>
          <w:color w:val="1a1f2e"/>
          <w:sz w:val="21"/>
          <w:szCs w:val="21"/>
        </w:rPr>
        <w:t xml:space="preserve">Written from direct audit experience prior to moving to fund administration. The audit side and the fund-admin side are two halves of the same problem, and most tooling sees only one.</w:t>
      </w:r>
    </w:p>
    <w:p>
      <w:pPr>
        <w:keepNext/>
        <w:spacing w:after="80" w:before="180"/>
      </w:pPr>
      <w:r>
        <w:rPr>
          <w:rFonts w:ascii="Calibri" w:cs="Calibri" w:eastAsia="Calibri" w:hAnsi="Calibri"/>
          <w:b/>
          <w:bCs/>
          <w:color w:val="0b7a6e"/>
          <w:sz w:val="22"/>
          <w:szCs w:val="22"/>
        </w:rPr>
        <w:t xml:space="preserve">What the engagement actually requires</w:t>
      </w:r>
    </w:p>
    <w:p>
      <w:pPr>
        <w:spacing w:after="120" w:before="60" w:line="300"/>
      </w:pPr>
      <w:r>
        <w:rPr>
          <w:rFonts w:ascii="Calibri" w:cs="Calibri" w:eastAsia="Calibri" w:hAnsi="Calibri"/>
          <w:color w:val="1a1f2e"/>
          <w:sz w:val="21"/>
          <w:szCs w:val="21"/>
        </w:rPr>
        <w:t xml:space="preserve">An audit of an alternative asset fund is, at its core, an evidence and judgment exercise. The auditor must obtain sufficient appropriate evidence that NAV is fairly stated, that valuations are supportable, that capital accounts reconcile, and that disclosures comply with the applicable framework. The practical reality is that a large share of engagement hours is consumed not by judgment but by friction: chasing the prepared-by-client (PBC) list, reconciling support that arrives in the wrong format, and re-requesting documents after discovering the wrong file was provided.</w:t>
      </w:r>
    </w:p>
    <w:p>
      <w:pPr>
        <w:spacing w:after="120" w:before="60" w:line="300"/>
      </w:pPr>
      <w:r>
        <w:rPr>
          <w:rFonts w:ascii="Calibri" w:cs="Calibri" w:eastAsia="Calibri" w:hAnsi="Calibri"/>
          <w:color w:val="1a1f2e"/>
          <w:sz w:val="21"/>
          <w:szCs w:val="21"/>
        </w:rPr>
        <w:t xml:space="preserve">Wolters Kluwer’s framing of this is precise: the most painful part of the traditional audit is document chasing and the second round that follows a wrong upload, and the strongest early candidates for agentic automation are PBC coordination, evidence extraction, and risk summaries.</w:t>
      </w:r>
      <w:r>
        <w:rPr>
          <w:rFonts w:ascii="Calibri" w:cs="Calibri" w:eastAsia="Calibri" w:hAnsi="Calibri"/>
          <w:b/>
          <w:bCs/>
          <w:color w:val="0b7a6e"/>
          <w:sz w:val="14"/>
          <w:szCs w:val="14"/>
          <w:vertAlign w:val="superscript"/>
        </w:rPr>
        <w:t xml:space="preserve"> [6]</w:t>
      </w:r>
    </w:p>
    <w:p>
      <w:pPr>
        <w:keepNext/>
        <w:spacing w:after="80" w:before="180"/>
      </w:pPr>
      <w:r>
        <w:rPr>
          <w:rFonts w:ascii="Calibri" w:cs="Calibri" w:eastAsia="Calibri" w:hAnsi="Calibri"/>
          <w:b/>
          <w:bCs/>
          <w:color w:val="0b7a6e"/>
          <w:sz w:val="22"/>
          <w:szCs w:val="22"/>
        </w:rPr>
        <w:t xml:space="preserve">The regulatory posture is supportive but conditional</w:t>
      </w:r>
    </w:p>
    <w:p>
      <w:pPr>
        <w:spacing w:after="120" w:before="60" w:line="300"/>
      </w:pPr>
      <w:r>
        <w:rPr>
          <w:rFonts w:ascii="Calibri" w:cs="Calibri" w:eastAsia="Calibri" w:hAnsi="Calibri"/>
          <w:color w:val="1a1f2e"/>
          <w:sz w:val="21"/>
          <w:szCs w:val="21"/>
        </w:rPr>
        <w:t xml:space="preserve">This is the section that most benefits from primary sources. The PCAOB’s position, expressed consistently through 2025 and into 2026, is that AI has genuine potential to improve audit quality — acting Chair Botic stated that AI can enhance risk assessment and evidence gathering by making it feasible to analyze entire populations rather than samples — while emphasizing, repeatedly and without exception, that the human element cannot be removed and that professional judgment and skepticism must be performed by people, not machines.</w:t>
      </w:r>
      <w:r>
        <w:rPr>
          <w:rFonts w:ascii="Calibri" w:cs="Calibri" w:eastAsia="Calibri" w:hAnsi="Calibri"/>
          <w:b/>
          <w:bCs/>
          <w:color w:val="0b7a6e"/>
          <w:sz w:val="14"/>
          <w:szCs w:val="14"/>
          <w:vertAlign w:val="superscript"/>
        </w:rPr>
        <w:t xml:space="preserve"> [21]</w:t>
      </w:r>
    </w:p>
    <w:p>
      <w:pPr>
        <w:spacing w:after="120" w:before="60" w:line="300"/>
      </w:pPr>
      <w:r>
        <w:rPr>
          <w:rFonts w:ascii="Calibri" w:cs="Calibri" w:eastAsia="Calibri" w:hAnsi="Calibri"/>
          <w:color w:val="1a1f2e"/>
          <w:sz w:val="21"/>
          <w:szCs w:val="21"/>
        </w:rPr>
        <w:t xml:space="preserve">The PCAOB’s Technology Innovation Alliance “Future State” deliverable goes further in a way directly relevant to FundLens Audit: it identifies standardized, structured audit documentation as critical infrastructure for a continuous-audit ecosystem, explicitly noting that such structure can accelerate the adoption and accessibility of agentic AI auditing for auditors of all sizes, not only the largest firms.</w:t>
      </w:r>
      <w:r>
        <w:rPr>
          <w:rFonts w:ascii="Calibri" w:cs="Calibri" w:eastAsia="Calibri" w:hAnsi="Calibri"/>
          <w:b/>
          <w:bCs/>
          <w:color w:val="0b7a6e"/>
          <w:sz w:val="14"/>
          <w:szCs w:val="14"/>
          <w:vertAlign w:val="superscript"/>
        </w:rPr>
        <w:t xml:space="preserve"> [20]</w:t>
      </w:r>
    </w:p>
    <w:p>
      <w:pPr>
        <w:spacing w:after="120" w:before="60" w:line="300"/>
      </w:pPr>
      <w:r>
        <w:rPr>
          <w:rFonts w:ascii="Calibri" w:cs="Calibri" w:eastAsia="Calibri" w:hAnsi="Calibri"/>
          <w:color w:val="1a1f2e"/>
          <w:sz w:val="21"/>
          <w:szCs w:val="21"/>
        </w:rPr>
        <w:t xml:space="preserve">PCAOB inspectors have stated AI will remain an explicit focus of their 2026 inspection work, and that the technology-assisted-analysis standard adopted in 2025 was deliberately scoped to exclude AI — signaling that dedicated AI guidance is anticipated rather than settled.</w:t>
      </w:r>
      <w:r>
        <w:rPr>
          <w:rFonts w:ascii="Calibri" w:cs="Calibri" w:eastAsia="Calibri" w:hAnsi="Calibri"/>
          <w:b/>
          <w:bCs/>
          <w:color w:val="0b7a6e"/>
          <w:sz w:val="14"/>
          <w:szCs w:val="14"/>
          <w:vertAlign w:val="superscript"/>
        </w:rPr>
        <w:t xml:space="preserve"> [21]</w:t>
      </w:r>
    </w:p>
    <w:tbl>
      <w:tblPr>
        <w:tblW w:type="dxa" w:w="9360"/>
        <w:tblBorders>
          <w:top w:val="none"/>
          <w:left w:val="single" w:color="0b7a6e" w:sz="18"/>
          <w:bottom w:val="none"/>
          <w:right w:val="none"/>
          <w:insideH w:val="none"/>
          <w:insideV w:val="none"/>
        </w:tblBorders>
      </w:tblPr>
      <w:tblGrid>
        <w:gridCol w:w="9360"/>
      </w:tblGrid>
      <w:tr>
        <w:tc>
          <w:tcPr>
            <w:tcW w:type="dxa" w:w="9360"/>
            <w:shd w:fill="e6f4f1" w:val="clear"/>
            <w:tcMar>
              <w:top w:type="dxa" w:w="140"/>
              <w:left w:type="dxa" w:w="220"/>
              <w:bottom w:type="dxa" w:w="140"/>
              <w:right w:type="dxa" w:w="200"/>
            </w:tcMar>
          </w:tcPr>
          <w:p>
            <w:pPr>
              <w:spacing w:after="60"/>
            </w:pPr>
            <w:r>
              <w:rPr>
                <w:rFonts w:ascii="Calibri" w:cs="Calibri" w:eastAsia="Calibri" w:hAnsi="Calibri"/>
                <w:b/>
                <w:bCs/>
                <w:caps/>
                <w:color w:val="0b7a6e"/>
                <w:sz w:val="18"/>
                <w:szCs w:val="18"/>
              </w:rPr>
              <w:t xml:space="preserve">Why the regulatory lens strengthens the case</w:t>
            </w:r>
          </w:p>
          <w:p>
            <w:pPr>
              <w:spacing w:after="0" w:line="290"/>
            </w:pPr>
            <w:r>
              <w:rPr>
                <w:rFonts w:ascii="Calibri" w:cs="Calibri" w:eastAsia="Calibri" w:hAnsi="Calibri"/>
                <w:i/>
                <w:iCs/>
                <w:color w:val="1a1f2e"/>
                <w:sz w:val="20"/>
                <w:szCs w:val="20"/>
              </w:rPr>
              <w:t xml:space="preserve">A tool that produces a structured, categorized, citation-grounded review record is aligned with exactly the direction the PCAOB has signalled — structured documentation as the infrastructure for accessible, auditable AI. FundLens Audit’s output format is a design response to a stated regulatory priority, not an afterthought.</w:t>
            </w:r>
          </w:p>
        </w:tc>
      </w:tr>
    </w:tbl>
    <w:p>
      <w:r>
        <w:br w:type="page"/>
      </w:r>
    </w:p>
    <w:p>
      <w:pPr>
        <w:keepNext/>
        <w:pBdr>
          <w:bottom w:val="single" w:color="0b7a6e" w:sz="4" w:space="4"/>
        </w:pBdr>
        <w:spacing w:after="140" w:before="360"/>
      </w:pPr>
      <w:r>
        <w:rPr>
          <w:rFonts w:ascii="Calibri" w:cs="Calibri" w:eastAsia="Calibri" w:hAnsi="Calibri"/>
          <w:b/>
          <w:bCs/>
          <w:color w:val="0b7a6e"/>
          <w:sz w:val="30"/>
          <w:szCs w:val="30"/>
        </w:rPr>
        <w:t xml:space="preserve">04  </w:t>
      </w:r>
      <w:r>
        <w:rPr>
          <w:rFonts w:ascii="Calibri" w:cs="Calibri" w:eastAsia="Calibri" w:hAnsi="Calibri"/>
          <w:b/>
          <w:bCs/>
          <w:color w:val="13233f"/>
          <w:sz w:val="30"/>
          <w:szCs w:val="30"/>
        </w:rPr>
        <w:t xml:space="preserve">The Use Case for AI, ML, and Agentic Workflows</w:t>
      </w:r>
    </w:p>
    <w:p>
      <w:pPr>
        <w:spacing w:after="120" w:before="60" w:line="300"/>
      </w:pPr>
      <w:r>
        <w:rPr>
          <w:rFonts w:ascii="Calibri" w:cs="Calibri" w:eastAsia="Calibri" w:hAnsi="Calibri"/>
          <w:color w:val="1a1f2e"/>
          <w:sz w:val="21"/>
          <w:szCs w:val="21"/>
        </w:rPr>
        <w:t xml:space="preserve">Combining the two field analyses produces a use case stronger than either domain argues alone, because the alternative asset back office and its audit are the same data viewed from two sides. The argument proceeds in three layers.</w:t>
      </w:r>
    </w:p>
    <w:p>
      <w:pPr>
        <w:keepNext/>
        <w:spacing w:after="80" w:before="180"/>
      </w:pPr>
      <w:r>
        <w:rPr>
          <w:rFonts w:ascii="Calibri" w:cs="Calibri" w:eastAsia="Calibri" w:hAnsi="Calibri"/>
          <w:b/>
          <w:bCs/>
          <w:color w:val="0b7a6e"/>
          <w:sz w:val="22"/>
          <w:szCs w:val="22"/>
        </w:rPr>
        <w:t xml:space="preserve">Layer 1 — Machine learning for pattern and anomaly detection</w:t>
      </w:r>
    </w:p>
    <w:p>
      <w:pPr>
        <w:spacing w:after="120" w:before="60" w:line="300"/>
      </w:pPr>
      <w:r>
        <w:rPr>
          <w:rFonts w:ascii="Calibri" w:cs="Calibri" w:eastAsia="Calibri" w:hAnsi="Calibri"/>
          <w:color w:val="1a1f2e"/>
          <w:sz w:val="21"/>
          <w:szCs w:val="21"/>
        </w:rPr>
        <w:t xml:space="preserve">The most empirically grounded layer. Anomaly detection across reconciliations, pricing feeds, and capital activity is a mature application with documented results: a frequently cited Deloitte figure holds that AI reduces time spent on risk assessment by up to 30% and decreases the risk of material misstatement by roughly 20%.</w:t>
      </w:r>
      <w:r>
        <w:rPr>
          <w:rFonts w:ascii="Calibri" w:cs="Calibri" w:eastAsia="Calibri" w:hAnsi="Calibri"/>
          <w:b/>
          <w:bCs/>
          <w:color w:val="0b7a6e"/>
          <w:sz w:val="14"/>
          <w:szCs w:val="14"/>
          <w:vertAlign w:val="superscript"/>
        </w:rPr>
        <w:t xml:space="preserve"> [28]</w:t>
      </w:r>
    </w:p>
    <w:p>
      <w:pPr>
        <w:spacing w:after="120" w:before="60" w:line="300"/>
      </w:pPr>
      <w:r>
        <w:rPr>
          <w:rFonts w:ascii="Calibri" w:cs="Calibri" w:eastAsia="Calibri" w:hAnsi="Calibri"/>
          <w:color w:val="1a1f2e"/>
          <w:sz w:val="21"/>
          <w:szCs w:val="21"/>
        </w:rPr>
        <w:t xml:space="preserve">This figure is widely repeated and directionally credible, but it originates in firm-published research and should be read as directional rather than as an independently audited benchmark.</w:t>
      </w:r>
    </w:p>
    <w:p>
      <w:pPr>
        <w:keepNext/>
        <w:spacing w:after="80" w:before="180"/>
      </w:pPr>
      <w:r>
        <w:rPr>
          <w:rFonts w:ascii="Calibri" w:cs="Calibri" w:eastAsia="Calibri" w:hAnsi="Calibri"/>
          <w:b/>
          <w:bCs/>
          <w:color w:val="0b7a6e"/>
          <w:sz w:val="22"/>
          <w:szCs w:val="22"/>
        </w:rPr>
        <w:t xml:space="preserve">Layer 2 — Generative AI for document comprehension</w:t>
      </w:r>
    </w:p>
    <w:p>
      <w:pPr>
        <w:spacing w:after="120" w:before="60" w:line="300"/>
      </w:pPr>
      <w:r>
        <w:rPr>
          <w:rFonts w:ascii="Calibri" w:cs="Calibri" w:eastAsia="Calibri" w:hAnsi="Calibri"/>
          <w:color w:val="1a1f2e"/>
          <w:sz w:val="21"/>
          <w:szCs w:val="21"/>
        </w:rPr>
        <w:t xml:space="preserve">The layer the FundLens legacy suite occupies. The single most repeated, independently corroborated pain point across both fields is document comprehension at scale: LPAs, PPMs, capital account statements, financial statements, and PBC support. Multiple independent advisory sources converge on the same finding: document review that took hours now takes minutes when a capable model reads the document natively. Ardabelle, a Paris-based mid-market PE fund, reports analysts saving five-plus hours per week and investment-memo production running 30–40% faster after building agentic document workflows.</w:t>
      </w:r>
      <w:r>
        <w:rPr>
          <w:rFonts w:ascii="Calibri" w:cs="Calibri" w:eastAsia="Calibri" w:hAnsi="Calibri"/>
          <w:b/>
          <w:bCs/>
          <w:color w:val="0b7a6e"/>
          <w:sz w:val="14"/>
          <w:szCs w:val="14"/>
          <w:vertAlign w:val="superscript"/>
        </w:rPr>
        <w:t xml:space="preserve"> [14]</w:t>
      </w:r>
    </w:p>
    <w:p>
      <w:pPr>
        <w:keepNext/>
        <w:spacing w:after="80" w:before="180"/>
      </w:pPr>
      <w:r>
        <w:rPr>
          <w:rFonts w:ascii="Calibri" w:cs="Calibri" w:eastAsia="Calibri" w:hAnsi="Calibri"/>
          <w:b/>
          <w:bCs/>
          <w:color w:val="0b7a6e"/>
          <w:sz w:val="22"/>
          <w:szCs w:val="22"/>
        </w:rPr>
        <w:t xml:space="preserve">Layer 3 — Agentic, multi-agent adversarial review</w:t>
      </w:r>
    </w:p>
    <w:p>
      <w:pPr>
        <w:spacing w:after="120" w:before="60" w:line="300"/>
      </w:pPr>
      <w:r>
        <w:rPr>
          <w:rFonts w:ascii="Calibri" w:cs="Calibri" w:eastAsia="Calibri" w:hAnsi="Calibri"/>
          <w:color w:val="1a1f2e"/>
          <w:sz w:val="21"/>
          <w:szCs w:val="21"/>
        </w:rPr>
        <w:t xml:space="preserve">The frontier layer, and the one FundLens Audit targets. The strongest single piece of verified evidence that this architecture is the right bet is not a vendor claim — it is EY. In April 2026 EY announced enterprise-scale rollout of a multi-agent framework embedded in EY Canvas, its global assurance platform, across roughly 130,000 assurance professionals and 160,000 audit engagements, with the explicit goal of embedding agentic AI across all phases of the audit and an emphasis that human judgment, skepticism, and insight remain fundamental.</w:t>
      </w:r>
      <w:r>
        <w:rPr>
          <w:rFonts w:ascii="Calibri" w:cs="Calibri" w:eastAsia="Calibri" w:hAnsi="Calibri"/>
          <w:b/>
          <w:bCs/>
          <w:color w:val="0b7a6e"/>
          <w:sz w:val="14"/>
          <w:szCs w:val="14"/>
          <w:vertAlign w:val="superscript"/>
        </w:rPr>
        <w:t xml:space="preserve"> [1]</w:t>
      </w:r>
    </w:p>
    <w:tbl>
      <w:tblPr>
        <w:tblW w:type="dxa" w:w="9360"/>
        <w:tblBorders>
          <w:top w:val="none"/>
          <w:left w:val="single" w:color="0b7a6e" w:sz="18"/>
          <w:bottom w:val="none"/>
          <w:right w:val="none"/>
          <w:insideH w:val="none"/>
          <w:insideV w:val="none"/>
        </w:tblBorders>
      </w:tblPr>
      <w:tblGrid>
        <w:gridCol w:w="9360"/>
      </w:tblGrid>
      <w:tr>
        <w:tc>
          <w:tcPr>
            <w:tcW w:type="dxa" w:w="9360"/>
            <w:shd w:fill="e6f4f1" w:val="clear"/>
            <w:tcMar>
              <w:top w:type="dxa" w:w="140"/>
              <w:left w:type="dxa" w:w="220"/>
              <w:bottom w:type="dxa" w:w="140"/>
              <w:right w:type="dxa" w:w="200"/>
            </w:tcMar>
          </w:tcPr>
          <w:p>
            <w:pPr>
              <w:spacing w:after="60"/>
            </w:pPr>
            <w:r>
              <w:rPr>
                <w:rFonts w:ascii="Calibri" w:cs="Calibri" w:eastAsia="Calibri" w:hAnsi="Calibri"/>
                <w:b/>
                <w:bCs/>
                <w:caps/>
                <w:color w:val="0b7a6e"/>
                <w:sz w:val="18"/>
                <w:szCs w:val="18"/>
              </w:rPr>
              <w:t xml:space="preserve">The core argument, stated plainly</w:t>
            </w:r>
          </w:p>
          <w:p>
            <w:pPr>
              <w:spacing w:after="0" w:line="290"/>
            </w:pPr>
            <w:r>
              <w:rPr>
                <w:rFonts w:ascii="Calibri" w:cs="Calibri" w:eastAsia="Calibri" w:hAnsi="Calibri"/>
                <w:i/>
                <w:iCs/>
                <w:color w:val="1a1f2e"/>
                <w:sz w:val="20"/>
                <w:szCs w:val="20"/>
              </w:rPr>
              <w:t xml:space="preserve">The largest assurance organization in the world has bet a multibillion-dollar program on the precise architecture FundLens Audit implements at a focused scale: multiple specialized agents, orchestrated, with human judgment retained at the decision point. The architecture is no longer speculative. What remains scarce is access to it outside the enterprise tier.</w:t>
            </w:r>
          </w:p>
        </w:tc>
      </w:tr>
    </w:tbl>
    <w:p>
      <w:r>
        <w:br w:type="page"/>
      </w:r>
    </w:p>
    <w:p>
      <w:pPr>
        <w:keepNext/>
        <w:pBdr>
          <w:bottom w:val="single" w:color="0b7a6e" w:sz="4" w:space="4"/>
        </w:pBdr>
        <w:spacing w:after="140" w:before="360"/>
      </w:pPr>
      <w:r>
        <w:rPr>
          <w:rFonts w:ascii="Calibri" w:cs="Calibri" w:eastAsia="Calibri" w:hAnsi="Calibri"/>
          <w:b/>
          <w:bCs/>
          <w:color w:val="0b7a6e"/>
          <w:sz w:val="30"/>
          <w:szCs w:val="30"/>
        </w:rPr>
        <w:t xml:space="preserve">05  </w:t>
      </w:r>
      <w:r>
        <w:rPr>
          <w:rFonts w:ascii="Calibri" w:cs="Calibri" w:eastAsia="Calibri" w:hAnsi="Calibri"/>
          <w:b/>
          <w:bCs/>
          <w:color w:val="13233f"/>
          <w:sz w:val="30"/>
          <w:szCs w:val="30"/>
        </w:rPr>
        <w:t xml:space="preserve">What Exists, What Is Missing, and How FundLens Fills the Gap</w:t>
      </w:r>
    </w:p>
    <w:p>
      <w:pPr>
        <w:keepNext/>
        <w:spacing w:after="80" w:before="180"/>
      </w:pPr>
      <w:r>
        <w:rPr>
          <w:rFonts w:ascii="Calibri" w:cs="Calibri" w:eastAsia="Calibri" w:hAnsi="Calibri"/>
          <w:b/>
          <w:bCs/>
          <w:color w:val="0b7a6e"/>
          <w:sz w:val="22"/>
          <w:szCs w:val="22"/>
        </w:rPr>
        <w:t xml:space="preserve">What exists</w:t>
      </w:r>
    </w:p>
    <w:p>
      <w:pPr>
        <w:spacing w:after="120" w:before="60" w:line="300"/>
      </w:pPr>
      <w:r>
        <w:rPr>
          <w:rFonts w:ascii="Calibri" w:cs="Calibri" w:eastAsia="Calibri" w:hAnsi="Calibri"/>
          <w:color w:val="1a1f2e"/>
          <w:sz w:val="21"/>
          <w:szCs w:val="21"/>
        </w:rPr>
        <w:t xml:space="preserve">The market has two well-populated ends and a thin middle. At the enterprise end: EY Canvas, the established fund-administration platforms (SS&amp;C Investran, BlackRock eFront, FundCount), and AI-native entrants such as OpEff/Perfona that explicitly market agentic fund accounting with shadow NAV reconciliation and PDF statement verification against fund-admin output.</w:t>
      </w:r>
      <w:r>
        <w:rPr>
          <w:rFonts w:ascii="Calibri" w:cs="Calibri" w:eastAsia="Calibri" w:hAnsi="Calibri"/>
          <w:b/>
          <w:bCs/>
          <w:color w:val="0b7a6e"/>
          <w:sz w:val="14"/>
          <w:szCs w:val="14"/>
          <w:vertAlign w:val="superscript"/>
        </w:rPr>
        <w:t xml:space="preserve"> [16]</w:t>
      </w:r>
    </w:p>
    <w:p>
      <w:pPr>
        <w:spacing w:after="120" w:before="60" w:line="300"/>
      </w:pPr>
      <w:r>
        <w:rPr>
          <w:rFonts w:ascii="Calibri" w:cs="Calibri" w:eastAsia="Calibri" w:hAnsi="Calibri"/>
          <w:color w:val="1a1f2e"/>
          <w:sz w:val="21"/>
          <w:szCs w:val="21"/>
        </w:rPr>
        <w:t xml:space="preserve">At the generic end: horizontal AI document and search tools that are powerful but not built around fund accounting concepts, ASC 946, or waterfall mechanics, and that consequently stall on adoption when pointed at fund-specific work.</w:t>
      </w:r>
      <w:r>
        <w:rPr>
          <w:rFonts w:ascii="Calibri" w:cs="Calibri" w:eastAsia="Calibri" w:hAnsi="Calibri"/>
          <w:b/>
          <w:bCs/>
          <w:color w:val="0b7a6e"/>
          <w:sz w:val="14"/>
          <w:szCs w:val="14"/>
          <w:vertAlign w:val="superscript"/>
        </w:rPr>
        <w:t xml:space="preserve"> [18]</w:t>
      </w:r>
    </w:p>
    <w:p>
      <w:pPr>
        <w:keepNext/>
        <w:spacing w:after="80" w:before="180"/>
      </w:pPr>
      <w:r>
        <w:rPr>
          <w:rFonts w:ascii="Calibri" w:cs="Calibri" w:eastAsia="Calibri" w:hAnsi="Calibri"/>
          <w:b/>
          <w:bCs/>
          <w:color w:val="0b7a6e"/>
          <w:sz w:val="22"/>
          <w:szCs w:val="22"/>
        </w:rPr>
        <w:t xml:space="preserve">What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80"/>
        <w:gridCol w:w="3380"/>
      </w:tblGrid>
      <w:tr>
        <w:trPr>
          <w:tblHeader/>
        </w:trPr>
        <w:tc>
          <w:tcPr>
            <w:tcW w:type="dxa" w:w="230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Gap</w:t>
            </w:r>
          </w:p>
        </w:tc>
        <w:tc>
          <w:tcPr>
            <w:tcW w:type="dxa" w:w="368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Why it persists</w:t>
            </w:r>
          </w:p>
        </w:tc>
        <w:tc>
          <w:tcPr>
            <w:tcW w:type="dxa" w:w="338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Consequence</w:t>
            </w:r>
          </w:p>
        </w:tc>
      </w:tr>
      <w:tr>
        <w:tc>
          <w:tcPr>
            <w:tcW w:type="dxa" w:w="23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Adversarial document-level review</w:t>
            </w:r>
          </w:p>
        </w:tc>
        <w:tc>
          <w:tcPr>
            <w:tcW w:type="dxa" w:w="368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Enterprise platforms automate workflow and reconciliation; few interrogate the fund document set for internal inconsistency and non-market terms the way an experienced reviewer does.</w:t>
            </w:r>
          </w:p>
        </w:tc>
        <w:tc>
          <w:tcPr>
            <w:tcW w:type="dxa" w:w="338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First-pass review quality stays dependent on the individual reviewer’s experience and available time.</w:t>
            </w:r>
          </w:p>
        </w:tc>
      </w:tr>
      <w:tr>
        <w:tc>
          <w:tcPr>
            <w:tcW w:type="dxa" w:w="23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Accessibility below the enterprise tier</w:t>
            </w:r>
          </w:p>
        </w:tc>
        <w:tc>
          <w:tcPr>
            <w:tcW w:type="dxa" w:w="368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The most capable agentic assurance tooling is bundled into multi-year enterprise platforms or Big Four internal systems.</w:t>
            </w:r>
          </w:p>
        </w:tc>
        <w:tc>
          <w:tcPr>
            <w:tcW w:type="dxa" w:w="338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Mid-market administrators, smaller funds, and independent practitioners cannot reach the capability the largest firms now have.</w:t>
            </w:r>
          </w:p>
        </w:tc>
      </w:tr>
      <w:tr>
        <w:tc>
          <w:tcPr>
            <w:tcW w:type="dxa" w:w="23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Domain-true reasoning</w:t>
            </w:r>
          </w:p>
        </w:tc>
        <w:tc>
          <w:tcPr>
            <w:tcW w:type="dxa" w:w="368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Generic AI tools lack built-in fund accounting and audit logic; enterprise tools embed it but are closed and costly.</w:t>
            </w:r>
          </w:p>
        </w:tc>
        <w:tc>
          <w:tcPr>
            <w:tcW w:type="dxa" w:w="338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A capability gap opens between firms that can afford enterprise AI and those that cannot — a concern the PCAOB itself has flagged regarding accessibility for auditors of all sizes.</w:t>
            </w:r>
          </w:p>
        </w:tc>
      </w:tr>
    </w:tbl>
    <w:p>
      <w:pPr>
        <w:spacing w:after="120" w:before="60" w:line="300"/>
      </w:pPr>
      <w:r>
        <w:rPr>
          <w:rFonts w:ascii="Calibri" w:cs="Calibri" w:eastAsia="Calibri" w:hAnsi="Calibri"/>
          <w:i/>
          <w:iCs/>
          <w:color w:val="5a6577"/>
          <w:sz w:val="16"/>
          <w:szCs w:val="16"/>
        </w:rPr>
        <w:t xml:space="preserve">(PCAOB accessibility concern, Future State deliverable.)</w:t>
      </w:r>
      <w:r>
        <w:rPr>
          <w:rFonts w:ascii="Calibri" w:cs="Calibri" w:eastAsia="Calibri" w:hAnsi="Calibri"/>
          <w:b/>
          <w:bCs/>
          <w:color w:val="0b7a6e"/>
          <w:sz w:val="14"/>
          <w:szCs w:val="14"/>
          <w:vertAlign w:val="superscript"/>
        </w:rPr>
        <w:t xml:space="preserve"> [20]</w:t>
      </w:r>
    </w:p>
    <w:p>
      <w:pPr>
        <w:spacing w:after="0" w:before="80"/>
      </w:pPr>
      <w:r>
        <w:t xml:space="preserve"/>
      </w:r>
    </w:p>
    <w:p>
      <w:pPr>
        <w:keepNext/>
        <w:spacing w:after="80" w:before="180"/>
      </w:pPr>
      <w:r>
        <w:rPr>
          <w:rFonts w:ascii="Calibri" w:cs="Calibri" w:eastAsia="Calibri" w:hAnsi="Calibri"/>
          <w:b/>
          <w:bCs/>
          <w:color w:val="0b7a6e"/>
          <w:sz w:val="22"/>
          <w:szCs w:val="22"/>
        </w:rPr>
        <w:t xml:space="preserve">How the FundLens legacy suite fills the foundation</w:t>
      </w:r>
    </w:p>
    <w:p>
      <w:pPr>
        <w:spacing w:after="120" w:before="60" w:line="300"/>
      </w:pPr>
      <w:r>
        <w:rPr>
          <w:rFonts w:ascii="Calibri" w:cs="Calibri" w:eastAsia="Calibri" w:hAnsi="Calibri"/>
          <w:color w:val="1a1f2e"/>
          <w:sz w:val="21"/>
          <w:szCs w:val="21"/>
        </w:rPr>
        <w:t xml:space="preserve">The four existing tools collectively close Layer 2 for the specific document types that matter most in fund operations: FundLens for fund-governing documents, DesoFall for the waterfall, DraftLens for financial-statement review, and FundLens Forecast for forward metrics. Each is domain-true — built around the actual mechanics of fund accounting rather than retrofitted from a generic tool — which is the exact property the generic end of the market lacks.</w:t>
      </w:r>
    </w:p>
    <w:p>
      <w:pPr>
        <w:keepNext/>
        <w:spacing w:after="80" w:before="180"/>
      </w:pPr>
      <w:r>
        <w:rPr>
          <w:rFonts w:ascii="Calibri" w:cs="Calibri" w:eastAsia="Calibri" w:hAnsi="Calibri"/>
          <w:b/>
          <w:bCs/>
          <w:color w:val="0b7a6e"/>
          <w:sz w:val="22"/>
          <w:szCs w:val="22"/>
        </w:rPr>
        <w:t xml:space="preserve">How FundLens Audit is designed to address the frontier gap</w:t>
      </w:r>
    </w:p>
    <w:p>
      <w:pPr>
        <w:spacing w:after="120" w:before="60" w:line="300"/>
      </w:pPr>
      <w:r>
        <w:rPr>
          <w:rFonts w:ascii="Calibri" w:cs="Calibri" w:eastAsia="Calibri" w:hAnsi="Calibri"/>
          <w:color w:val="1a1f2e"/>
          <w:sz w:val="21"/>
          <w:szCs w:val="21"/>
        </w:rPr>
        <w:t xml:space="preserve">FundLens Audit is designed to apply the multi-agent adversarial pattern — the same architectural class EY has now validated at enterprise scale — to the specific, unaddressed task of interrogating a fund document set, at a scale and accessibility point the enterprise platforms do not serve. The intent is to be domain-true where generic tools are not, and accessible where enterprise tooling is not. That intersection is the gap; whether the build ultimately occupies it is the question execution will answer. The synthesis identifies the opportunity — it does not assert it is captured.</w:t>
      </w:r>
    </w:p>
    <w:p>
      <w:r>
        <w:br w:type="page"/>
      </w:r>
    </w:p>
    <w:p>
      <w:pPr>
        <w:keepNext/>
        <w:pBdr>
          <w:bottom w:val="single" w:color="0b7a6e" w:sz="4" w:space="4"/>
        </w:pBdr>
        <w:spacing w:after="140" w:before="360"/>
      </w:pPr>
      <w:r>
        <w:rPr>
          <w:rFonts w:ascii="Calibri" w:cs="Calibri" w:eastAsia="Calibri" w:hAnsi="Calibri"/>
          <w:b/>
          <w:bCs/>
          <w:color w:val="0b7a6e"/>
          <w:sz w:val="30"/>
          <w:szCs w:val="30"/>
        </w:rPr>
        <w:t xml:space="preserve">05A  </w:t>
      </w:r>
      <w:r>
        <w:rPr>
          <w:rFonts w:ascii="Calibri" w:cs="Calibri" w:eastAsia="Calibri" w:hAnsi="Calibri"/>
          <w:b/>
          <w:bCs/>
          <w:color w:val="13233f"/>
          <w:sz w:val="30"/>
          <w:szCs w:val="30"/>
        </w:rPr>
        <w:t xml:space="preserve">The Competitive Map</w:t>
      </w:r>
    </w:p>
    <w:p>
      <w:pPr>
        <w:spacing w:after="120" w:before="60" w:line="300"/>
      </w:pPr>
      <w:r>
        <w:rPr>
          <w:rFonts w:ascii="Calibri" w:cs="Calibri" w:eastAsia="Calibri" w:hAnsi="Calibri"/>
          <w:color w:val="1a1f2e"/>
          <w:sz w:val="21"/>
          <w:szCs w:val="21"/>
        </w:rPr>
        <w:t xml:space="preserve">The gap described above is easier to see than to read. The grid below plots the relevant categories of tooling on the two axes that actually determine fit for fund-document review: how domain-true the reasoning is (does the tool understand ASC 946, waterfall mechanics, and capital account logic natively, or is it a generic engine pointed at the problem?) and how accessible the capability is below the enterprise tier.</w:t>
      </w:r>
    </w:p>
    <w:p>
      <w:pPr>
        <w:spacing w:after="120" w:before="60" w:line="300"/>
      </w:pPr>
      <w:r>
        <w:rPr>
          <w:rFonts w:ascii="Calibri" w:cs="Calibri" w:eastAsia="Calibri" w:hAnsi="Calibri"/>
          <w:i/>
          <w:iCs/>
          <w:color w:val="5a6577"/>
          <w:sz w:val="19"/>
          <w:szCs w:val="19"/>
        </w:rPr>
        <w:t xml:space="preserve">The upper-right quadrant — domain-true reasoning that is also accessible below the enterprise tier — is largely unoccupied. This document does not claim FundLens Audit currently fills it; the tool is in development. The quadrant is presented as a market opportunity the suite is being built toward, not a position it already holds. The point of the map is the shape of the whitespace, not a flag planted in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4340"/>
        <w:gridCol w:w="4340"/>
      </w:tblGrid>
      <w:tr>
        <w:tc>
          <w:tcPr>
            <w:tcW w:type="dxa" w:w="680"/>
            <w:tcBorders>
              <w:top w:val="none"/>
              <w:left w:val="none"/>
              <w:bottom w:val="none"/>
              <w:right w:val="none"/>
            </w:tcBorders>
          </w:tcPr>
          <w:p>
            <w:r>
              <w:t xml:space="preserve"/>
            </w:r>
          </w:p>
        </w:tc>
        <w:tc>
          <w:tcPr>
            <w:tcW w:type="dxa" w:w="8680"/>
            <w:gridSpan w:val="2"/>
            <w:tcBorders>
              <w:bottom w:val="single" w:color="c4ccd6" w:sz="1"/>
            </w:tcBorders>
            <w:shd w:fill="FFFFFF" w:val="clear"/>
            <w:tcMar>
              <w:top w:type="dxa" w:w="40"/>
              <w:bottom w:type="dxa" w:w="60"/>
            </w:tcMar>
          </w:tcPr>
          <w:p>
            <w:pPr>
              <w:jc w:val="center"/>
            </w:pPr>
            <w:r>
              <w:rPr>
                <w:rFonts w:ascii="Calibri" w:cs="Calibri" w:eastAsia="Calibri" w:hAnsi="Calibri"/>
                <w:b/>
                <w:bCs/>
                <w:caps/>
                <w:color w:val="5a6577"/>
                <w:sz w:val="16"/>
                <w:szCs w:val="16"/>
              </w:rPr>
              <w:t xml:space="preserve">DOMAIN-TRUE REASONING  →</w:t>
            </w:r>
          </w:p>
        </w:tc>
      </w:tr>
      <w:tr>
        <w:tc>
          <w:tcPr>
            <w:tcW w:type="dxa" w:w="680"/>
            <w:tcBorders>
              <w:right w:val="single" w:color="c4ccd6" w:sz="1"/>
            </w:tcBorders>
            <w:shd w:fill="FFFFFF" w:val="clear"/>
            <w:vAlign w:val="center"/>
          </w:tcPr>
          <w:p>
            <w:pPr>
              <w:jc w:val="center"/>
            </w:pPr>
            <w:r>
              <w:rPr>
                <w:rFonts w:ascii="Calibri" w:cs="Calibri" w:eastAsia="Calibri" w:hAnsi="Calibri"/>
                <w:b/>
                <w:bCs/>
                <w:color w:val="5a6577"/>
                <w:sz w:val="14"/>
                <w:szCs w:val="14"/>
              </w:rPr>
              <w:t xml:space="preserve">A C C E S S I B L E</w:t>
            </w:r>
          </w:p>
        </w:tc>
        <w:tc>
          <w:tcPr>
            <w:tcW w:type="dxa" w:w="4680"/>
            <w:tcBorders>
              <w:top w:val="single" w:color="c4ccd6" w:sz="1"/>
              <w:left w:val="single" w:color="c4ccd6" w:sz="1"/>
              <w:bottom w:val="single" w:color="c4ccd6" w:sz="1"/>
              <w:right w:val="single" w:color="c4ccd6" w:sz="1"/>
            </w:tcBorders>
            <w:shd w:fill="f2f4f7" w:val="clear"/>
            <w:tcMar>
              <w:top w:type="dxa" w:w="140"/>
              <w:left w:type="dxa" w:w="160"/>
              <w:bottom w:type="dxa" w:w="140"/>
              <w:right w:type="dxa" w:w="140"/>
            </w:tcMar>
            <w:vAlign w:val="center"/>
          </w:tcPr>
          <w:p>
            <w:pPr>
              <w:spacing w:after="50" w:before="0" w:line="270"/>
            </w:pPr>
            <w:r>
              <w:rPr>
                <w:rFonts w:ascii="Calibri" w:cs="Calibri" w:eastAsia="Calibri" w:hAnsi="Calibri"/>
                <w:b/>
                <w:bCs/>
                <w:color w:val="13233f"/>
                <w:sz w:val="19"/>
                <w:szCs w:val="19"/>
              </w:rPr>
              <w:t xml:space="preserve">Accessible, not domain-true</w:t>
            </w:r>
          </w:p>
          <w:p>
            <w:pPr>
              <w:spacing w:after="50" w:before="50" w:line="270"/>
            </w:pPr>
            <w:r>
              <w:rPr>
                <w:rFonts w:ascii="Calibri" w:cs="Calibri" w:eastAsia="Calibri" w:hAnsi="Calibri"/>
                <w:i w:val="false"/>
                <w:iCs w:val="false"/>
                <w:color w:val="1a1f2e"/>
                <w:sz w:val="18"/>
                <w:szCs w:val="18"/>
              </w:rPr>
              <w:t xml:space="preserve">Generic horizontal AI</w:t>
            </w:r>
          </w:p>
          <w:p>
            <w:pPr>
              <w:spacing w:after="50" w:before="50" w:line="270"/>
            </w:pPr>
            <w:r>
              <w:rPr>
                <w:rFonts w:ascii="Calibri" w:cs="Calibri" w:eastAsia="Calibri" w:hAnsi="Calibri"/>
                <w:i/>
                <w:iCs/>
                <w:color w:val="1a1f2e"/>
                <w:sz w:val="18"/>
                <w:szCs w:val="18"/>
              </w:rPr>
              <w:t xml:space="preserve">Capable models, no built-in fund/audit logic. Adoption stalls on fund-specific work.</w:t>
            </w:r>
          </w:p>
        </w:tc>
        <w:tc>
          <w:tcPr>
            <w:tcW w:type="dxa" w:w="4680"/>
            <w:tcBorders>
              <w:top w:val="single" w:color="c4ccd6" w:sz="1"/>
              <w:left w:val="single" w:color="c4ccd6" w:sz="1"/>
              <w:bottom w:val="single" w:color="c4ccd6" w:sz="1"/>
              <w:right w:val="single" w:color="c4ccd6" w:sz="1"/>
            </w:tcBorders>
            <w:shd w:fill="e6f4f1" w:val="clear"/>
            <w:tcMar>
              <w:top w:type="dxa" w:w="140"/>
              <w:left w:type="dxa" w:w="160"/>
              <w:bottom w:type="dxa" w:w="140"/>
              <w:right w:type="dxa" w:w="140"/>
            </w:tcMar>
            <w:vAlign w:val="center"/>
          </w:tcPr>
          <w:p>
            <w:pPr>
              <w:spacing w:after="50" w:before="0" w:line="270"/>
            </w:pPr>
            <w:r>
              <w:rPr>
                <w:rFonts w:ascii="Calibri" w:cs="Calibri" w:eastAsia="Calibri" w:hAnsi="Calibri"/>
                <w:b/>
                <w:bCs/>
                <w:color w:val="0b7a6e"/>
                <w:sz w:val="19"/>
                <w:szCs w:val="19"/>
              </w:rPr>
              <w:t xml:space="preserve">Domain-true AND accessible</w:t>
            </w:r>
          </w:p>
          <w:p>
            <w:pPr>
              <w:spacing w:after="50" w:before="50" w:line="270"/>
            </w:pPr>
            <w:r>
              <w:rPr>
                <w:rFonts w:ascii="Calibri" w:cs="Calibri" w:eastAsia="Calibri" w:hAnsi="Calibri"/>
                <w:i w:val="false"/>
                <w:iCs w:val="false"/>
                <w:color w:val="1a1f2e"/>
                <w:sz w:val="18"/>
                <w:szCs w:val="18"/>
              </w:rPr>
              <w:t xml:space="preserve">Open — unmet need</w:t>
            </w:r>
          </w:p>
          <w:p>
            <w:pPr>
              <w:spacing w:after="50" w:before="50" w:line="270"/>
            </w:pPr>
            <w:r>
              <w:rPr>
                <w:rFonts w:ascii="Calibri" w:cs="Calibri" w:eastAsia="Calibri" w:hAnsi="Calibri"/>
                <w:i/>
                <w:iCs/>
                <w:color w:val="1a1f2e"/>
                <w:sz w:val="18"/>
                <w:szCs w:val="18"/>
              </w:rPr>
              <w:t xml:space="preserve">No incumbent durably here. The opportunity FundLens Audit is being built toward.</w:t>
            </w:r>
          </w:p>
        </w:tc>
      </w:tr>
      <w:tr>
        <w:tc>
          <w:tcPr>
            <w:tcW w:type="dxa" w:w="680"/>
            <w:tcBorders>
              <w:right w:val="single" w:color="c4ccd6" w:sz="1"/>
            </w:tcBorders>
            <w:shd w:fill="FFFFFF" w:val="clear"/>
            <w:vAlign w:val="center"/>
          </w:tcPr>
          <w:p>
            <w:pPr>
              <w:jc w:val="center"/>
            </w:pPr>
            <w:r>
              <w:rPr>
                <w:rFonts w:ascii="Calibri" w:cs="Calibri" w:eastAsia="Calibri" w:hAnsi="Calibri"/>
                <w:b/>
                <w:bCs/>
                <w:color w:val="5a6577"/>
                <w:sz w:val="14"/>
                <w:szCs w:val="14"/>
              </w:rPr>
              <w:t xml:space="preserve">E N T E R P R I S E</w:t>
            </w:r>
          </w:p>
        </w:tc>
        <w:tc>
          <w:tcPr>
            <w:tcW w:type="dxa" w:w="4680"/>
            <w:tcBorders>
              <w:top w:val="single" w:color="c4ccd6" w:sz="1"/>
              <w:left w:val="single" w:color="c4ccd6" w:sz="1"/>
              <w:bottom w:val="single" w:color="c4ccd6" w:sz="1"/>
              <w:right w:val="single" w:color="c4ccd6" w:sz="1"/>
            </w:tcBorders>
            <w:shd w:fill="f2f4f7" w:val="clear"/>
            <w:tcMar>
              <w:top w:type="dxa" w:w="140"/>
              <w:left w:type="dxa" w:w="160"/>
              <w:bottom w:type="dxa" w:w="140"/>
              <w:right w:type="dxa" w:w="140"/>
            </w:tcMar>
            <w:vAlign w:val="center"/>
          </w:tcPr>
          <w:p>
            <w:pPr>
              <w:spacing w:after="50" w:before="0" w:line="270"/>
            </w:pPr>
            <w:r>
              <w:rPr>
                <w:rFonts w:ascii="Calibri" w:cs="Calibri" w:eastAsia="Calibri" w:hAnsi="Calibri"/>
                <w:b/>
                <w:bCs/>
                <w:color w:val="13233f"/>
                <w:sz w:val="19"/>
                <w:szCs w:val="19"/>
              </w:rPr>
              <w:t xml:space="preserve">Neither — thin ground</w:t>
            </w:r>
          </w:p>
          <w:p>
            <w:pPr>
              <w:spacing w:after="50" w:before="50" w:line="270"/>
            </w:pPr>
            <w:r>
              <w:rPr>
                <w:rFonts w:ascii="Calibri" w:cs="Calibri" w:eastAsia="Calibri" w:hAnsi="Calibri"/>
                <w:i w:val="false"/>
                <w:iCs w:val="false"/>
                <w:color w:val="1a1f2e"/>
                <w:sz w:val="18"/>
                <w:szCs w:val="18"/>
              </w:rPr>
              <w:t xml:space="preserve">(largely vacated)</w:t>
            </w:r>
          </w:p>
          <w:p>
            <w:pPr>
              <w:spacing w:after="50" w:before="50" w:line="270"/>
            </w:pPr>
            <w:r>
              <w:rPr>
                <w:rFonts w:ascii="Calibri" w:cs="Calibri" w:eastAsia="Calibri" w:hAnsi="Calibri"/>
                <w:i/>
                <w:iCs/>
                <w:color w:val="1a1f2e"/>
                <w:sz w:val="18"/>
                <w:szCs w:val="18"/>
              </w:rPr>
              <w:t xml:space="preserve">Few durable tools sit here.</w:t>
            </w:r>
          </w:p>
        </w:tc>
        <w:tc>
          <w:tcPr>
            <w:tcW w:type="dxa" w:w="4680"/>
            <w:tcBorders>
              <w:top w:val="single" w:color="c4ccd6" w:sz="1"/>
              <w:left w:val="single" w:color="c4ccd6" w:sz="1"/>
              <w:bottom w:val="single" w:color="c4ccd6" w:sz="1"/>
              <w:right w:val="single" w:color="c4ccd6" w:sz="1"/>
            </w:tcBorders>
            <w:shd w:fill="f2f4f7" w:val="clear"/>
            <w:tcMar>
              <w:top w:type="dxa" w:w="140"/>
              <w:left w:type="dxa" w:w="160"/>
              <w:bottom w:type="dxa" w:w="140"/>
              <w:right w:type="dxa" w:w="140"/>
            </w:tcMar>
            <w:vAlign w:val="center"/>
          </w:tcPr>
          <w:p>
            <w:pPr>
              <w:spacing w:after="50" w:before="0" w:line="270"/>
            </w:pPr>
            <w:r>
              <w:rPr>
                <w:rFonts w:ascii="Calibri" w:cs="Calibri" w:eastAsia="Calibri" w:hAnsi="Calibri"/>
                <w:b/>
                <w:bCs/>
                <w:color w:val="13233f"/>
                <w:sz w:val="19"/>
                <w:szCs w:val="19"/>
              </w:rPr>
              <w:t xml:space="preserve">Domain-true, enterprise-bound</w:t>
            </w:r>
          </w:p>
          <w:p>
            <w:pPr>
              <w:spacing w:after="50" w:before="50" w:line="270"/>
            </w:pPr>
            <w:r>
              <w:rPr>
                <w:rFonts w:ascii="Calibri" w:cs="Calibri" w:eastAsia="Calibri" w:hAnsi="Calibri"/>
                <w:i w:val="false"/>
                <w:iCs w:val="false"/>
                <w:color w:val="1a1f2e"/>
                <w:sz w:val="18"/>
                <w:szCs w:val="18"/>
              </w:rPr>
              <w:t xml:space="preserve">EY Canvas · Investran / eFront · OpEff / Perfona</w:t>
            </w:r>
          </w:p>
          <w:p>
            <w:pPr>
              <w:spacing w:after="50" w:before="50" w:line="270"/>
            </w:pPr>
            <w:r>
              <w:rPr>
                <w:rFonts w:ascii="Calibri" w:cs="Calibri" w:eastAsia="Calibri" w:hAnsi="Calibri"/>
                <w:i/>
                <w:iCs/>
                <w:color w:val="1a1f2e"/>
                <w:sz w:val="18"/>
                <w:szCs w:val="18"/>
              </w:rPr>
              <w:t xml:space="preserve">Powerful but closed or platform-tier. Out of reach below enterprise.</w:t>
            </w:r>
          </w:p>
        </w:tc>
      </w:tr>
      <w:tr>
        <w:tc>
          <w:tcPr>
            <w:tcW w:type="dxa" w:w="680"/>
            <w:tcBorders>
              <w:top w:val="single" w:color="c4ccd6" w:sz="1"/>
              <w:right w:val="single" w:color="c4ccd6" w:sz="1"/>
            </w:tcBorders>
            <w:shd w:fill="FFFFFF" w:val="clear"/>
          </w:tcPr>
          <w:p>
            <w:r>
              <w:t xml:space="preserve"/>
            </w:r>
          </w:p>
        </w:tc>
        <w:tc>
          <w:tcPr>
            <w:tcW w:type="dxa" w:w="8680"/>
            <w:gridSpan w:val="2"/>
            <w:tcBorders>
              <w:top w:val="single" w:color="c4ccd6" w:sz="1"/>
            </w:tcBorders>
            <w:shd w:fill="FFFFFF" w:val="clear"/>
            <w:tcMar>
              <w:top w:type="dxa" w:w="60"/>
              <w:bottom w:type="dxa" w:w="40"/>
            </w:tcMar>
          </w:tcPr>
          <w:p>
            <w:pPr>
              <w:jc w:val="center"/>
            </w:pPr>
            <w:r>
              <w:rPr>
                <w:rFonts w:ascii="Calibri" w:cs="Calibri" w:eastAsia="Calibri" w:hAnsi="Calibri"/>
                <w:i/>
                <w:iCs/>
                <w:color w:val="5a6577"/>
                <w:sz w:val="15"/>
                <w:szCs w:val="15"/>
              </w:rPr>
              <w:t xml:space="preserve">↑  vertical axis: accessibility below the enterprise tier</w:t>
            </w:r>
          </w:p>
        </w:tc>
      </w:tr>
    </w:tbl>
    <w:p>
      <w:pPr>
        <w:spacing w:after="0" w:before="120"/>
      </w:pPr>
      <w:r>
        <w:t xml:space="preserve"/>
      </w:r>
    </w:p>
    <w:p>
      <w:pPr>
        <w:spacing w:after="120" w:before="60" w:line="300"/>
      </w:pPr>
      <w:r>
        <w:rPr>
          <w:rFonts w:ascii="Calibri" w:cs="Calibri" w:eastAsia="Calibri" w:hAnsi="Calibri"/>
          <w:i/>
          <w:iCs/>
          <w:color w:val="5a6577"/>
          <w:sz w:val="18"/>
          <w:szCs w:val="18"/>
        </w:rPr>
        <w:t xml:space="preserve">The grid is a simplification; the backing table states each placement explicitly, including the open quadrant, so a skeptical reader can pressure-test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rPr>
          <w:tblHeader/>
        </w:trPr>
        <w:tc>
          <w:tcPr>
            <w:tcW w:type="dxa" w:w="220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Category</w:t>
            </w:r>
          </w:p>
        </w:tc>
        <w:tc>
          <w:tcPr>
            <w:tcW w:type="dxa" w:w="250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Domain-true reasoning</w:t>
            </w:r>
          </w:p>
        </w:tc>
        <w:tc>
          <w:tcPr>
            <w:tcW w:type="dxa" w:w="250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Accessibility below enterprise tier</w:t>
            </w:r>
          </w:p>
        </w:tc>
        <w:tc>
          <w:tcPr>
            <w:tcW w:type="dxa" w:w="216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Net position</w:t>
            </w:r>
          </w:p>
        </w:tc>
      </w:tr>
      <w:tr>
        <w:tc>
          <w:tcPr>
            <w:tcW w:type="dxa" w:w="22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EY Canvas (multi-agent assurance)</w:t>
            </w:r>
          </w:p>
        </w:tc>
        <w:tc>
          <w:tcPr>
            <w:tcW w:type="dxa" w:w="25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High — purpose-built for assurance, embeds auditing and accounting guidance</w:t>
            </w:r>
          </w:p>
        </w:tc>
        <w:tc>
          <w:tcPr>
            <w:tcW w:type="dxa" w:w="25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Low — internal to EY engagements; not available as standalone tooling</w:t>
            </w:r>
          </w:p>
        </w:tc>
        <w:tc>
          <w:tcPr>
            <w:tcW w:type="dxa" w:w="216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Powerful but closed and enterprise-bound</w:t>
            </w:r>
          </w:p>
        </w:tc>
      </w:tr>
      <w:tr>
        <w:tc>
          <w:tcPr>
            <w:tcW w:type="dxa" w:w="22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Enterprise fund-admin platforms (Investran, eFront, FundCount)</w:t>
            </w:r>
          </w:p>
        </w:tc>
        <w:tc>
          <w:tcPr>
            <w:tcW w:type="dxa" w:w="25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Medium–High — deep fund accounting, but workflow/recordkeeping focused rather than adversarial review</w:t>
            </w:r>
          </w:p>
        </w:tc>
        <w:tc>
          <w:tcPr>
            <w:tcW w:type="dxa" w:w="25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Low–Medium — multi-year enterprise contracts, implementation rigor</w:t>
            </w:r>
          </w:p>
        </w:tc>
        <w:tc>
          <w:tcPr>
            <w:tcW w:type="dxa" w:w="216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Strong system of record; not a reviewer</w:t>
            </w:r>
          </w:p>
        </w:tc>
      </w:tr>
      <w:tr>
        <w:tc>
          <w:tcPr>
            <w:tcW w:type="dxa" w:w="22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AI-native fund-ops entrants (OpEff/Perfona and similar)</w:t>
            </w:r>
          </w:p>
        </w:tc>
        <w:tc>
          <w:tcPr>
            <w:tcW w:type="dxa" w:w="25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Medium–High — fund-aware, agentic, shadow reconciliation</w:t>
            </w:r>
          </w:p>
        </w:tc>
        <w:tc>
          <w:tcPr>
            <w:tcW w:type="dxa" w:w="25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Low–Medium — platform commitment; emerging access</w:t>
            </w:r>
          </w:p>
        </w:tc>
        <w:tc>
          <w:tcPr>
            <w:tcW w:type="dxa" w:w="216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Closest competitor class; still platform-tier</w:t>
            </w:r>
          </w:p>
        </w:tc>
      </w:tr>
      <w:tr>
        <w:tc>
          <w:tcPr>
            <w:tcW w:type="dxa" w:w="22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Generic horizontal AI (document/search tools)</w:t>
            </w:r>
          </w:p>
        </w:tc>
        <w:tc>
          <w:tcPr>
            <w:tcW w:type="dxa" w:w="25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Low — capable models without built-in fund or audit logic</w:t>
            </w:r>
          </w:p>
        </w:tc>
        <w:tc>
          <w:tcPr>
            <w:tcW w:type="dxa" w:w="25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High — widely available, low cost</w:t>
            </w:r>
          </w:p>
        </w:tc>
        <w:tc>
          <w:tcPr>
            <w:tcW w:type="dxa" w:w="216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Accessible but not domain-true; adoption stalls</w:t>
            </w:r>
          </w:p>
        </w:tc>
      </w:tr>
      <w:tr>
        <w:tc>
          <w:tcPr>
            <w:tcW w:type="dxa" w:w="22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The domain-true + accessible quadrant</w:t>
            </w:r>
          </w:p>
        </w:tc>
        <w:tc>
          <w:tcPr>
            <w:tcW w:type="dxa" w:w="25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Open — no incumbent durably occupies it today</w:t>
            </w:r>
          </w:p>
        </w:tc>
        <w:tc>
          <w:tcPr>
            <w:tcW w:type="dxa" w:w="25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Open — this is the unmet need</w:t>
            </w:r>
          </w:p>
        </w:tc>
        <w:tc>
          <w:tcPr>
            <w:tcW w:type="dxa" w:w="216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Market opportunity. FundLens Audit is being built toward this; it does not yet occupy it.</w:t>
            </w:r>
          </w:p>
        </w:tc>
      </w:tr>
    </w:tbl>
    <w:p>
      <w:pPr>
        <w:spacing w:after="0" w:before="80"/>
      </w:pPr>
      <w:r>
        <w:t xml:space="preserve"/>
      </w:r>
    </w:p>
    <w:tbl>
      <w:tblPr>
        <w:tblW w:type="dxa" w:w="9360"/>
        <w:tblBorders>
          <w:top w:val="none"/>
          <w:left w:val="single" w:color="0b7a6e" w:sz="18"/>
          <w:bottom w:val="none"/>
          <w:right w:val="none"/>
          <w:insideH w:val="none"/>
          <w:insideV w:val="none"/>
        </w:tblBorders>
      </w:tblPr>
      <w:tblGrid>
        <w:gridCol w:w="9360"/>
      </w:tblGrid>
      <w:tr>
        <w:tc>
          <w:tcPr>
            <w:tcW w:type="dxa" w:w="9360"/>
            <w:shd w:fill="e6f4f1" w:val="clear"/>
            <w:tcMar>
              <w:top w:type="dxa" w:w="140"/>
              <w:left w:type="dxa" w:w="220"/>
              <w:bottom w:type="dxa" w:w="140"/>
              <w:right w:type="dxa" w:w="200"/>
            </w:tcMar>
          </w:tcPr>
          <w:p>
            <w:pPr>
              <w:spacing w:after="60"/>
            </w:pPr>
            <w:r>
              <w:rPr>
                <w:rFonts w:ascii="Calibri" w:cs="Calibri" w:eastAsia="Calibri" w:hAnsi="Calibri"/>
                <w:b/>
                <w:bCs/>
                <w:caps/>
                <w:color w:val="0b7a6e"/>
                <w:sz w:val="18"/>
                <w:szCs w:val="18"/>
              </w:rPr>
              <w:t xml:space="preserve">How to read this</w:t>
            </w:r>
          </w:p>
          <w:p>
            <w:pPr>
              <w:spacing w:after="0" w:line="290"/>
            </w:pPr>
            <w:r>
              <w:rPr>
                <w:rFonts w:ascii="Calibri" w:cs="Calibri" w:eastAsia="Calibri" w:hAnsi="Calibri"/>
                <w:i/>
                <w:iCs/>
                <w:color w:val="1a1f2e"/>
                <w:sz w:val="20"/>
                <w:szCs w:val="20"/>
              </w:rPr>
              <w:t xml:space="preserve">The incumbents are not weak — they are strong in ways that do not reach the open quadrant. EY Canvas is closed. The fund-admin platforms are systems of record, not adversarial reviewers. The AI-native entrants are the nearest neighbours and the ones to watch, but they remain platform-tier. The generic tools are accessible but not domain-true. The claim here is deliberately narrow: a real, currently-unmet need exists at the domain-true-and-accessible intersection. Whether FundLens Audit ultimately fills it is a question the build will answer — the map identifies the opportunity, it does not declare it captured.</w:t>
            </w:r>
          </w:p>
        </w:tc>
      </w:tr>
    </w:tbl>
    <w:p>
      <w:r>
        <w:br w:type="page"/>
      </w:r>
    </w:p>
    <w:p>
      <w:pPr>
        <w:keepNext/>
        <w:pBdr>
          <w:bottom w:val="single" w:color="0b7a6e" w:sz="4" w:space="4"/>
        </w:pBdr>
        <w:spacing w:after="140" w:before="360"/>
      </w:pPr>
      <w:r>
        <w:rPr>
          <w:rFonts w:ascii="Calibri" w:cs="Calibri" w:eastAsia="Calibri" w:hAnsi="Calibri"/>
          <w:b/>
          <w:bCs/>
          <w:color w:val="0b7a6e"/>
          <w:sz w:val="30"/>
          <w:szCs w:val="30"/>
        </w:rPr>
        <w:t xml:space="preserve">06  </w:t>
      </w:r>
      <w:r>
        <w:rPr>
          <w:rFonts w:ascii="Calibri" w:cs="Calibri" w:eastAsia="Calibri" w:hAnsi="Calibri"/>
          <w:b/>
          <w:bCs/>
          <w:color w:val="13233f"/>
          <w:sz w:val="30"/>
          <w:szCs w:val="30"/>
        </w:rPr>
        <w:t xml:space="preserve">Defensible vs. Hype — A Candid Separation</w:t>
      </w:r>
    </w:p>
    <w:p>
      <w:pPr>
        <w:spacing w:after="120" w:before="60" w:line="300"/>
      </w:pPr>
      <w:r>
        <w:rPr>
          <w:rFonts w:ascii="Calibri" w:cs="Calibri" w:eastAsia="Calibri" w:hAnsi="Calibri"/>
          <w:color w:val="1a1f2e"/>
          <w:sz w:val="21"/>
          <w:szCs w:val="21"/>
        </w:rPr>
        <w:t xml:space="preserve">A synthesis aimed at sophisticated readers earns trust by drawing this line explicitly. The following is the author’s assessment, informed by direct experience in both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Claim in the market</w:t>
            </w:r>
          </w:p>
        </w:tc>
        <w:tc>
          <w:tcPr>
            <w:tcW w:type="dxa" w:w="5760"/>
            <w:tcBorders>
              <w:top w:val="single" w:color="c4ccd6" w:sz="1"/>
              <w:left w:val="single" w:color="c4ccd6" w:sz="1"/>
              <w:bottom w:val="single" w:color="c4ccd6" w:sz="1"/>
              <w:right w:val="single" w:color="c4ccd6" w:sz="1"/>
            </w:tcBorders>
            <w:shd w:fill="13233f" w:val="clear"/>
            <w:tcMar>
              <w:top w:type="dxa" w:w="90"/>
              <w:left w:type="dxa" w:w="130"/>
              <w:bottom w:type="dxa" w:w="90"/>
              <w:right w:type="dxa" w:w="110"/>
            </w:tcMar>
          </w:tcPr>
          <w:p>
            <w:r>
              <w:rPr>
                <w:rFonts w:ascii="Calibri" w:cs="Calibri" w:eastAsia="Calibri" w:hAnsi="Calibri"/>
                <w:b/>
                <w:bCs/>
                <w:color w:val="FFFFFF"/>
                <w:sz w:val="18"/>
                <w:szCs w:val="18"/>
              </w:rPr>
              <w:t xml:space="preserve">Assessment</w:t>
            </w:r>
          </w:p>
        </w:tc>
      </w:tr>
      <w:tr>
        <w:tc>
          <w:tcPr>
            <w:tcW w:type="dxa" w:w="36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“AI reads fund documents faster than manual review.”</w:t>
            </w:r>
          </w:p>
        </w:tc>
        <w:tc>
          <w:tcPr>
            <w:tcW w:type="dxa" w:w="576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Defensible. Independently corroborated across multiple advisory sources and consistent with direct experience. The strongest part of the case.</w:t>
            </w:r>
          </w:p>
        </w:tc>
      </w:tr>
      <w:tr>
        <w:tc>
          <w:tcPr>
            <w:tcW w:type="dxa" w:w="36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“Multi-agent orchestration improves complex audit and review work.”</w:t>
            </w:r>
          </w:p>
        </w:tc>
        <w:tc>
          <w:tcPr>
            <w:tcW w:type="dxa" w:w="576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Defensible as architecture, emerging as outcome. Validated by EY’s production deployment; broad independent outcome data is still thin and will mature over 2026–2028.</w:t>
            </w:r>
          </w:p>
        </w:tc>
      </w:tr>
      <w:tr>
        <w:tc>
          <w:tcPr>
            <w:tcW w:type="dxa" w:w="36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“AI cuts NAV cycle time by ~95%.”</w:t>
            </w:r>
          </w:p>
        </w:tc>
        <w:tc>
          <w:tcPr>
            <w:tcW w:type="dxa" w:w="576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Directional, not a benchmark. Originates largely from vendors and administrators with incentive to present best cases. Direction real; magnitude situational.</w:t>
            </w:r>
          </w:p>
        </w:tc>
      </w:tr>
      <w:tr>
        <w:tc>
          <w:tcPr>
            <w:tcW w:type="dxa" w:w="36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“Continuous / near-real-time audit is here.”</w:t>
            </w:r>
          </w:p>
        </w:tc>
        <w:tc>
          <w:tcPr>
            <w:tcW w:type="dxa" w:w="576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Largely aspirational. Described by the profession as a destination, not a present-state reality. Treat as roadmap, not capability.</w:t>
            </w:r>
          </w:p>
        </w:tc>
      </w:tr>
      <w:tr>
        <w:tc>
          <w:tcPr>
            <w:tcW w:type="dxa" w:w="360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“AI reduces material misstatement risk by ~20%.”</w:t>
            </w:r>
          </w:p>
        </w:tc>
        <w:tc>
          <w:tcPr>
            <w:tcW w:type="dxa" w:w="5760"/>
            <w:tcBorders>
              <w:top w:val="single" w:color="c4ccd6" w:sz="1"/>
              <w:left w:val="single" w:color="c4ccd6" w:sz="1"/>
              <w:bottom w:val="single" w:color="c4ccd6" w:sz="1"/>
              <w:right w:val="single" w:color="c4ccd6" w:sz="1"/>
            </w:tcBorders>
            <w:shd w:fill="FFFFFF" w:val="clear"/>
            <w:tcMar>
              <w:top w:type="dxa" w:w="80"/>
              <w:left w:type="dxa" w:w="130"/>
              <w:bottom w:type="dxa" w:w="80"/>
              <w:right w:type="dxa" w:w="110"/>
            </w:tcMar>
          </w:tcPr>
          <w:p>
            <w:r>
              <w:rPr>
                <w:rFonts w:ascii="Calibri" w:cs="Calibri" w:eastAsia="Calibri" w:hAnsi="Calibri"/>
                <w:color w:val="1a1f2e"/>
                <w:sz w:val="18"/>
                <w:szCs w:val="18"/>
              </w:rPr>
              <w:t xml:space="preserve">Directional. A widely cited firm-published figure; credible in direction, not independently audited. Useful as signal, not guarantee.</w:t>
            </w:r>
          </w:p>
        </w:tc>
      </w:tr>
      <w:tr>
        <w:tc>
          <w:tcPr>
            <w:tcW w:type="dxa" w:w="360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“Agentic AI replaces reviewers / auditors.”</w:t>
            </w:r>
          </w:p>
        </w:tc>
        <w:tc>
          <w:tcPr>
            <w:tcW w:type="dxa" w:w="5760"/>
            <w:tcBorders>
              <w:top w:val="single" w:color="c4ccd6" w:sz="1"/>
              <w:left w:val="single" w:color="c4ccd6" w:sz="1"/>
              <w:bottom w:val="single" w:color="c4ccd6" w:sz="1"/>
              <w:right w:val="single" w:color="c4ccd6" w:sz="1"/>
            </w:tcBorders>
            <w:shd w:fill="f2f4f7" w:val="clear"/>
            <w:tcMar>
              <w:top w:type="dxa" w:w="80"/>
              <w:left w:type="dxa" w:w="130"/>
              <w:bottom w:type="dxa" w:w="80"/>
              <w:right w:type="dxa" w:w="110"/>
            </w:tcMar>
          </w:tcPr>
          <w:p>
            <w:r>
              <w:rPr>
                <w:rFonts w:ascii="Calibri" w:cs="Calibri" w:eastAsia="Calibri" w:hAnsi="Calibri"/>
                <w:color w:val="1a1f2e"/>
                <w:sz w:val="18"/>
                <w:szCs w:val="18"/>
              </w:rPr>
              <w:t xml:space="preserve">False and explicitly contradicted by regulators and every major firm cited. The consistent posture is augmentation with human judgment retained.</w:t>
            </w:r>
          </w:p>
        </w:tc>
      </w:tr>
    </w:tbl>
    <w:p>
      <w:pPr>
        <w:spacing w:after="0" w:before="80"/>
      </w:pPr>
      <w:r>
        <w:t xml:space="preserve"/>
      </w:r>
    </w:p>
    <w:p>
      <w:pPr>
        <w:spacing w:after="120" w:before="60" w:line="300"/>
      </w:pPr>
      <w:r>
        <w:rPr>
          <w:rFonts w:ascii="Calibri" w:cs="Calibri" w:eastAsia="Calibri" w:hAnsi="Calibri"/>
          <w:color w:val="1a1f2e"/>
          <w:sz w:val="21"/>
          <w:szCs w:val="21"/>
        </w:rPr>
        <w:t xml:space="preserve">Stating this openly is not a weakness in the case for FundLens Audit — it is the case. A tool positioned honestly within the defensible band, with human verification designed in, is exactly what the regulatory and professional environment is asking for.</w:t>
      </w:r>
    </w:p>
    <w:p>
      <w:pPr>
        <w:keepNext/>
        <w:pBdr>
          <w:bottom w:val="single" w:color="0b7a6e" w:sz="4" w:space="4"/>
        </w:pBdr>
        <w:spacing w:after="140" w:before="360"/>
      </w:pPr>
      <w:r>
        <w:rPr>
          <w:rFonts w:ascii="Calibri" w:cs="Calibri" w:eastAsia="Calibri" w:hAnsi="Calibri"/>
          <w:b/>
          <w:bCs/>
          <w:color w:val="0b7a6e"/>
          <w:sz w:val="30"/>
          <w:szCs w:val="30"/>
        </w:rPr>
        <w:t xml:space="preserve">07  </w:t>
      </w:r>
      <w:r>
        <w:rPr>
          <w:rFonts w:ascii="Calibri" w:cs="Calibri" w:eastAsia="Calibri" w:hAnsi="Calibri"/>
          <w:b/>
          <w:bCs/>
          <w:color w:val="13233f"/>
          <w:sz w:val="30"/>
          <w:szCs w:val="30"/>
        </w:rPr>
        <w:t xml:space="preserve">The Indispensability of Human Verification</w:t>
      </w:r>
    </w:p>
    <w:p>
      <w:pPr>
        <w:spacing w:after="120" w:before="60" w:line="300"/>
      </w:pPr>
      <w:r>
        <w:rPr>
          <w:rFonts w:ascii="Calibri" w:cs="Calibri" w:eastAsia="Calibri" w:hAnsi="Calibri"/>
          <w:color w:val="1a1f2e"/>
          <w:sz w:val="21"/>
          <w:szCs w:val="21"/>
        </w:rPr>
        <w:t xml:space="preserve">This is not a disclaimer appended for caution. It is the central design constraint, and it is the position of every authoritative source in this synthesis.</w:t>
      </w:r>
    </w:p>
    <w:p>
      <w:pPr>
        <w:pStyle w:val="ListParagraph"/>
        <w:numPr>
          <w:ilvl w:val="0"/>
          <w:numId w:val="2"/>
        </w:numPr>
        <w:spacing w:after="50" w:before="50" w:line="290"/>
      </w:pPr>
      <w:r>
        <w:rPr>
          <w:rFonts w:ascii="Calibri" w:cs="Calibri" w:eastAsia="Calibri" w:hAnsi="Calibri"/>
          <w:b/>
          <w:bCs/>
          <w:color w:val="1a1f2e"/>
          <w:sz w:val="21"/>
          <w:szCs w:val="21"/>
        </w:rPr>
        <w:t xml:space="preserve">The regulator’s position is unambiguous. </w:t>
      </w:r>
      <w:r>
        <w:rPr>
          <w:rFonts w:ascii="Calibri" w:cs="Calibri" w:eastAsia="Calibri" w:hAnsi="Calibri"/>
          <w:color w:val="1a1f2e"/>
          <w:sz w:val="21"/>
          <w:szCs w:val="21"/>
        </w:rPr>
        <w:t xml:space="preserve">The PCAOB has stated, consistently, that the human element cannot be removed and that professional judgment and skepticism must be performed by people, not machines.</w:t>
      </w:r>
      <w:r>
        <w:rPr>
          <w:rFonts w:ascii="Calibri" w:cs="Calibri" w:eastAsia="Calibri" w:hAnsi="Calibri"/>
          <w:b/>
          <w:bCs/>
          <w:color w:val="0b7a6e"/>
          <w:sz w:val="14"/>
          <w:szCs w:val="14"/>
          <w:vertAlign w:val="superscript"/>
        </w:rPr>
        <w:t xml:space="preserve"> [21]</w:t>
      </w:r>
    </w:p>
    <w:p>
      <w:pPr>
        <w:pStyle w:val="ListParagraph"/>
        <w:numPr>
          <w:ilvl w:val="0"/>
          <w:numId w:val="2"/>
        </w:numPr>
        <w:spacing w:after="50" w:before="50" w:line="290"/>
      </w:pPr>
      <w:r>
        <w:rPr>
          <w:rFonts w:ascii="Calibri" w:cs="Calibri" w:eastAsia="Calibri" w:hAnsi="Calibri"/>
          <w:b/>
          <w:bCs/>
          <w:color w:val="1a1f2e"/>
          <w:sz w:val="21"/>
          <w:szCs w:val="21"/>
        </w:rPr>
        <w:t xml:space="preserve">The largest deploying firm agrees. </w:t>
      </w:r>
      <w:r>
        <w:rPr>
          <w:rFonts w:ascii="Calibri" w:cs="Calibri" w:eastAsia="Calibri" w:hAnsi="Calibri"/>
          <w:color w:val="1a1f2e"/>
          <w:sz w:val="21"/>
          <w:szCs w:val="21"/>
        </w:rPr>
        <w:t xml:space="preserve">EY’s own enterprise rollout explicitly preserves the fundamental role of human judgment, skepticism, and insight as a stated design principle.</w:t>
      </w:r>
      <w:r>
        <w:rPr>
          <w:rFonts w:ascii="Calibri" w:cs="Calibri" w:eastAsia="Calibri" w:hAnsi="Calibri"/>
          <w:b/>
          <w:bCs/>
          <w:color w:val="0b7a6e"/>
          <w:sz w:val="14"/>
          <w:szCs w:val="14"/>
          <w:vertAlign w:val="superscript"/>
        </w:rPr>
        <w:t xml:space="preserve"> [1]</w:t>
      </w:r>
    </w:p>
    <w:p>
      <w:pPr>
        <w:pStyle w:val="ListParagraph"/>
        <w:numPr>
          <w:ilvl w:val="0"/>
          <w:numId w:val="2"/>
        </w:numPr>
        <w:spacing w:after="50" w:before="50" w:line="290"/>
      </w:pPr>
      <w:r>
        <w:rPr>
          <w:rFonts w:ascii="Calibri" w:cs="Calibri" w:eastAsia="Calibri" w:hAnsi="Calibri"/>
          <w:b/>
          <w:bCs/>
          <w:color w:val="1a1f2e"/>
          <w:sz w:val="21"/>
          <w:szCs w:val="21"/>
        </w:rPr>
        <w:t xml:space="preserve">Advisory consensus is identical. </w:t>
      </w:r>
      <w:r>
        <w:rPr>
          <w:rFonts w:ascii="Calibri" w:cs="Calibri" w:eastAsia="Calibri" w:hAnsi="Calibri"/>
          <w:color w:val="1a1f2e"/>
          <w:sz w:val="21"/>
          <w:szCs w:val="21"/>
        </w:rPr>
        <w:t xml:space="preserve">Grant Thornton: automation can take NAV production a long way but cannot remove the human element. RSM: AI does not fix weak foundations — it magnifies them, and can become quietly trusted even when wrong.</w:t>
      </w:r>
      <w:r>
        <w:rPr>
          <w:rFonts w:ascii="Calibri" w:cs="Calibri" w:eastAsia="Calibri" w:hAnsi="Calibri"/>
          <w:b/>
          <w:bCs/>
          <w:color w:val="0b7a6e"/>
          <w:sz w:val="14"/>
          <w:szCs w:val="14"/>
          <w:vertAlign w:val="superscript"/>
        </w:rPr>
        <w:t xml:space="preserve"> [15]</w:t>
      </w:r>
      <w:r>
        <w:rPr>
          <w:rFonts w:ascii="Calibri" w:cs="Calibri" w:eastAsia="Calibri" w:hAnsi="Calibri"/>
          <w:b/>
          <w:bCs/>
          <w:color w:val="0b7a6e"/>
          <w:sz w:val="14"/>
          <w:szCs w:val="14"/>
          <w:vertAlign w:val="superscript"/>
        </w:rPr>
        <w:t xml:space="preserve"> [12]</w:t>
      </w:r>
    </w:p>
    <w:p>
      <w:pPr>
        <w:spacing w:after="120" w:before="60" w:line="300"/>
      </w:pPr>
      <w:r>
        <w:rPr>
          <w:rFonts w:ascii="Calibri" w:cs="Calibri" w:eastAsia="Calibri" w:hAnsi="Calibri"/>
          <w:color w:val="1a1f2e"/>
          <w:sz w:val="21"/>
          <w:szCs w:val="21"/>
        </w:rPr>
        <w:t xml:space="preserve">FundLens Audit is therefore designed as an adversarial decision-support instrument whose output is a structured, citation-grounded review record for a qualified professional to interrogate — never a sign-off, never an unsupervised conclusion. The adversarial Challenger agent exists precisely because the failure mode the profession fears most is AI that is confidently wrong and trusted anyway; building self-challenge into the architecture is the direct structural answer to that concern.</w:t>
      </w:r>
    </w:p>
    <w:tbl>
      <w:tblPr>
        <w:tblW w:type="dxa" w:w="9360"/>
        <w:tblBorders>
          <w:top w:val="none"/>
          <w:left w:val="single" w:color="9a6a00" w:sz="18"/>
          <w:bottom w:val="none"/>
          <w:right w:val="none"/>
          <w:insideH w:val="none"/>
          <w:insideV w:val="none"/>
        </w:tblBorders>
      </w:tblPr>
      <w:tblGrid>
        <w:gridCol w:w="9360"/>
      </w:tblGrid>
      <w:tr>
        <w:tc>
          <w:tcPr>
            <w:tcW w:type="dxa" w:w="9360"/>
            <w:shd w:fill="fdf3e3" w:val="clear"/>
            <w:tcMar>
              <w:top w:type="dxa" w:w="140"/>
              <w:left w:type="dxa" w:w="220"/>
              <w:bottom w:type="dxa" w:w="140"/>
              <w:right w:type="dxa" w:w="200"/>
            </w:tcMar>
          </w:tcPr>
          <w:p>
            <w:pPr>
              <w:spacing w:after="60"/>
            </w:pPr>
            <w:r>
              <w:rPr>
                <w:rFonts w:ascii="Calibri" w:cs="Calibri" w:eastAsia="Calibri" w:hAnsi="Calibri"/>
                <w:b/>
                <w:bCs/>
                <w:caps/>
                <w:color w:val="9a6a00"/>
                <w:sz w:val="18"/>
                <w:szCs w:val="18"/>
              </w:rPr>
              <w:t xml:space="preserve">Final position</w:t>
            </w:r>
          </w:p>
          <w:p>
            <w:pPr>
              <w:spacing w:after="0" w:line="290"/>
            </w:pPr>
            <w:r>
              <w:rPr>
                <w:rFonts w:ascii="Calibri" w:cs="Calibri" w:eastAsia="Calibri" w:hAnsi="Calibri"/>
                <w:i/>
                <w:iCs/>
                <w:color w:val="1a1f2e"/>
                <w:sz w:val="20"/>
                <w:szCs w:val="20"/>
              </w:rPr>
              <w:t xml:space="preserve">Every efficiency claim in this document is conditional on competent human review. FundLens Audit raises the floor and the speed of first-pass review; it does not, and is not designed to, replace the judgment that gives an audit or a NAV its meaning.</w:t>
            </w:r>
          </w:p>
        </w:tc>
      </w:tr>
    </w:tbl>
    <w:p>
      <w:r>
        <w:br w:type="page"/>
      </w:r>
    </w:p>
    <w:p>
      <w:pPr>
        <w:keepNext/>
        <w:pBdr>
          <w:bottom w:val="single" w:color="0b7a6e" w:sz="4" w:space="4"/>
        </w:pBdr>
        <w:spacing w:after="140" w:before="360"/>
      </w:pPr>
      <w:r>
        <w:rPr>
          <w:rFonts w:ascii="Calibri" w:cs="Calibri" w:eastAsia="Calibri" w:hAnsi="Calibri"/>
          <w:b/>
          <w:bCs/>
          <w:color w:val="0b7a6e"/>
          <w:sz w:val="30"/>
          <w:szCs w:val="30"/>
        </w:rPr>
        <w:t xml:space="preserve">08  </w:t>
      </w:r>
      <w:r>
        <w:rPr>
          <w:rFonts w:ascii="Calibri" w:cs="Calibri" w:eastAsia="Calibri" w:hAnsi="Calibri"/>
          <w:b/>
          <w:bCs/>
          <w:color w:val="13233f"/>
          <w:sz w:val="30"/>
          <w:szCs w:val="30"/>
        </w:rPr>
        <w:t xml:space="preserve">Recommended Further Inclusions</w:t>
      </w:r>
    </w:p>
    <w:p>
      <w:pPr>
        <w:spacing w:after="120" w:before="60" w:line="300"/>
      </w:pPr>
      <w:r>
        <w:rPr>
          <w:rFonts w:ascii="Calibri" w:cs="Calibri" w:eastAsia="Calibri" w:hAnsi="Calibri"/>
          <w:color w:val="1a1f2e"/>
          <w:sz w:val="21"/>
          <w:szCs w:val="21"/>
        </w:rPr>
        <w:t xml:space="preserve">Five additions were already incorporated into this version: the defensible-vs-hype separation (Section 06), the regulatory lens (Section 03), the methodology note (Section 00), the competitive map (Section 05A), and the glossary (Appendix). The following remain optional and would each strengthen the document for specific audiences. They are listed so the decision to include them is yours, with the trade-off stated.</w:t>
      </w:r>
    </w:p>
    <w:p>
      <w:pPr>
        <w:pStyle w:val="ListParagraph"/>
        <w:numPr>
          <w:ilvl w:val="0"/>
          <w:numId w:val="3"/>
        </w:numPr>
        <w:spacing w:after="50" w:before="50" w:line="290"/>
      </w:pPr>
      <w:r>
        <w:rPr>
          <w:rFonts w:ascii="Calibri" w:cs="Calibri" w:eastAsia="Calibri" w:hAnsi="Calibri"/>
          <w:b/>
          <w:bCs/>
          <w:color w:val="1a1f2e"/>
          <w:sz w:val="21"/>
          <w:szCs w:val="21"/>
        </w:rPr>
        <w:t xml:space="preserve">A worked example. </w:t>
      </w:r>
      <w:r>
        <w:rPr>
          <w:rFonts w:ascii="Calibri" w:cs="Calibri" w:eastAsia="Calibri" w:hAnsi="Calibri"/>
          <w:color w:val="1a1f2e"/>
          <w:sz w:val="21"/>
          <w:szCs w:val="21"/>
        </w:rPr>
        <w:t xml:space="preserve">One anonymized illustrative scenario — a synthetic fund document set with a planted inconsistency — walked through the four-agent pipeline. Nothing convinces a domain reader like seeing the Challenger catch something the Reviewer rationalized. The trade-off is build effort and keeping it clearly synthetic. Best done once FundLens Audit is built so the walkthrough reflects the real pipeline.</w:t>
      </w:r>
    </w:p>
    <w:p>
      <w:pPr>
        <w:pStyle w:val="ListParagraph"/>
        <w:numPr>
          <w:ilvl w:val="0"/>
          <w:numId w:val="3"/>
        </w:numPr>
        <w:spacing w:after="50" w:before="50" w:line="290"/>
      </w:pPr>
      <w:r>
        <w:rPr>
          <w:rFonts w:ascii="Calibri" w:cs="Calibri" w:eastAsia="Calibri" w:hAnsi="Calibri"/>
          <w:b/>
          <w:bCs/>
          <w:color w:val="1a1f2e"/>
          <w:sz w:val="21"/>
          <w:szCs w:val="21"/>
        </w:rPr>
        <w:t xml:space="preserve">A quantified pain-point appendix. </w:t>
      </w:r>
      <w:r>
        <w:rPr>
          <w:rFonts w:ascii="Calibri" w:cs="Calibri" w:eastAsia="Calibri" w:hAnsi="Calibri"/>
          <w:color w:val="1a1f2e"/>
          <w:sz w:val="21"/>
          <w:szCs w:val="21"/>
        </w:rPr>
        <w:t xml:space="preserve">A short table converting the friction points into hours and dollars at a representative mid-market fund. Strong for consulting and investor audiences; the trade-off is the numbers are necessarily illustrative and must be labelled as such.</w:t>
      </w:r>
    </w:p>
    <w:p>
      <w:pPr>
        <w:pStyle w:val="ListParagraph"/>
        <w:numPr>
          <w:ilvl w:val="0"/>
          <w:numId w:val="3"/>
        </w:numPr>
        <w:spacing w:after="50" w:before="50" w:line="290"/>
      </w:pPr>
      <w:r>
        <w:rPr>
          <w:rFonts w:ascii="Calibri" w:cs="Calibri" w:eastAsia="Calibri" w:hAnsi="Calibri"/>
          <w:b/>
          <w:bCs/>
          <w:color w:val="1a1f2e"/>
          <w:sz w:val="21"/>
          <w:szCs w:val="21"/>
        </w:rPr>
        <w:t xml:space="preserve">An independence and SOC consideration note. </w:t>
      </w:r>
      <w:r>
        <w:rPr>
          <w:rFonts w:ascii="Calibri" w:cs="Calibri" w:eastAsia="Calibri" w:hAnsi="Calibri"/>
          <w:color w:val="1a1f2e"/>
          <w:sz w:val="21"/>
          <w:szCs w:val="21"/>
        </w:rPr>
        <w:t xml:space="preserve">A brief treatment of how an AI review tool interacts with auditor independence and SOC reporting expectations. High differentiation given your attest background; the trade-off is it narrows the document toward an audit-firm audience.</w:t>
      </w:r>
    </w:p>
    <w:p>
      <w:pPr>
        <w:spacing w:after="0" w:before="60"/>
      </w:pPr>
      <w:r>
        <w:t xml:space="preserve"/>
      </w:r>
    </w:p>
    <w:p>
      <w:pPr>
        <w:spacing w:after="120" w:before="60" w:line="300"/>
      </w:pPr>
      <w:r>
        <w:rPr>
          <w:rFonts w:ascii="Calibri" w:cs="Calibri" w:eastAsia="Calibri" w:hAnsi="Calibri"/>
          <w:color w:val="1a1f2e"/>
          <w:sz w:val="21"/>
          <w:szCs w:val="21"/>
        </w:rPr>
        <w:t xml:space="preserve">Of the three remaining, the worked example is the highest-impact for credibility with domain experts and is the natural next addition once the FundLens Audit build is complete — at which point the walkthrough can reflect the real pipeline rather than a hypothetical one.</w:t>
      </w:r>
    </w:p>
    <w:p>
      <w:pPr>
        <w:keepNext/>
        <w:pBdr>
          <w:bottom w:val="single" w:color="0b7a6e" w:sz="4" w:space="4"/>
        </w:pBdr>
        <w:spacing w:after="140" w:before="360"/>
      </w:pPr>
      <w:r>
        <w:rPr>
          <w:rFonts w:ascii="Calibri" w:cs="Calibri" w:eastAsia="Calibri" w:hAnsi="Calibri"/>
          <w:b/>
          <w:bCs/>
          <w:color w:val="0b7a6e"/>
          <w:sz w:val="30"/>
          <w:szCs w:val="30"/>
        </w:rPr>
        <w:t xml:space="preserve"/>
      </w:r>
      <w:r>
        <w:rPr>
          <w:rFonts w:ascii="Calibri" w:cs="Calibri" w:eastAsia="Calibri" w:hAnsi="Calibri"/>
          <w:b/>
          <w:bCs/>
          <w:color w:val="13233f"/>
          <w:sz w:val="30"/>
          <w:szCs w:val="30"/>
        </w:rPr>
        <w:t xml:space="preserve">Appendix — Glossary</w:t>
      </w:r>
    </w:p>
    <w:p>
      <w:pPr>
        <w:spacing w:after="120" w:before="60" w:line="300"/>
      </w:pPr>
      <w:r>
        <w:rPr>
          <w:rFonts w:ascii="Calibri" w:cs="Calibri" w:eastAsia="Calibri" w:hAnsi="Calibri"/>
          <w:i/>
          <w:iCs/>
          <w:color w:val="5a6577"/>
          <w:sz w:val="18"/>
          <w:szCs w:val="18"/>
        </w:rPr>
        <w:t xml:space="preserve">Defined for readers approaching this synthesis from outside fund operations or audit. Definitions are practitioner-level, not textbook-exhaustive.</w:t>
      </w:r>
    </w:p>
    <w:p>
      <w:pPr>
        <w:spacing w:after="80" w:before="80" w:line="290"/>
        <w:ind w:left="520" w:hanging="520"/>
      </w:pPr>
      <w:r>
        <w:rPr>
          <w:rFonts w:ascii="Calibri" w:cs="Calibri" w:eastAsia="Calibri" w:hAnsi="Calibri"/>
          <w:b/>
          <w:bCs/>
          <w:color w:val="13233f"/>
          <w:sz w:val="20"/>
          <w:szCs w:val="20"/>
        </w:rPr>
        <w:t xml:space="preserve">NAV (Net Asset Value)  —  </w:t>
      </w:r>
      <w:r>
        <w:rPr>
          <w:rFonts w:ascii="Calibri" w:cs="Calibri" w:eastAsia="Calibri" w:hAnsi="Calibri"/>
          <w:color w:val="1a1f2e"/>
          <w:sz w:val="20"/>
          <w:szCs w:val="20"/>
        </w:rPr>
        <w:t xml:space="preserve">The value of a fund’s assets minus its liabilities, and the basis for investor reporting and performance. In alternative assets it is the output of valuation, accrual, fee and carry logic, and multi-source reconciliation — not a single figure read off a statement.</w:t>
      </w:r>
    </w:p>
    <w:p>
      <w:pPr>
        <w:spacing w:after="80" w:before="80" w:line="290"/>
        <w:ind w:left="520" w:hanging="520"/>
      </w:pPr>
      <w:r>
        <w:rPr>
          <w:rFonts w:ascii="Calibri" w:cs="Calibri" w:eastAsia="Calibri" w:hAnsi="Calibri"/>
          <w:b/>
          <w:bCs/>
          <w:color w:val="13233f"/>
          <w:sz w:val="20"/>
          <w:szCs w:val="20"/>
        </w:rPr>
        <w:t xml:space="preserve">LPA (Limited Partnership Agreement)  —  </w:t>
      </w:r>
      <w:r>
        <w:rPr>
          <w:rFonts w:ascii="Calibri" w:cs="Calibri" w:eastAsia="Calibri" w:hAnsi="Calibri"/>
          <w:color w:val="1a1f2e"/>
          <w:sz w:val="20"/>
          <w:szCs w:val="20"/>
        </w:rPr>
        <w:t xml:space="preserve">The governing legal contract of a fund. It defines economic terms — management fee, carried interest, preferred return, waterfall — in prose, which is why extracting and interpreting it is slow and error-prone.</w:t>
      </w:r>
    </w:p>
    <w:p>
      <w:pPr>
        <w:spacing w:after="80" w:before="80" w:line="290"/>
        <w:ind w:left="520" w:hanging="520"/>
      </w:pPr>
      <w:r>
        <w:rPr>
          <w:rFonts w:ascii="Calibri" w:cs="Calibri" w:eastAsia="Calibri" w:hAnsi="Calibri"/>
          <w:b/>
          <w:bCs/>
          <w:color w:val="13233f"/>
          <w:sz w:val="20"/>
          <w:szCs w:val="20"/>
        </w:rPr>
        <w:t xml:space="preserve">Waterfall  —  </w:t>
      </w:r>
      <w:r>
        <w:rPr>
          <w:rFonts w:ascii="Calibri" w:cs="Calibri" w:eastAsia="Calibri" w:hAnsi="Calibri"/>
          <w:color w:val="1a1f2e"/>
          <w:sz w:val="20"/>
          <w:szCs w:val="20"/>
        </w:rPr>
        <w:t xml:space="preserve">The contractual order in which fund distributions flow: typically return of capital, then preferred return, then a general-partner catch-up, then the carried-interest split. Small modeling errors here produce LP-facing restatements.</w:t>
      </w:r>
    </w:p>
    <w:p>
      <w:pPr>
        <w:spacing w:after="80" w:before="80" w:line="290"/>
        <w:ind w:left="520" w:hanging="520"/>
      </w:pPr>
      <w:r>
        <w:rPr>
          <w:rFonts w:ascii="Calibri" w:cs="Calibri" w:eastAsia="Calibri" w:hAnsi="Calibri"/>
          <w:b/>
          <w:bCs/>
          <w:color w:val="13233f"/>
          <w:sz w:val="20"/>
          <w:szCs w:val="20"/>
        </w:rPr>
        <w:t xml:space="preserve">Carried interest (carry)  —  </w:t>
      </w:r>
      <w:r>
        <w:rPr>
          <w:rFonts w:ascii="Calibri" w:cs="Calibri" w:eastAsia="Calibri" w:hAnsi="Calibri"/>
          <w:color w:val="1a1f2e"/>
          <w:sz w:val="20"/>
          <w:szCs w:val="20"/>
        </w:rPr>
        <w:t xml:space="preserve">The general partner’s share of fund profits, contingent on the waterfall and any hurdle. Its calculation is a frequent source of disputes and audit adjustments.</w:t>
      </w:r>
    </w:p>
    <w:p>
      <w:pPr>
        <w:spacing w:after="80" w:before="80" w:line="290"/>
        <w:ind w:left="520" w:hanging="520"/>
      </w:pPr>
      <w:r>
        <w:rPr>
          <w:rFonts w:ascii="Calibri" w:cs="Calibri" w:eastAsia="Calibri" w:hAnsi="Calibri"/>
          <w:b/>
          <w:bCs/>
          <w:color w:val="13233f"/>
          <w:sz w:val="20"/>
          <w:szCs w:val="20"/>
        </w:rPr>
        <w:t xml:space="preserve">ASC 946  —  </w:t>
      </w:r>
      <w:r>
        <w:rPr>
          <w:rFonts w:ascii="Calibri" w:cs="Calibri" w:eastAsia="Calibri" w:hAnsi="Calibri"/>
          <w:color w:val="1a1f2e"/>
          <w:sz w:val="20"/>
          <w:szCs w:val="20"/>
        </w:rPr>
        <w:t xml:space="preserve">The U.S. GAAP investment-company accounting standard. Governs fair-value measurement, the fair-value hierarchy disclosure, and the schedule of investments — exacting requirements and a common locus of audit findings.</w:t>
      </w:r>
    </w:p>
    <w:p>
      <w:pPr>
        <w:spacing w:after="80" w:before="80" w:line="290"/>
        <w:ind w:left="520" w:hanging="520"/>
      </w:pPr>
      <w:r>
        <w:rPr>
          <w:rFonts w:ascii="Calibri" w:cs="Calibri" w:eastAsia="Calibri" w:hAnsi="Calibri"/>
          <w:b/>
          <w:bCs/>
          <w:color w:val="13233f"/>
          <w:sz w:val="20"/>
          <w:szCs w:val="20"/>
        </w:rPr>
        <w:t xml:space="preserve">PBC (Prepared By Client)  —  </w:t>
      </w:r>
      <w:r>
        <w:rPr>
          <w:rFonts w:ascii="Calibri" w:cs="Calibri" w:eastAsia="Calibri" w:hAnsi="Calibri"/>
          <w:color w:val="1a1f2e"/>
          <w:sz w:val="20"/>
          <w:szCs w:val="20"/>
        </w:rPr>
        <w:t xml:space="preserve">The list of documents and schedules an auditor requests from the client. PBC coordination — chasing, re-requesting, reformatting — consumes a large share of engagement hours and is a leading agentic-automation target.</w:t>
      </w:r>
    </w:p>
    <w:p>
      <w:pPr>
        <w:spacing w:after="80" w:before="80" w:line="290"/>
        <w:ind w:left="520" w:hanging="520"/>
      </w:pPr>
      <w:r>
        <w:rPr>
          <w:rFonts w:ascii="Calibri" w:cs="Calibri" w:eastAsia="Calibri" w:hAnsi="Calibri"/>
          <w:b/>
          <w:bCs/>
          <w:color w:val="13233f"/>
          <w:sz w:val="20"/>
          <w:szCs w:val="20"/>
        </w:rPr>
        <w:t xml:space="preserve">Agentic AI  —  </w:t>
      </w:r>
      <w:r>
        <w:rPr>
          <w:rFonts w:ascii="Calibri" w:cs="Calibri" w:eastAsia="Calibri" w:hAnsi="Calibri"/>
          <w:color w:val="1a1f2e"/>
          <w:sz w:val="20"/>
          <w:szCs w:val="20"/>
        </w:rPr>
        <w:t xml:space="preserve">AI that plans and executes multi-step work with limited supervision, rather than answering a single prompt. Multi-agent systems orchestrate specialized agents (e.g., a preparer, a reviewer, an adversarial challenger) toward one outcome.</w:t>
      </w:r>
    </w:p>
    <w:p>
      <w:pPr>
        <w:spacing w:after="80" w:before="80" w:line="290"/>
        <w:ind w:left="520" w:hanging="520"/>
      </w:pPr>
      <w:r>
        <w:rPr>
          <w:rFonts w:ascii="Calibri" w:cs="Calibri" w:eastAsia="Calibri" w:hAnsi="Calibri"/>
          <w:b/>
          <w:bCs/>
          <w:color w:val="13233f"/>
          <w:sz w:val="20"/>
          <w:szCs w:val="20"/>
        </w:rPr>
        <w:t xml:space="preserve">Shadow reconciliation  —  </w:t>
      </w:r>
      <w:r>
        <w:rPr>
          <w:rFonts w:ascii="Calibri" w:cs="Calibri" w:eastAsia="Calibri" w:hAnsi="Calibri"/>
          <w:color w:val="1a1f2e"/>
          <w:sz w:val="20"/>
          <w:szCs w:val="20"/>
        </w:rPr>
        <w:t xml:space="preserve">Independently reproducing a fund administrator’s NAV or capital figures from source data to verify them, and flagging exceptions — a control activity, not a replacement for the official books.</w:t>
      </w:r>
    </w:p>
    <w:p>
      <w:r>
        <w:br w:type="page"/>
      </w:r>
    </w:p>
    <w:p>
      <w:pPr>
        <w:keepNext/>
        <w:pBdr>
          <w:bottom w:val="single" w:color="0b7a6e" w:sz="4" w:space="4"/>
        </w:pBdr>
        <w:spacing w:after="140" w:before="360"/>
      </w:pPr>
      <w:r>
        <w:rPr>
          <w:rFonts w:ascii="Calibri" w:cs="Calibri" w:eastAsia="Calibri" w:hAnsi="Calibri"/>
          <w:b/>
          <w:bCs/>
          <w:color w:val="0b7a6e"/>
          <w:sz w:val="30"/>
          <w:szCs w:val="30"/>
        </w:rPr>
        <w:t xml:space="preserve"/>
      </w:r>
      <w:r>
        <w:rPr>
          <w:rFonts w:ascii="Calibri" w:cs="Calibri" w:eastAsia="Calibri" w:hAnsi="Calibri"/>
          <w:b/>
          <w:bCs/>
          <w:color w:val="13233f"/>
          <w:sz w:val="30"/>
          <w:szCs w:val="30"/>
        </w:rPr>
        <w:t xml:space="preserve">References</w:t>
      </w:r>
    </w:p>
    <w:p>
      <w:pPr>
        <w:spacing w:after="120" w:before="60" w:line="300"/>
      </w:pPr>
      <w:r>
        <w:rPr>
          <w:rFonts w:ascii="Calibri" w:cs="Calibri" w:eastAsia="Calibri" w:hAnsi="Calibri"/>
          <w:i/>
          <w:iCs/>
          <w:color w:val="5a6577"/>
          <w:sz w:val="18"/>
          <w:szCs w:val="18"/>
        </w:rPr>
        <w:t xml:space="preserve">Sources are numbered as cited in text. Regulatory and named-firm primary sources are listed first by convention. Web sources reflect material available as of May 2026; figures attributed to firm-published research or vendors are identified in text as directional rather than independently audited.</w:t>
      </w:r>
    </w:p>
    <w:p>
      <w:pPr>
        <w:spacing w:after="50" w:before="50" w:line="280"/>
        <w:ind w:left="520" w:hanging="520"/>
      </w:pPr>
      <w:r>
        <w:rPr>
          <w:rFonts w:ascii="Calibri" w:cs="Calibri" w:eastAsia="Calibri" w:hAnsi="Calibri"/>
          <w:b/>
          <w:bCs/>
          <w:color w:val="0b7a6e"/>
          <w:sz w:val="18"/>
          <w:szCs w:val="18"/>
        </w:rPr>
        <w:t xml:space="preserve">[1]  </w:t>
      </w:r>
      <w:r>
        <w:rPr>
          <w:rFonts w:ascii="Calibri" w:cs="Calibri" w:eastAsia="Calibri" w:hAnsi="Calibri"/>
          <w:color w:val="1a1f2e"/>
          <w:sz w:val="18"/>
          <w:szCs w:val="18"/>
        </w:rPr>
        <w:t xml:space="preserve">EY. “EY launches enterprise-scale agentic AI to redefine the audit experience for the AI era.” EY Newsroom, April 2026.</w:t>
      </w:r>
    </w:p>
    <w:p>
      <w:pPr>
        <w:spacing w:after="50" w:before="50" w:line="280"/>
        <w:ind w:left="520" w:hanging="520"/>
      </w:pPr>
      <w:r>
        <w:rPr>
          <w:rFonts w:ascii="Calibri" w:cs="Calibri" w:eastAsia="Calibri" w:hAnsi="Calibri"/>
          <w:b/>
          <w:bCs/>
          <w:color w:val="0b7a6e"/>
          <w:sz w:val="18"/>
          <w:szCs w:val="18"/>
        </w:rPr>
        <w:t xml:space="preserve">[6]  </w:t>
      </w:r>
      <w:r>
        <w:rPr>
          <w:rFonts w:ascii="Calibri" w:cs="Calibri" w:eastAsia="Calibri" w:hAnsi="Calibri"/>
          <w:color w:val="1a1f2e"/>
          <w:sz w:val="18"/>
          <w:szCs w:val="18"/>
        </w:rPr>
        <w:t xml:space="preserve">Wolters Kluwer. “Audit workflows and agentic AI: How to make your process more effective.” March 2026.</w:t>
      </w:r>
    </w:p>
    <w:p>
      <w:pPr>
        <w:spacing w:after="50" w:before="50" w:line="280"/>
        <w:ind w:left="520" w:hanging="520"/>
      </w:pPr>
      <w:r>
        <w:rPr>
          <w:rFonts w:ascii="Calibri" w:cs="Calibri" w:eastAsia="Calibri" w:hAnsi="Calibri"/>
          <w:b/>
          <w:bCs/>
          <w:color w:val="0b7a6e"/>
          <w:sz w:val="18"/>
          <w:szCs w:val="18"/>
        </w:rPr>
        <w:t xml:space="preserve">[7]  </w:t>
      </w:r>
      <w:r>
        <w:rPr>
          <w:rFonts w:ascii="Calibri" w:cs="Calibri" w:eastAsia="Calibri" w:hAnsi="Calibri"/>
          <w:color w:val="1a1f2e"/>
          <w:sz w:val="18"/>
          <w:szCs w:val="18"/>
        </w:rPr>
        <w:t xml:space="preserve">CPA Trendlines. “Outlook 2026: Agentic AI Reaches the Tipping Point in Tax and Accounting Firms.” January 2026.</w:t>
      </w:r>
    </w:p>
    <w:p>
      <w:pPr>
        <w:spacing w:after="50" w:before="50" w:line="280"/>
        <w:ind w:left="520" w:hanging="520"/>
      </w:pPr>
      <w:r>
        <w:rPr>
          <w:rFonts w:ascii="Calibri" w:cs="Calibri" w:eastAsia="Calibri" w:hAnsi="Calibri"/>
          <w:b/>
          <w:bCs/>
          <w:color w:val="0b7a6e"/>
          <w:sz w:val="18"/>
          <w:szCs w:val="18"/>
        </w:rPr>
        <w:t xml:space="preserve">[11]  </w:t>
      </w:r>
      <w:r>
        <w:rPr>
          <w:rFonts w:ascii="Calibri" w:cs="Calibri" w:eastAsia="Calibri" w:hAnsi="Calibri"/>
          <w:color w:val="1a1f2e"/>
          <w:sz w:val="18"/>
          <w:szCs w:val="18"/>
        </w:rPr>
        <w:t xml:space="preserve">NAV Fund Services. “2026 Fund Administration Trends.” March 2026.</w:t>
      </w:r>
    </w:p>
    <w:p>
      <w:pPr>
        <w:spacing w:after="50" w:before="50" w:line="280"/>
        <w:ind w:left="520" w:hanging="520"/>
      </w:pPr>
      <w:r>
        <w:rPr>
          <w:rFonts w:ascii="Calibri" w:cs="Calibri" w:eastAsia="Calibri" w:hAnsi="Calibri"/>
          <w:b/>
          <w:bCs/>
          <w:color w:val="0b7a6e"/>
          <w:sz w:val="18"/>
          <w:szCs w:val="18"/>
        </w:rPr>
        <w:t xml:space="preserve">[12]  </w:t>
      </w:r>
      <w:r>
        <w:rPr>
          <w:rFonts w:ascii="Calibri" w:cs="Calibri" w:eastAsia="Calibri" w:hAnsi="Calibri"/>
          <w:color w:val="1a1f2e"/>
          <w:sz w:val="18"/>
          <w:szCs w:val="18"/>
        </w:rPr>
        <w:t xml:space="preserve">RSM US. “AI in fund administration isn’t a cost-cutting exercise.” March 2026.</w:t>
      </w:r>
    </w:p>
    <w:p>
      <w:pPr>
        <w:spacing w:after="50" w:before="50" w:line="280"/>
        <w:ind w:left="520" w:hanging="520"/>
      </w:pPr>
      <w:r>
        <w:rPr>
          <w:rFonts w:ascii="Calibri" w:cs="Calibri" w:eastAsia="Calibri" w:hAnsi="Calibri"/>
          <w:b/>
          <w:bCs/>
          <w:color w:val="0b7a6e"/>
          <w:sz w:val="18"/>
          <w:szCs w:val="18"/>
        </w:rPr>
        <w:t xml:space="preserve">[14]  </w:t>
      </w:r>
      <w:r>
        <w:rPr>
          <w:rFonts w:ascii="Calibri" w:cs="Calibri" w:eastAsia="Calibri" w:hAnsi="Calibri"/>
          <w:color w:val="1a1f2e"/>
          <w:sz w:val="18"/>
          <w:szCs w:val="18"/>
        </w:rPr>
        <w:t xml:space="preserve">Dust. “AI in Private Equity: How PE Firms Use Automation (2026).” 2026 (Ardabelle case).</w:t>
      </w:r>
    </w:p>
    <w:p>
      <w:pPr>
        <w:spacing w:after="50" w:before="50" w:line="280"/>
        <w:ind w:left="520" w:hanging="520"/>
      </w:pPr>
      <w:r>
        <w:rPr>
          <w:rFonts w:ascii="Calibri" w:cs="Calibri" w:eastAsia="Calibri" w:hAnsi="Calibri"/>
          <w:b/>
          <w:bCs/>
          <w:color w:val="0b7a6e"/>
          <w:sz w:val="18"/>
          <w:szCs w:val="18"/>
        </w:rPr>
        <w:t xml:space="preserve">[15]  </w:t>
      </w:r>
      <w:r>
        <w:rPr>
          <w:rFonts w:ascii="Calibri" w:cs="Calibri" w:eastAsia="Calibri" w:hAnsi="Calibri"/>
          <w:color w:val="1a1f2e"/>
          <w:sz w:val="18"/>
          <w:szCs w:val="18"/>
        </w:rPr>
        <w:t xml:space="preserve">Grant Thornton. “AI Plays for Smarter, Profitable Fund Administration.” 2025/2026.</w:t>
      </w:r>
    </w:p>
    <w:p>
      <w:pPr>
        <w:spacing w:after="50" w:before="50" w:line="280"/>
        <w:ind w:left="520" w:hanging="520"/>
      </w:pPr>
      <w:r>
        <w:rPr>
          <w:rFonts w:ascii="Calibri" w:cs="Calibri" w:eastAsia="Calibri" w:hAnsi="Calibri"/>
          <w:b/>
          <w:bCs/>
          <w:color w:val="0b7a6e"/>
          <w:sz w:val="18"/>
          <w:szCs w:val="18"/>
        </w:rPr>
        <w:t xml:space="preserve">[16]  </w:t>
      </w:r>
      <w:r>
        <w:rPr>
          <w:rFonts w:ascii="Calibri" w:cs="Calibri" w:eastAsia="Calibri" w:hAnsi="Calibri"/>
          <w:color w:val="1a1f2e"/>
          <w:sz w:val="18"/>
          <w:szCs w:val="18"/>
        </w:rPr>
        <w:t xml:space="preserve">OpEff Technologies / Perfona. Product disclosures, opeff.com (accessed May 2026).</w:t>
      </w:r>
    </w:p>
    <w:p>
      <w:pPr>
        <w:spacing w:after="50" w:before="50" w:line="280"/>
        <w:ind w:left="520" w:hanging="520"/>
      </w:pPr>
      <w:r>
        <w:rPr>
          <w:rFonts w:ascii="Calibri" w:cs="Calibri" w:eastAsia="Calibri" w:hAnsi="Calibri"/>
          <w:b/>
          <w:bCs/>
          <w:color w:val="0b7a6e"/>
          <w:sz w:val="18"/>
          <w:szCs w:val="18"/>
        </w:rPr>
        <w:t xml:space="preserve">[18]  </w:t>
      </w:r>
      <w:r>
        <w:rPr>
          <w:rFonts w:ascii="Calibri" w:cs="Calibri" w:eastAsia="Calibri" w:hAnsi="Calibri"/>
          <w:color w:val="1a1f2e"/>
          <w:sz w:val="18"/>
          <w:szCs w:val="18"/>
        </w:rPr>
        <w:t xml:space="preserve">Third Bridge. “AI tools for private equity.” March 2026.</w:t>
      </w:r>
    </w:p>
    <w:p>
      <w:pPr>
        <w:spacing w:after="50" w:before="50" w:line="280"/>
        <w:ind w:left="520" w:hanging="520"/>
      </w:pPr>
      <w:r>
        <w:rPr>
          <w:rFonts w:ascii="Calibri" w:cs="Calibri" w:eastAsia="Calibri" w:hAnsi="Calibri"/>
          <w:b/>
          <w:bCs/>
          <w:color w:val="0b7a6e"/>
          <w:sz w:val="18"/>
          <w:szCs w:val="18"/>
        </w:rPr>
        <w:t xml:space="preserve">[20]  </w:t>
      </w:r>
      <w:r>
        <w:rPr>
          <w:rFonts w:ascii="Calibri" w:cs="Calibri" w:eastAsia="Calibri" w:hAnsi="Calibri"/>
          <w:color w:val="1a1f2e"/>
          <w:sz w:val="18"/>
          <w:szCs w:val="18"/>
        </w:rPr>
        <w:t xml:space="preserve">PCAOB. “AI and the Pursuit of Audit Quality: A Regulatory Perspective” and Technology Innovation Alliance “Future State” deliverable, 2024–2025.</w:t>
      </w:r>
    </w:p>
    <w:p>
      <w:pPr>
        <w:spacing w:after="50" w:before="50" w:line="280"/>
        <w:ind w:left="520" w:hanging="520"/>
      </w:pPr>
      <w:r>
        <w:rPr>
          <w:rFonts w:ascii="Calibri" w:cs="Calibri" w:eastAsia="Calibri" w:hAnsi="Calibri"/>
          <w:b/>
          <w:bCs/>
          <w:color w:val="0b7a6e"/>
          <w:sz w:val="18"/>
          <w:szCs w:val="18"/>
        </w:rPr>
        <w:t xml:space="preserve">[21]  </w:t>
      </w:r>
      <w:r>
        <w:rPr>
          <w:rFonts w:ascii="Calibri" w:cs="Calibri" w:eastAsia="Calibri" w:hAnsi="Calibri"/>
          <w:color w:val="1a1f2e"/>
          <w:sz w:val="18"/>
          <w:szCs w:val="18"/>
        </w:rPr>
        <w:t xml:space="preserve">Accounting Today / Journal of Accountancy. PCAOB remarks, AICPA Conference on Current SEC and PCAOB Developments, December 2025–January 2026.</w:t>
      </w:r>
    </w:p>
    <w:p>
      <w:pPr>
        <w:spacing w:after="50" w:before="50" w:line="280"/>
        <w:ind w:left="520" w:hanging="520"/>
      </w:pPr>
      <w:r>
        <w:rPr>
          <w:rFonts w:ascii="Calibri" w:cs="Calibri" w:eastAsia="Calibri" w:hAnsi="Calibri"/>
          <w:b/>
          <w:bCs/>
          <w:color w:val="0b7a6e"/>
          <w:sz w:val="18"/>
          <w:szCs w:val="18"/>
        </w:rPr>
        <w:t xml:space="preserve">[28]  </w:t>
      </w:r>
      <w:r>
        <w:rPr>
          <w:rFonts w:ascii="Calibri" w:cs="Calibri" w:eastAsia="Calibri" w:hAnsi="Calibri"/>
          <w:color w:val="1a1f2e"/>
          <w:sz w:val="18"/>
          <w:szCs w:val="18"/>
        </w:rPr>
        <w:t xml:space="preserve">Datricks, citing Deloitte study. “AI and Auditing: Addressing PCAOB Priorities.” November 2025 (firm-published figure; directional).</w:t>
      </w:r>
    </w:p>
    <w:p>
      <w:pPr>
        <w:spacing w:after="0" w:before="160"/>
      </w:pPr>
      <w:r>
        <w:t xml:space="preserve"/>
      </w:r>
    </w:p>
    <w:p>
      <w:pPr>
        <w:pBdr>
          <w:bottom w:val="single" w:color="c4ccd6" w:sz="4" w:space="2"/>
        </w:pBdr>
        <w:spacing w:after="80" w:before="80"/>
      </w:pPr>
      <w:r>
        <w:t xml:space="preserve"/>
      </w:r>
    </w:p>
    <w:p>
      <w:pPr>
        <w:spacing w:after="120" w:before="60" w:line="300"/>
      </w:pPr>
      <w:r>
        <w:rPr>
          <w:rFonts w:ascii="Calibri" w:cs="Calibri" w:eastAsia="Calibri" w:hAnsi="Calibri"/>
          <w:i/>
          <w:iCs/>
          <w:color w:val="5a6577"/>
          <w:sz w:val="16"/>
          <w:szCs w:val="16"/>
        </w:rPr>
        <w:t xml:space="preserve">FundLens Audit · Research Synthesis v1.0 · DeciFin · May 2026 · Prepared from direct practitioner experience in audit and fund administration. Decision-support framing throughout; human verification is a design constraint, not a caveat.</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ccd6" w:sz="4" w:space="6"/>
      </w:pBdr>
      <w:tabs>
        <w:tab w:val="right" w:pos="9360"/>
      </w:tabs>
    </w:pPr>
    <w:r>
      <w:rPr>
        <w:rFonts w:ascii="Calibri" w:cs="Calibri" w:eastAsia="Calibri" w:hAnsi="Calibri"/>
        <w:color w:val="5a6577"/>
        <w:sz w:val="16"/>
        <w:szCs w:val="16"/>
      </w:rPr>
      <w:t xml:space="preserve">FundLens Audit · Research Synthesis</w:t>
    </w:r>
    <w:r>
      <w:rPr>
        <w:rFonts w:ascii="Calibri" w:cs="Calibri" w:eastAsia="Calibri" w:hAnsi="Calibri"/>
        <w:sz w:val="16"/>
        <w:szCs w:val="16"/>
      </w:rPr>
      <w:t xml:space="preserve">	</w:t>
    </w:r>
    <w:r>
      <w:rPr>
        <w:rFonts w:ascii="Calibri" w:cs="Calibri" w:eastAsia="Calibri" w:hAnsi="Calibri"/>
        <w:color w:val="5a65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2026-05-18T03:12:00.806Z</dcterms:created>
  <dcterms:modified xsi:type="dcterms:W3CDTF">2026-05-18T03:12:00.818Z</dcterms:modified>
</cp:coreProperties>
</file>

<file path=docProps/custom.xml><?xml version="1.0" encoding="utf-8"?>
<Properties xmlns="http://schemas.openxmlformats.org/officeDocument/2006/custom-properties" xmlns:vt="http://schemas.openxmlformats.org/officeDocument/2006/docPropsVTypes"/>
</file>