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52"/>
        </w:rPr>
        <w:t>IdentiFind — Launch Readiness Checklist</w:t>
      </w:r>
    </w:p>
    <w:p>
      <w:pPr>
        <w:spacing w:after="80"/>
      </w:pPr>
      <w:r>
        <w:rPr>
          <w:rFonts w:ascii="Arial" w:hAnsi="Arial"/>
          <w:color w:val="64748B"/>
          <w:sz w:val="18"/>
        </w:rPr>
        <w:t>Investor &amp; Operational Readiness  |  Updated June 2026</w:t>
      </w:r>
    </w:p>
    <w:p>
      <w:pPr>
        <w:spacing w:after="160"/>
      </w:pPr>
      <w:r>
        <w:rPr>
          <w:rFonts w:ascii="Arial" w:hAnsi="Arial"/>
          <w:b/>
          <w:color w:val="DC2626"/>
          <w:sz w:val="16"/>
        </w:rPr>
        <w:t xml:space="preserve">  CRITICAL  </w:t>
      </w:r>
      <w:r>
        <w:rPr>
          <w:rFonts w:ascii="Arial" w:hAnsi="Arial"/>
          <w:b/>
          <w:color w:val="D97706"/>
          <w:sz w:val="16"/>
        </w:rPr>
        <w:t xml:space="preserve">  HIGH  </w:t>
      </w:r>
      <w:r>
        <w:rPr>
          <w:rFonts w:ascii="Arial" w:hAnsi="Arial"/>
          <w:b/>
          <w:color w:val="1E40AF"/>
          <w:sz w:val="16"/>
        </w:rPr>
        <w:t xml:space="preserve">  MEDIUM  </w:t>
      </w:r>
      <w:r>
        <w:rPr>
          <w:rFonts w:ascii="Arial" w:hAnsi="Arial"/>
          <w:b/>
          <w:color w:val="64748B"/>
          <w:sz w:val="16"/>
        </w:rPr>
        <w:t xml:space="preserve">  LOW  </w:t>
      </w:r>
      <w:r>
        <w:rPr>
          <w:rFonts w:ascii="Arial" w:hAnsi="Arial"/>
          <w:b/>
          <w:color w:val="16A34A"/>
          <w:sz w:val="16"/>
        </w:rPr>
        <w:t xml:space="preserve">  DONE  </w:t>
      </w:r>
      <w:r>
        <w:rPr>
          <w:sz w:val="18"/>
        </w:rPr>
        <w:t xml:space="preserve">   priority levels</w:t>
      </w:r>
    </w:p>
    <w:p>
      <w:pPr>
        <w:spacing w:before="40" w:after="40"/>
        <w:pBdr>
          <w:bottom w:val="single" w:sz="4" w:space="1" w:color="CBD5E1"/>
        </w:pBdr>
      </w:pPr>
    </w:p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1.  DOMAIN &amp; BRAND IDENTITY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The first thing an investor does after a meeting is search for you. These items must be in place before any external pitch or demo.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C262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Register identifind.com (or best available TLD)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Check Namecheap or Google Domains. If .com is taken, try .app or .io — both are credible for software products. Avoid .net or hyphens.  →  namecheap.com / domains.google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~$12–20/yr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C262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Set up Google Workspace for professional email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Get alex@identifind.com (or founder@identifind.com). Replace all Gmail references in pitch materials. Costs $6/user/month on Starter plan.  →  workspace.google.com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$6/mo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Point domain to your deployed app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Add CNAME/A records in your domain registrar pointing to Vercel. Takes ~10 minutes — Vercel auto-provisions TLS.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(Vercel)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Register @identifind on all major social platforms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Lock the handle on Twitter/X, LinkedIn (company page), Instagram, TikTok, and YouTube even if you won't use them yet — someone else will take them.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Design a minimal logo / wordmark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Use Figma (free) or hire a designer via Fiverr (~$50–150). You need this for the app, pitch deck, and email signature.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$0–150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2.  INFRASTRUCTURE UPGRADES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These prevent demo failures and show investors you operate like a professional engineering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C262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Upgrade Supabase to Pro tier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Eliminates the free-tier project pausing (7-day inactivity = offline app). Adds daily backups, 8GB DB, 50GB bandwidth, and no cold-start pauses. Non-negotiable before any live investor demo.  →  supabase.com/pricing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$25/mo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/>
                <w:color w:val="16A34A"/>
                <w:sz w:val="22"/>
              </w:rPr>
              <w:t>✓</w:t>
            </w:r>
          </w:p>
        </w:tc>
        <w:tc>
          <w:tcPr>
            <w:tcW w:type="dxa" w:w="1224"/>
            <w:shd w:val="clear" w:color="auto" w:fill="16A34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Prisma PgBouncer pooler configured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DATABASE_URL uses port 6543 + pgbouncer=true. DIRECT_URL added to schema.prisma and .env for migrations.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C262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Fill in DIRECT_URL in .env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Get from Supabase Dashboard → Settings → Database → Connection string → URI (port 5432). Required for prisma migrate deploy to succeed.  →  supabase.com/dashboard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Deploy to Vercel (or confirm deployment)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Connect GitHub repo to Vercel. Set all .env vars in Vercel → Settings → Environment Variables. Hobby tier is free; upgrade to Pro ($20/mo) before public launch for SLA and team features.  →  vercel.com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→ $20/mo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Set NEXTAUTH_URL to production domain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Change from http://localhost:3000 to https://identifind.com in your Vercel env vars. OAuth callbacks will silently fail without this.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Enable Supabase Point-in-Time Recovery (PITR)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Available on Pro tier. Gives you 7-day recovery window — important for a product handling personal identity data.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Included in Pro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3.  OBSERVABILITY &amp; RELIABILITY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Investors will ask "how do you know when something breaks?" These tools give you a credible answer and protect your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Add Sentry for error tracking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Install @sentry/nextjs. Captures unhandled exceptions with full stack traces, user context, and breadcrumbs. Free tier: 5K errors/month. Run: npm install @sentry/nextjs &amp;&amp; npx @sentry/wizard@latest -i nextjs  →  sentry.io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→ $26/mo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Set up uptime monitoring (BetterStack)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Creates a public status page (status.identifind.com) and alerts you within 30s of downtime. Free tier covers 10 monitors. Looks extremely professional to investors.  →  betterstack.com/uptime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Add PostHog for product analytics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Self-hostable or cloud. Tracks user funnels, scan conversion, feature usage, and retention. Free up to 1M events/month. Investors will want this data at diligence.  →  posthog.com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→ $0.00031/event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Configure Vercel Web Analytics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One checkbox in Vercel dashboard. Shows page views, unique visitors, and countries at a glance — good for investor screenshots.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on Hobby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6474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Set up log aggregation (Axiom or Logtail)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Capture server-side logs from Next.js API routes. Essential for debugging scan pipeline failures in production.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tier available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4.  TRANSACTIONAL EMAIL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Users need email verification, password resets, and scan alert digests. Gmail's SMTP will get you rate-limited or spam-flagged at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Sign up for Resend (recommended)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Built for Next.js — npm install resend, and you're sending in 5 minutes. 3,000 emails/month free. Use noreply@identifind.com as the from address.  →  resend.com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→ $20/mo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Configure SPF, DKIM, and DMARC DNS records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Required for email deliverability. Resend walks you through adding these to your domain registrar. Without them, emails land in spam.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(DNS config)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Add Resend to NextAuth for magic-link / verification emails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Replace the default nodemailer config with Resend's adapter. Docs: resend.com/docs/send-with-nextauth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5.  API INTEGRATIONS — SCAN PIPELINE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Do these when you're ready to track expenses properly (LLC recommended first). Start with the free tiers — the pipeline already handles missing keys gracefully.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HIBP (Have I Been Pwned) — breach data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Most trusted breach database. ~$3.50/month. Get at haveibeenpwned.com/API/Key. Set HIBP_API_KEY in .env.  →  haveibeenpwned.com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$3.50/mo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People Data Labs — PII broker data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100 free credits/month on free tier. Sign up at peopledatalabs.com. Set PDL_API_KEY in .env.  →  peopledatalabs.com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→ pay-per-use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Refresh IntelX API key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Current key returns 401 — regenerate at intelx.io/account?tab=developer. Set INTELX_API_KEY in .env.  →  intelx.io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tier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DeHashed — additional breach corpus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Complements HIBP with additional leak data. API access at dehashed.com/api.  →  dehashed.com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~$5/mo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FullContact — PII enrichment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Free tier available at platform.fullcontact.com. Set FULLCONTACT_API_KEY.  →  platform.fullcontact.com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tier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6474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OAuth provider keys (Google, GitHub, LinkedIn, Twitter, Facebook)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Required for social account monitoring features. All blank in current .env — each needs its own developer app registered.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6.  LEGAL &amp; COMPLIANCE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A product that handles personal identity data will be scrutinized during diligence. These items show investors you've thought about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C262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Form an LLC before signing up for paid services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Register in Wyoming or Delaware (cheapest, most investor-friendly). Use Stripe Atlas ($500 one-time) or Clerky. All business expenses then flow through the entity.  →  stripe.com/atlas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$50–500 one-time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C262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Open a business bank account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Mercury (recommended for startups — no fees, no minimums, great API). Requires LLC to be formed first.  →  mercury.com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Publish a Privacy Policy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Required before collecting any user data. Use Termly or Iubenda to generate a CCPA/GDPR-compliant policy. Link from footer and auth screens.  →  termly.io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$10–30/mo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Publish Terms of Service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Defines user obligations, limitations of liability, and acceptable use. Generate alongside Privacy Policy.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Bundled with Privacy Policy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Add cookie consent banner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Required under GDPR for EU users. Termly or Cookiebot integrates with Next.js easily.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tier available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6474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Begin SOC 2 Type I preparation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Not needed for pre-seed, but shows serious operational intent. Vanta ($800/mo) automates most of the evidence collection.  →  vanta.com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E40AF"/>
                <w:sz w:val="19"/>
              </w:rPr>
              <w:t>$800/mo when ready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7.  INVESTOR-READINESS POLISH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The details that signal "serious founder" vs. "side project."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122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34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28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Create a one-pager / teaser deck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A 5–8 slide PDF you can email before a meeting: problem, solution, market, traction, ask. The Word pitch doc is your source of truth — convert it.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Record a 3-minute product demo video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Use Loom (free). Walk through a real scan with narration. Embed on the landing page and include the link in cold outreach.  →  loom.com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D9770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Build a minimal landing page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Explain what IdentiFind does, show the risk score UI, and capture emails. Use the existing Next.js app or a fast no-code tool (Framer, Webflow).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→ $20/mo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Set up a waitlist / early-access sign-up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Use Beehiiv, ConvertKit, or a simple Supabase-backed form. 100+ waitlist signups is meaningful early traction for investors.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 tier available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Get 5–10 beta users and collect testimonials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Friends, family, or communities (r/privacy, r/netsec). Written quotes become social proof in the deck.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Apply to YC, Techstars, or a local accelerator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Applications are free. The process forces you to articulate the business clearly even if you don't get in. YC S2027 apps open ~Oct 2026.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  <w:tr>
        <w:tc>
          <w:tcPr>
            <w:tcW w:type="dxa" w:w="504"/>
          </w:tcPr>
          <w:p>
            <w:r>
              <w:rPr>
                <w:rFonts w:ascii="Arial" w:hAnsi="Arial"/>
                <w:b w:val="0"/>
                <w:color w:val="64748B"/>
                <w:sz w:val="22"/>
              </w:rPr>
              <w:t>☐</w:t>
            </w:r>
          </w:p>
        </w:tc>
        <w:tc>
          <w:tcPr>
            <w:tcW w:type="dxa" w:w="1224"/>
            <w:shd w:val="clear" w:color="auto" w:fill="6474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7344"/>
          </w:tcPr>
          <w:p>
            <w:r>
              <w:rPr>
                <w:rFonts w:ascii="Arial" w:hAnsi="Arial"/>
                <w:b/>
                <w:sz w:val="20"/>
              </w:rPr>
              <w:t>Set up a Notion data room</w:t>
            </w:r>
          </w:p>
          <w:p>
            <w:pPr>
              <w:spacing w:before="20"/>
            </w:pPr>
            <w:r>
              <w:rPr>
                <w:rFonts w:ascii="Arial" w:hAnsi="Arial"/>
                <w:color w:val="64748B"/>
                <w:sz w:val="18"/>
              </w:rPr>
              <w:t>Shared folder with pitch deck, financials, cap table, and product docs. Professional investors expect a data room at first meeting.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Arial" w:hAnsi="Arial"/>
                <w:color w:val="16A34A"/>
                <w:sz w:val="19"/>
              </w:rPr>
              <w:t>Free</w:t>
            </w:r>
          </w:p>
        </w:tc>
      </w:tr>
    </w:tbl>
    <w:p/>
    <w:p>
      <w:pPr>
        <w:spacing w:before="280" w:after="80"/>
        <w:pBdr>
          <w:bottom w:val="single" w:sz="6" w:space="4" w:color="3B82F6"/>
        </w:pBdr>
      </w:pPr>
      <w:r>
        <w:rPr>
          <w:rFonts w:ascii="Arial" w:hAnsi="Arial"/>
          <w:b/>
          <w:color w:val="3B82F6"/>
          <w:sz w:val="18"/>
        </w:rPr>
        <w:t>8.  90-DAY PRIORITY SEQUENCE</w:t>
      </w:r>
    </w:p>
    <w:p>
      <w:pPr>
        <w:spacing w:before="120" w:after="160"/>
      </w:pPr>
      <w:r>
        <w:rPr>
          <w:rFonts w:ascii="Arial" w:hAnsi="Arial"/>
          <w:color w:val="64748B"/>
          <w:sz w:val="20"/>
        </w:rPr>
        <w:t>Recommended order if you're starting from zero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9216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Week 1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Form LLC, open Mercury bank account, register identifind.com, set up Google Workspace email.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Week 2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Upgrade Supabase to Pro, fill in DIRECT_URL, deploy to Vercel with custom domain.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Week 2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Set up Sentry, BetterStack status page, and Resend transactional email.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Week 3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Publish Privacy Policy + Terms of Service, add cookie banner, register all social handles.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Week 4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Activate HIBP and PDL API keys, refresh IntelX key, run first real end-to-end scan.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Month 2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Build landing page, record demo video, launch waitlist. Start collecting beta users.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Month 2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Begin OAuth provider setup (Google first), connect first real social account audit.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Month 3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Mobile app Phase 2 (core screens). Apply to at least one accelerator program.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b/>
                <w:color w:val="3B82F6"/>
                <w:sz w:val="20"/>
              </w:rPr>
              <w:t>Month 3</w:t>
            </w:r>
          </w:p>
        </w:tc>
        <w:tc>
          <w:tcPr>
            <w:tcW w:type="dxa" w:w="9216"/>
          </w:tcPr>
          <w:p>
            <w:r>
              <w:rPr>
                <w:rFonts w:ascii="Arial" w:hAnsi="Arial"/>
                <w:sz w:val="20"/>
              </w:rPr>
              <w:t>Set up PostHog analytics, produce first investor update with real metrics.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spacing w:before="200"/>
        <w:jc w:val="center"/>
      </w:pPr>
      <w:r>
        <w:rPr>
          <w:rFonts w:ascii="Arial" w:hAnsi="Arial"/>
          <w:color w:val="64748B"/>
          <w:sz w:val="18"/>
        </w:rPr>
        <w:t>IdentiFind  |  alexander.freshley@gmail.com  |  June 2026  | 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