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F41A0" w14:textId="77777777" w:rsidR="00865908" w:rsidRDefault="00000000">
      <w:pPr>
        <w:pStyle w:val="Title"/>
        <w:jc w:val="center"/>
      </w:pPr>
      <w:r>
        <w:t>Hebrew Manuscript Entity Extraction System</w:t>
      </w:r>
    </w:p>
    <w:p w14:paraId="14454522" w14:textId="77777777" w:rsidR="00865908" w:rsidRDefault="00000000">
      <w:pPr>
        <w:jc w:val="center"/>
      </w:pPr>
      <w:r>
        <w:rPr>
          <w:color w:val="646464"/>
          <w:sz w:val="28"/>
        </w:rPr>
        <w:t>Extraction Mode Comparison Report</w:t>
      </w:r>
    </w:p>
    <w:p w14:paraId="4079F10F" w14:textId="77777777" w:rsidR="00865908" w:rsidRDefault="00865908"/>
    <w:p w14:paraId="21219FC6" w14:textId="77777777" w:rsidR="00865908" w:rsidRDefault="00000000">
      <w:pPr>
        <w:pStyle w:val="Heading1"/>
      </w:pPr>
      <w:r>
        <w:t>System Overview</w:t>
      </w:r>
    </w:p>
    <w:p w14:paraId="21FB21CF" w14:textId="77777777" w:rsidR="00865908" w:rsidRDefault="00000000">
      <w:pPr>
        <w:jc w:val="both"/>
      </w:pPr>
      <w:r>
        <w:t>The Hebrew Manuscript Entity Extraction System is a sophisticated pipeline designed to automatically extract and classify entities (dates, locations, persons) from Hebrew manuscript catalog records using MARC metadata fields. The system operates in three distinct modes: (1) Normal Mode uses a legacy gazetteer of 21,766 locations combined with regex pattern matching and AI-based classification fallback for efficient extraction; (2) Kima Mode leverages the comprehensive Kima/Maagarim gazetteer with 48,128 canonical places and 87,166 total lookup entries, employing Hebrew linguistic patterns with AI fallback for enhanced location coverage and context-aware heuristics that achieve 83.9% event-based classifications; (3) AI-Only Mode uses the Grok API for end-to-end entity extraction and classification, providing the highest recall with 5.2× more dates, 1.9× more locations, and 4.5× more persons compared to regex-based modes. All modes now include field source tracking that distinguishes between entities found in structured MARC fields (651$a, 700$a, 260$a, etc.) versus 'new data' extracted from unstructured note fields (957$a, 500$a, 561$a), enabling researchers to assess data quality and identify newly discovered information. The output format follows the pattern 'value | classification | source_field', where classifications are event-based relationships aligned with CIDOC-CRM ontology (e.g., 'production place', 'resided in', 'author'), and source fields indicate either specific MARC field tags or 'new data' for entities discovered in notes, providing full provenance tracking for scholarly validation and cataloging enhancement.</w:t>
      </w:r>
    </w:p>
    <w:p w14:paraId="3A4CC27D" w14:textId="77777777" w:rsidR="00865908" w:rsidRDefault="00000000">
      <w:r>
        <w:br w:type="page"/>
      </w:r>
    </w:p>
    <w:p w14:paraId="2DCE0968" w14:textId="77777777" w:rsidR="00865908" w:rsidRDefault="00000000">
      <w:pPr>
        <w:pStyle w:val="Heading1"/>
      </w:pPr>
      <w:r>
        <w:lastRenderedPageBreak/>
        <w:t>Extraction Mode Comparison Results</w:t>
      </w:r>
    </w:p>
    <w:p w14:paraId="544BA602" w14:textId="77777777" w:rsidR="00865908" w:rsidRDefault="00000000">
      <w:pPr>
        <w:pStyle w:val="Heading2"/>
      </w:pPr>
      <w:r>
        <w:t>Summary</w:t>
      </w:r>
    </w:p>
    <w:p w14:paraId="752C82A6" w14:textId="77777777" w:rsidR="00865908" w:rsidRDefault="00000000">
      <w:r>
        <w:rPr>
          <w:b/>
        </w:rPr>
        <w:t xml:space="preserve">File Generated: </w:t>
      </w:r>
      <w:r>
        <w:t>extraction_mode_comparison.csv</w:t>
      </w:r>
      <w:r>
        <w:br/>
      </w:r>
      <w:r>
        <w:rPr>
          <w:b/>
        </w:rPr>
        <w:t xml:space="preserve">Total Manuscripts: </w:t>
      </w:r>
      <w:r>
        <w:t>100</w:t>
      </w:r>
      <w:r>
        <w:br/>
      </w:r>
      <w:r>
        <w:rPr>
          <w:b/>
        </w:rPr>
        <w:t xml:space="preserve">Extraction Modes: </w:t>
      </w:r>
      <w:r>
        <w:t>Normal, Kima, AI-Only</w:t>
      </w:r>
    </w:p>
    <w:p w14:paraId="479D1809" w14:textId="77777777" w:rsidR="00865908" w:rsidRDefault="00865908"/>
    <w:p w14:paraId="70AFE32A" w14:textId="77777777" w:rsidR="00865908" w:rsidRDefault="00000000">
      <w:pPr>
        <w:pStyle w:val="Heading2"/>
      </w:pPr>
      <w:r>
        <w:t>Output Format with Field Source Tracking</w:t>
      </w:r>
    </w:p>
    <w:p w14:paraId="26AAB08E" w14:textId="77777777" w:rsidR="00865908" w:rsidRDefault="00000000">
      <w:r>
        <w:t>All entity columns now use the format:</w:t>
      </w:r>
    </w:p>
    <w:p w14:paraId="7D43F972" w14:textId="77777777" w:rsidR="00865908" w:rsidRDefault="00000000">
      <w:pPr>
        <w:pStyle w:val="IntenseQuote"/>
        <w:jc w:val="center"/>
      </w:pPr>
      <w:r>
        <w:t>value | classification | source_field</w:t>
      </w:r>
    </w:p>
    <w:p w14:paraId="33C57DA8" w14:textId="77777777" w:rsidR="00865908" w:rsidRDefault="00000000">
      <w:r>
        <w:t>Examples:</w:t>
      </w:r>
    </w:p>
    <w:p w14:paraId="3A725772" w14:textId="77777777" w:rsidR="00865908" w:rsidRDefault="00000000">
      <w:r>
        <w:t>• פרנקפורט דמיין | resided in | new data</w:t>
      </w:r>
      <w:r>
        <w:br/>
        <w:t>• דוד בן בנימין | author | 700$a</w:t>
      </w:r>
      <w:r>
        <w:br/>
        <w:t>• פולין | production place | new data</w:t>
      </w:r>
    </w:p>
    <w:p w14:paraId="4F9179D8" w14:textId="77777777" w:rsidR="00865908" w:rsidRDefault="00865908"/>
    <w:p w14:paraId="1AFC2D9C" w14:textId="77777777" w:rsidR="00865908" w:rsidRDefault="00000000">
      <w:pPr>
        <w:pStyle w:val="Heading2"/>
      </w:pPr>
      <w:r>
        <w:t>Field Source Statistics (100 manuscripts)</w:t>
      </w:r>
    </w:p>
    <w:p w14:paraId="576E80DA" w14:textId="77777777" w:rsidR="00865908" w:rsidRDefault="00000000">
      <w:pPr>
        <w:pStyle w:val="Heading3"/>
      </w:pPr>
      <w:r>
        <w:t>📍 Locations</w:t>
      </w:r>
    </w:p>
    <w:tbl>
      <w:tblPr>
        <w:tblStyle w:val="LightGrid-Accent1"/>
        <w:tblW w:w="0" w:type="auto"/>
        <w:tblLook w:val="04A0" w:firstRow="1" w:lastRow="0" w:firstColumn="1" w:lastColumn="0" w:noHBand="0" w:noVBand="1"/>
      </w:tblPr>
      <w:tblGrid>
        <w:gridCol w:w="2160"/>
        <w:gridCol w:w="2160"/>
        <w:gridCol w:w="2160"/>
        <w:gridCol w:w="2160"/>
      </w:tblGrid>
      <w:tr w:rsidR="00865908" w14:paraId="1DA48587" w14:textId="77777777" w:rsidTr="00865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5521A77" w14:textId="77777777" w:rsidR="00865908" w:rsidRDefault="00000000">
            <w:r>
              <w:t>Mode</w:t>
            </w:r>
          </w:p>
        </w:tc>
        <w:tc>
          <w:tcPr>
            <w:tcW w:w="2160" w:type="dxa"/>
          </w:tcPr>
          <w:p w14:paraId="79CE16F3" w14:textId="77777777" w:rsidR="00865908" w:rsidRDefault="00000000">
            <w:pPr>
              <w:cnfStyle w:val="100000000000" w:firstRow="1" w:lastRow="0" w:firstColumn="0" w:lastColumn="0" w:oddVBand="0" w:evenVBand="0" w:oddHBand="0" w:evenHBand="0" w:firstRowFirstColumn="0" w:firstRowLastColumn="0" w:lastRowFirstColumn="0" w:lastRowLastColumn="0"/>
            </w:pPr>
            <w:r>
              <w:t>Total</w:t>
            </w:r>
          </w:p>
        </w:tc>
        <w:tc>
          <w:tcPr>
            <w:tcW w:w="2160" w:type="dxa"/>
          </w:tcPr>
          <w:p w14:paraId="725372AB" w14:textId="77777777" w:rsidR="00865908" w:rsidRDefault="00000000">
            <w:pPr>
              <w:cnfStyle w:val="100000000000" w:firstRow="1" w:lastRow="0" w:firstColumn="0" w:lastColumn="0" w:oddVBand="0" w:evenVBand="0" w:oddHBand="0" w:evenHBand="0" w:firstRowFirstColumn="0" w:firstRowLastColumn="0" w:lastRowFirstColumn="0" w:lastRowLastColumn="0"/>
            </w:pPr>
            <w:r>
              <w:t>From MARC</w:t>
            </w:r>
          </w:p>
        </w:tc>
        <w:tc>
          <w:tcPr>
            <w:tcW w:w="2160" w:type="dxa"/>
          </w:tcPr>
          <w:p w14:paraId="0662F6D9" w14:textId="77777777" w:rsidR="00865908" w:rsidRDefault="00000000">
            <w:pPr>
              <w:cnfStyle w:val="100000000000" w:firstRow="1" w:lastRow="0" w:firstColumn="0" w:lastColumn="0" w:oddVBand="0" w:evenVBand="0" w:oddHBand="0" w:evenHBand="0" w:firstRowFirstColumn="0" w:firstRowLastColumn="0" w:lastRowFirstColumn="0" w:lastRowLastColumn="0"/>
            </w:pPr>
            <w:r>
              <w:t>New Data</w:t>
            </w:r>
          </w:p>
        </w:tc>
      </w:tr>
      <w:tr w:rsidR="00865908" w14:paraId="0C54951A" w14:textId="77777777" w:rsidTr="00865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BA34357" w14:textId="77777777" w:rsidR="00865908" w:rsidRDefault="00000000">
            <w:r>
              <w:t>Normal</w:t>
            </w:r>
          </w:p>
        </w:tc>
        <w:tc>
          <w:tcPr>
            <w:tcW w:w="2160" w:type="dxa"/>
          </w:tcPr>
          <w:p w14:paraId="515B3C64" w14:textId="77777777" w:rsidR="00865908" w:rsidRDefault="00000000">
            <w:pPr>
              <w:cnfStyle w:val="000000100000" w:firstRow="0" w:lastRow="0" w:firstColumn="0" w:lastColumn="0" w:oddVBand="0" w:evenVBand="0" w:oddHBand="1" w:evenHBand="0" w:firstRowFirstColumn="0" w:firstRowLastColumn="0" w:lastRowFirstColumn="0" w:lastRowLastColumn="0"/>
            </w:pPr>
            <w:r>
              <w:t>76</w:t>
            </w:r>
          </w:p>
        </w:tc>
        <w:tc>
          <w:tcPr>
            <w:tcW w:w="2160" w:type="dxa"/>
          </w:tcPr>
          <w:p w14:paraId="3428B5B9" w14:textId="77777777" w:rsidR="00865908" w:rsidRDefault="00000000">
            <w:pPr>
              <w:cnfStyle w:val="000000100000" w:firstRow="0" w:lastRow="0" w:firstColumn="0" w:lastColumn="0" w:oddVBand="0" w:evenVBand="0" w:oddHBand="1" w:evenHBand="0" w:firstRowFirstColumn="0" w:firstRowLastColumn="0" w:lastRowFirstColumn="0" w:lastRowLastColumn="0"/>
            </w:pPr>
            <w:r>
              <w:t>0 (0.0%)</w:t>
            </w:r>
          </w:p>
        </w:tc>
        <w:tc>
          <w:tcPr>
            <w:tcW w:w="2160" w:type="dxa"/>
          </w:tcPr>
          <w:p w14:paraId="18D05B8B" w14:textId="77777777" w:rsidR="00865908" w:rsidRDefault="00000000">
            <w:pPr>
              <w:cnfStyle w:val="000000100000" w:firstRow="0" w:lastRow="0" w:firstColumn="0" w:lastColumn="0" w:oddVBand="0" w:evenVBand="0" w:oddHBand="1" w:evenHBand="0" w:firstRowFirstColumn="0" w:firstRowLastColumn="0" w:lastRowFirstColumn="0" w:lastRowLastColumn="0"/>
            </w:pPr>
            <w:r>
              <w:t>76 (100.0%)</w:t>
            </w:r>
          </w:p>
        </w:tc>
      </w:tr>
      <w:tr w:rsidR="00865908" w14:paraId="2ACC0CDD" w14:textId="77777777" w:rsidTr="008659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3E8C35D" w14:textId="77777777" w:rsidR="00865908" w:rsidRDefault="00000000">
            <w:r>
              <w:t>Kima</w:t>
            </w:r>
          </w:p>
        </w:tc>
        <w:tc>
          <w:tcPr>
            <w:tcW w:w="2160" w:type="dxa"/>
          </w:tcPr>
          <w:p w14:paraId="339B941D" w14:textId="77777777" w:rsidR="00865908" w:rsidRDefault="00000000">
            <w:pPr>
              <w:cnfStyle w:val="000000010000" w:firstRow="0" w:lastRow="0" w:firstColumn="0" w:lastColumn="0" w:oddVBand="0" w:evenVBand="0" w:oddHBand="0" w:evenHBand="1" w:firstRowFirstColumn="0" w:firstRowLastColumn="0" w:lastRowFirstColumn="0" w:lastRowLastColumn="0"/>
            </w:pPr>
            <w:r>
              <w:t>124</w:t>
            </w:r>
          </w:p>
        </w:tc>
        <w:tc>
          <w:tcPr>
            <w:tcW w:w="2160" w:type="dxa"/>
          </w:tcPr>
          <w:p w14:paraId="728DE164" w14:textId="77777777" w:rsidR="00865908" w:rsidRDefault="00000000">
            <w:pPr>
              <w:cnfStyle w:val="000000010000" w:firstRow="0" w:lastRow="0" w:firstColumn="0" w:lastColumn="0" w:oddVBand="0" w:evenVBand="0" w:oddHBand="0" w:evenHBand="1" w:firstRowFirstColumn="0" w:firstRowLastColumn="0" w:lastRowFirstColumn="0" w:lastRowLastColumn="0"/>
            </w:pPr>
            <w:r>
              <w:t>0 (0.0%)</w:t>
            </w:r>
          </w:p>
        </w:tc>
        <w:tc>
          <w:tcPr>
            <w:tcW w:w="2160" w:type="dxa"/>
          </w:tcPr>
          <w:p w14:paraId="480CB6C2" w14:textId="77777777" w:rsidR="00865908" w:rsidRDefault="00000000">
            <w:pPr>
              <w:cnfStyle w:val="000000010000" w:firstRow="0" w:lastRow="0" w:firstColumn="0" w:lastColumn="0" w:oddVBand="0" w:evenVBand="0" w:oddHBand="0" w:evenHBand="1" w:firstRowFirstColumn="0" w:firstRowLastColumn="0" w:lastRowFirstColumn="0" w:lastRowLastColumn="0"/>
            </w:pPr>
            <w:r>
              <w:t>124 (100.0%)</w:t>
            </w:r>
          </w:p>
        </w:tc>
      </w:tr>
      <w:tr w:rsidR="00865908" w14:paraId="73BE562A" w14:textId="77777777" w:rsidTr="00865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11652B3" w14:textId="77777777" w:rsidR="00865908" w:rsidRDefault="00000000">
            <w:r>
              <w:t>AI-Only</w:t>
            </w:r>
          </w:p>
        </w:tc>
        <w:tc>
          <w:tcPr>
            <w:tcW w:w="2160" w:type="dxa"/>
          </w:tcPr>
          <w:p w14:paraId="006F83C2" w14:textId="77777777" w:rsidR="00865908" w:rsidRDefault="00000000">
            <w:pPr>
              <w:cnfStyle w:val="000000100000" w:firstRow="0" w:lastRow="0" w:firstColumn="0" w:lastColumn="0" w:oddVBand="0" w:evenVBand="0" w:oddHBand="1" w:evenHBand="0" w:firstRowFirstColumn="0" w:firstRowLastColumn="0" w:lastRowFirstColumn="0" w:lastRowLastColumn="0"/>
            </w:pPr>
            <w:r>
              <w:t>144</w:t>
            </w:r>
          </w:p>
        </w:tc>
        <w:tc>
          <w:tcPr>
            <w:tcW w:w="2160" w:type="dxa"/>
          </w:tcPr>
          <w:p w14:paraId="511E5E27" w14:textId="77777777" w:rsidR="00865908" w:rsidRDefault="00000000">
            <w:pPr>
              <w:cnfStyle w:val="000000100000" w:firstRow="0" w:lastRow="0" w:firstColumn="0" w:lastColumn="0" w:oddVBand="0" w:evenVBand="0" w:oddHBand="1" w:evenHBand="0" w:firstRowFirstColumn="0" w:firstRowLastColumn="0" w:lastRowFirstColumn="0" w:lastRowLastColumn="0"/>
            </w:pPr>
            <w:r>
              <w:t>1 (0.7%)</w:t>
            </w:r>
          </w:p>
        </w:tc>
        <w:tc>
          <w:tcPr>
            <w:tcW w:w="2160" w:type="dxa"/>
          </w:tcPr>
          <w:p w14:paraId="150ECC3F" w14:textId="77777777" w:rsidR="00865908" w:rsidRDefault="00000000">
            <w:pPr>
              <w:cnfStyle w:val="000000100000" w:firstRow="0" w:lastRow="0" w:firstColumn="0" w:lastColumn="0" w:oddVBand="0" w:evenVBand="0" w:oddHBand="1" w:evenHBand="0" w:firstRowFirstColumn="0" w:firstRowLastColumn="0" w:lastRowFirstColumn="0" w:lastRowLastColumn="0"/>
            </w:pPr>
            <w:r>
              <w:t>143 (99.3%)</w:t>
            </w:r>
          </w:p>
        </w:tc>
      </w:tr>
    </w:tbl>
    <w:p w14:paraId="67FC7BD2" w14:textId="77777777" w:rsidR="00865908" w:rsidRDefault="00865908"/>
    <w:p w14:paraId="5C271D26" w14:textId="77777777" w:rsidR="00865908" w:rsidRDefault="00000000">
      <w:pPr>
        <w:pStyle w:val="Heading3"/>
      </w:pPr>
      <w:r>
        <w:t>👤 Persons</w:t>
      </w:r>
    </w:p>
    <w:tbl>
      <w:tblPr>
        <w:tblStyle w:val="LightGrid-Accent1"/>
        <w:tblW w:w="0" w:type="auto"/>
        <w:tblLook w:val="04A0" w:firstRow="1" w:lastRow="0" w:firstColumn="1" w:lastColumn="0" w:noHBand="0" w:noVBand="1"/>
      </w:tblPr>
      <w:tblGrid>
        <w:gridCol w:w="2160"/>
        <w:gridCol w:w="2160"/>
        <w:gridCol w:w="2160"/>
        <w:gridCol w:w="2160"/>
      </w:tblGrid>
      <w:tr w:rsidR="00865908" w14:paraId="3D1FFB91" w14:textId="77777777" w:rsidTr="00865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396304A" w14:textId="77777777" w:rsidR="00865908" w:rsidRDefault="00000000">
            <w:r>
              <w:t>Mode</w:t>
            </w:r>
          </w:p>
        </w:tc>
        <w:tc>
          <w:tcPr>
            <w:tcW w:w="2160" w:type="dxa"/>
          </w:tcPr>
          <w:p w14:paraId="13C77FE5" w14:textId="77777777" w:rsidR="00865908" w:rsidRDefault="00000000">
            <w:pPr>
              <w:cnfStyle w:val="100000000000" w:firstRow="1" w:lastRow="0" w:firstColumn="0" w:lastColumn="0" w:oddVBand="0" w:evenVBand="0" w:oddHBand="0" w:evenHBand="0" w:firstRowFirstColumn="0" w:firstRowLastColumn="0" w:lastRowFirstColumn="0" w:lastRowLastColumn="0"/>
            </w:pPr>
            <w:r>
              <w:t>Total</w:t>
            </w:r>
          </w:p>
        </w:tc>
        <w:tc>
          <w:tcPr>
            <w:tcW w:w="2160" w:type="dxa"/>
          </w:tcPr>
          <w:p w14:paraId="67823514" w14:textId="77777777" w:rsidR="00865908" w:rsidRDefault="00000000">
            <w:pPr>
              <w:cnfStyle w:val="100000000000" w:firstRow="1" w:lastRow="0" w:firstColumn="0" w:lastColumn="0" w:oddVBand="0" w:evenVBand="0" w:oddHBand="0" w:evenHBand="0" w:firstRowFirstColumn="0" w:firstRowLastColumn="0" w:lastRowFirstColumn="0" w:lastRowLastColumn="0"/>
            </w:pPr>
            <w:r>
              <w:t>From MARC</w:t>
            </w:r>
          </w:p>
        </w:tc>
        <w:tc>
          <w:tcPr>
            <w:tcW w:w="2160" w:type="dxa"/>
          </w:tcPr>
          <w:p w14:paraId="093B25A6" w14:textId="77777777" w:rsidR="00865908" w:rsidRDefault="00000000">
            <w:pPr>
              <w:cnfStyle w:val="100000000000" w:firstRow="1" w:lastRow="0" w:firstColumn="0" w:lastColumn="0" w:oddVBand="0" w:evenVBand="0" w:oddHBand="0" w:evenHBand="0" w:firstRowFirstColumn="0" w:firstRowLastColumn="0" w:lastRowFirstColumn="0" w:lastRowLastColumn="0"/>
            </w:pPr>
            <w:r>
              <w:t>New Data</w:t>
            </w:r>
          </w:p>
        </w:tc>
      </w:tr>
      <w:tr w:rsidR="00865908" w14:paraId="3653FC8A" w14:textId="77777777" w:rsidTr="00865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F02AE3D" w14:textId="77777777" w:rsidR="00865908" w:rsidRDefault="00000000">
            <w:r>
              <w:t>Normal</w:t>
            </w:r>
          </w:p>
        </w:tc>
        <w:tc>
          <w:tcPr>
            <w:tcW w:w="2160" w:type="dxa"/>
          </w:tcPr>
          <w:p w14:paraId="74E3155A" w14:textId="77777777" w:rsidR="00865908" w:rsidRDefault="00000000">
            <w:pPr>
              <w:cnfStyle w:val="000000100000" w:firstRow="0" w:lastRow="0" w:firstColumn="0" w:lastColumn="0" w:oddVBand="0" w:evenVBand="0" w:oddHBand="1" w:evenHBand="0" w:firstRowFirstColumn="0" w:firstRowLastColumn="0" w:lastRowFirstColumn="0" w:lastRowLastColumn="0"/>
            </w:pPr>
            <w:r>
              <w:t>80</w:t>
            </w:r>
          </w:p>
        </w:tc>
        <w:tc>
          <w:tcPr>
            <w:tcW w:w="2160" w:type="dxa"/>
          </w:tcPr>
          <w:p w14:paraId="46B70A91" w14:textId="77777777" w:rsidR="00865908" w:rsidRDefault="00000000">
            <w:pPr>
              <w:cnfStyle w:val="000000100000" w:firstRow="0" w:lastRow="0" w:firstColumn="0" w:lastColumn="0" w:oddVBand="0" w:evenVBand="0" w:oddHBand="1" w:evenHBand="0" w:firstRowFirstColumn="0" w:firstRowLastColumn="0" w:lastRowFirstColumn="0" w:lastRowLastColumn="0"/>
            </w:pPr>
            <w:r>
              <w:t>59 (73.8%)</w:t>
            </w:r>
          </w:p>
        </w:tc>
        <w:tc>
          <w:tcPr>
            <w:tcW w:w="2160" w:type="dxa"/>
          </w:tcPr>
          <w:p w14:paraId="771D33AA" w14:textId="77777777" w:rsidR="00865908" w:rsidRDefault="00000000">
            <w:pPr>
              <w:cnfStyle w:val="000000100000" w:firstRow="0" w:lastRow="0" w:firstColumn="0" w:lastColumn="0" w:oddVBand="0" w:evenVBand="0" w:oddHBand="1" w:evenHBand="0" w:firstRowFirstColumn="0" w:firstRowLastColumn="0" w:lastRowFirstColumn="0" w:lastRowLastColumn="0"/>
            </w:pPr>
            <w:r>
              <w:t>21 (26.2%)</w:t>
            </w:r>
          </w:p>
        </w:tc>
      </w:tr>
      <w:tr w:rsidR="00865908" w14:paraId="47781544" w14:textId="77777777" w:rsidTr="008659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F0C16AB" w14:textId="77777777" w:rsidR="00865908" w:rsidRDefault="00000000">
            <w:r>
              <w:t>Kima</w:t>
            </w:r>
          </w:p>
        </w:tc>
        <w:tc>
          <w:tcPr>
            <w:tcW w:w="2160" w:type="dxa"/>
          </w:tcPr>
          <w:p w14:paraId="1DCE847A" w14:textId="77777777" w:rsidR="00865908" w:rsidRDefault="00000000">
            <w:pPr>
              <w:cnfStyle w:val="000000010000" w:firstRow="0" w:lastRow="0" w:firstColumn="0" w:lastColumn="0" w:oddVBand="0" w:evenVBand="0" w:oddHBand="0" w:evenHBand="1" w:firstRowFirstColumn="0" w:firstRowLastColumn="0" w:lastRowFirstColumn="0" w:lastRowLastColumn="0"/>
            </w:pPr>
            <w:r>
              <w:t>80</w:t>
            </w:r>
          </w:p>
        </w:tc>
        <w:tc>
          <w:tcPr>
            <w:tcW w:w="2160" w:type="dxa"/>
          </w:tcPr>
          <w:p w14:paraId="16BCF472" w14:textId="77777777" w:rsidR="00865908" w:rsidRDefault="00000000">
            <w:pPr>
              <w:cnfStyle w:val="000000010000" w:firstRow="0" w:lastRow="0" w:firstColumn="0" w:lastColumn="0" w:oddVBand="0" w:evenVBand="0" w:oddHBand="0" w:evenHBand="1" w:firstRowFirstColumn="0" w:firstRowLastColumn="0" w:lastRowFirstColumn="0" w:lastRowLastColumn="0"/>
            </w:pPr>
            <w:r>
              <w:t>59 (73.8%)</w:t>
            </w:r>
          </w:p>
        </w:tc>
        <w:tc>
          <w:tcPr>
            <w:tcW w:w="2160" w:type="dxa"/>
          </w:tcPr>
          <w:p w14:paraId="69FA6EC3" w14:textId="77777777" w:rsidR="00865908" w:rsidRDefault="00000000">
            <w:pPr>
              <w:cnfStyle w:val="000000010000" w:firstRow="0" w:lastRow="0" w:firstColumn="0" w:lastColumn="0" w:oddVBand="0" w:evenVBand="0" w:oddHBand="0" w:evenHBand="1" w:firstRowFirstColumn="0" w:firstRowLastColumn="0" w:lastRowFirstColumn="0" w:lastRowLastColumn="0"/>
            </w:pPr>
            <w:r>
              <w:t>21 (26.2%)</w:t>
            </w:r>
          </w:p>
        </w:tc>
      </w:tr>
      <w:tr w:rsidR="00865908" w14:paraId="453BAE73" w14:textId="77777777" w:rsidTr="00865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4D4B727" w14:textId="77777777" w:rsidR="00865908" w:rsidRDefault="00000000">
            <w:r>
              <w:t>AI-Only</w:t>
            </w:r>
          </w:p>
        </w:tc>
        <w:tc>
          <w:tcPr>
            <w:tcW w:w="2160" w:type="dxa"/>
          </w:tcPr>
          <w:p w14:paraId="4F83511F" w14:textId="77777777" w:rsidR="00865908" w:rsidRDefault="00000000">
            <w:pPr>
              <w:cnfStyle w:val="000000100000" w:firstRow="0" w:lastRow="0" w:firstColumn="0" w:lastColumn="0" w:oddVBand="0" w:evenVBand="0" w:oddHBand="1" w:evenHBand="0" w:firstRowFirstColumn="0" w:firstRowLastColumn="0" w:lastRowFirstColumn="0" w:lastRowLastColumn="0"/>
            </w:pPr>
            <w:r>
              <w:t>362</w:t>
            </w:r>
          </w:p>
        </w:tc>
        <w:tc>
          <w:tcPr>
            <w:tcW w:w="2160" w:type="dxa"/>
          </w:tcPr>
          <w:p w14:paraId="7BCBF90F" w14:textId="77777777" w:rsidR="00865908" w:rsidRDefault="00000000">
            <w:pPr>
              <w:cnfStyle w:val="000000100000" w:firstRow="0" w:lastRow="0" w:firstColumn="0" w:lastColumn="0" w:oddVBand="0" w:evenVBand="0" w:oddHBand="1" w:evenHBand="0" w:firstRowFirstColumn="0" w:firstRowLastColumn="0" w:lastRowFirstColumn="0" w:lastRowLastColumn="0"/>
            </w:pPr>
            <w:r>
              <w:t>291 (80.4%)</w:t>
            </w:r>
          </w:p>
        </w:tc>
        <w:tc>
          <w:tcPr>
            <w:tcW w:w="2160" w:type="dxa"/>
          </w:tcPr>
          <w:p w14:paraId="5B1EBCBE" w14:textId="77777777" w:rsidR="00865908" w:rsidRDefault="00000000">
            <w:pPr>
              <w:cnfStyle w:val="000000100000" w:firstRow="0" w:lastRow="0" w:firstColumn="0" w:lastColumn="0" w:oddVBand="0" w:evenVBand="0" w:oddHBand="1" w:evenHBand="0" w:firstRowFirstColumn="0" w:firstRowLastColumn="0" w:lastRowFirstColumn="0" w:lastRowLastColumn="0"/>
            </w:pPr>
            <w:r>
              <w:t>71 (19.6%)</w:t>
            </w:r>
          </w:p>
        </w:tc>
      </w:tr>
    </w:tbl>
    <w:p w14:paraId="1DA03B0F" w14:textId="77777777" w:rsidR="00865908" w:rsidRDefault="00865908"/>
    <w:p w14:paraId="27067AA7" w14:textId="77777777" w:rsidR="00865908" w:rsidRDefault="00000000">
      <w:pPr>
        <w:pStyle w:val="Heading3"/>
      </w:pPr>
      <w:r>
        <w:t>📅 Dates</w:t>
      </w:r>
    </w:p>
    <w:tbl>
      <w:tblPr>
        <w:tblStyle w:val="LightGrid-Accent1"/>
        <w:tblW w:w="0" w:type="auto"/>
        <w:tblLook w:val="04A0" w:firstRow="1" w:lastRow="0" w:firstColumn="1" w:lastColumn="0" w:noHBand="0" w:noVBand="1"/>
      </w:tblPr>
      <w:tblGrid>
        <w:gridCol w:w="2160"/>
        <w:gridCol w:w="2160"/>
        <w:gridCol w:w="2160"/>
        <w:gridCol w:w="2160"/>
      </w:tblGrid>
      <w:tr w:rsidR="00865908" w14:paraId="3E16E88A" w14:textId="77777777" w:rsidTr="00865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E9C2818" w14:textId="77777777" w:rsidR="00865908" w:rsidRDefault="00000000">
            <w:r>
              <w:t>Mode</w:t>
            </w:r>
          </w:p>
        </w:tc>
        <w:tc>
          <w:tcPr>
            <w:tcW w:w="2160" w:type="dxa"/>
          </w:tcPr>
          <w:p w14:paraId="07BAE8E1" w14:textId="77777777" w:rsidR="00865908" w:rsidRDefault="00000000">
            <w:pPr>
              <w:cnfStyle w:val="100000000000" w:firstRow="1" w:lastRow="0" w:firstColumn="0" w:lastColumn="0" w:oddVBand="0" w:evenVBand="0" w:oddHBand="0" w:evenHBand="0" w:firstRowFirstColumn="0" w:firstRowLastColumn="0" w:lastRowFirstColumn="0" w:lastRowLastColumn="0"/>
            </w:pPr>
            <w:r>
              <w:t>Total</w:t>
            </w:r>
          </w:p>
        </w:tc>
        <w:tc>
          <w:tcPr>
            <w:tcW w:w="2160" w:type="dxa"/>
          </w:tcPr>
          <w:p w14:paraId="2884B025" w14:textId="77777777" w:rsidR="00865908" w:rsidRDefault="00000000">
            <w:pPr>
              <w:cnfStyle w:val="100000000000" w:firstRow="1" w:lastRow="0" w:firstColumn="0" w:lastColumn="0" w:oddVBand="0" w:evenVBand="0" w:oddHBand="0" w:evenHBand="0" w:firstRowFirstColumn="0" w:firstRowLastColumn="0" w:lastRowFirstColumn="0" w:lastRowLastColumn="0"/>
            </w:pPr>
            <w:r>
              <w:t>From MARC</w:t>
            </w:r>
          </w:p>
        </w:tc>
        <w:tc>
          <w:tcPr>
            <w:tcW w:w="2160" w:type="dxa"/>
          </w:tcPr>
          <w:p w14:paraId="05663BF5" w14:textId="77777777" w:rsidR="00865908" w:rsidRDefault="00000000">
            <w:pPr>
              <w:cnfStyle w:val="100000000000" w:firstRow="1" w:lastRow="0" w:firstColumn="0" w:lastColumn="0" w:oddVBand="0" w:evenVBand="0" w:oddHBand="0" w:evenHBand="0" w:firstRowFirstColumn="0" w:firstRowLastColumn="0" w:lastRowFirstColumn="0" w:lastRowLastColumn="0"/>
            </w:pPr>
            <w:r>
              <w:t>New Data</w:t>
            </w:r>
          </w:p>
        </w:tc>
      </w:tr>
      <w:tr w:rsidR="00865908" w14:paraId="051E2814" w14:textId="77777777" w:rsidTr="00865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FE3DB5D" w14:textId="77777777" w:rsidR="00865908" w:rsidRDefault="00000000">
            <w:r>
              <w:t>Normal</w:t>
            </w:r>
          </w:p>
        </w:tc>
        <w:tc>
          <w:tcPr>
            <w:tcW w:w="2160" w:type="dxa"/>
          </w:tcPr>
          <w:p w14:paraId="33634179" w14:textId="77777777" w:rsidR="00865908" w:rsidRDefault="00000000">
            <w:pPr>
              <w:cnfStyle w:val="000000100000" w:firstRow="0" w:lastRow="0" w:firstColumn="0" w:lastColumn="0" w:oddVBand="0" w:evenVBand="0" w:oddHBand="1" w:evenHBand="0" w:firstRowFirstColumn="0" w:firstRowLastColumn="0" w:lastRowFirstColumn="0" w:lastRowLastColumn="0"/>
            </w:pPr>
            <w:r>
              <w:t>29</w:t>
            </w:r>
          </w:p>
        </w:tc>
        <w:tc>
          <w:tcPr>
            <w:tcW w:w="2160" w:type="dxa"/>
          </w:tcPr>
          <w:p w14:paraId="01D38BC3" w14:textId="77777777" w:rsidR="00865908" w:rsidRDefault="00000000">
            <w:pPr>
              <w:cnfStyle w:val="000000100000" w:firstRow="0" w:lastRow="0" w:firstColumn="0" w:lastColumn="0" w:oddVBand="0" w:evenVBand="0" w:oddHBand="1" w:evenHBand="0" w:firstRowFirstColumn="0" w:firstRowLastColumn="0" w:lastRowFirstColumn="0" w:lastRowLastColumn="0"/>
            </w:pPr>
            <w:r>
              <w:t>12 (41.4%)</w:t>
            </w:r>
          </w:p>
        </w:tc>
        <w:tc>
          <w:tcPr>
            <w:tcW w:w="2160" w:type="dxa"/>
          </w:tcPr>
          <w:p w14:paraId="2BA57249" w14:textId="77777777" w:rsidR="00865908" w:rsidRDefault="00000000">
            <w:pPr>
              <w:cnfStyle w:val="000000100000" w:firstRow="0" w:lastRow="0" w:firstColumn="0" w:lastColumn="0" w:oddVBand="0" w:evenVBand="0" w:oddHBand="1" w:evenHBand="0" w:firstRowFirstColumn="0" w:firstRowLastColumn="0" w:lastRowFirstColumn="0" w:lastRowLastColumn="0"/>
            </w:pPr>
            <w:r>
              <w:t>17 (58.6%)</w:t>
            </w:r>
          </w:p>
        </w:tc>
      </w:tr>
      <w:tr w:rsidR="00865908" w14:paraId="4CAD67CD" w14:textId="77777777" w:rsidTr="008659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0F42B4E" w14:textId="77777777" w:rsidR="00865908" w:rsidRDefault="00000000">
            <w:r>
              <w:t>Kima</w:t>
            </w:r>
          </w:p>
        </w:tc>
        <w:tc>
          <w:tcPr>
            <w:tcW w:w="2160" w:type="dxa"/>
          </w:tcPr>
          <w:p w14:paraId="622E3756" w14:textId="77777777" w:rsidR="00865908" w:rsidRDefault="00000000">
            <w:pPr>
              <w:cnfStyle w:val="000000010000" w:firstRow="0" w:lastRow="0" w:firstColumn="0" w:lastColumn="0" w:oddVBand="0" w:evenVBand="0" w:oddHBand="0" w:evenHBand="1" w:firstRowFirstColumn="0" w:firstRowLastColumn="0" w:lastRowFirstColumn="0" w:lastRowLastColumn="0"/>
            </w:pPr>
            <w:r>
              <w:t>29</w:t>
            </w:r>
          </w:p>
        </w:tc>
        <w:tc>
          <w:tcPr>
            <w:tcW w:w="2160" w:type="dxa"/>
          </w:tcPr>
          <w:p w14:paraId="220DBC94" w14:textId="77777777" w:rsidR="00865908" w:rsidRDefault="00000000">
            <w:pPr>
              <w:cnfStyle w:val="000000010000" w:firstRow="0" w:lastRow="0" w:firstColumn="0" w:lastColumn="0" w:oddVBand="0" w:evenVBand="0" w:oddHBand="0" w:evenHBand="1" w:firstRowFirstColumn="0" w:firstRowLastColumn="0" w:lastRowFirstColumn="0" w:lastRowLastColumn="0"/>
            </w:pPr>
            <w:r>
              <w:t>12 (41.4%)</w:t>
            </w:r>
          </w:p>
        </w:tc>
        <w:tc>
          <w:tcPr>
            <w:tcW w:w="2160" w:type="dxa"/>
          </w:tcPr>
          <w:p w14:paraId="0408478C" w14:textId="77777777" w:rsidR="00865908" w:rsidRDefault="00000000">
            <w:pPr>
              <w:cnfStyle w:val="000000010000" w:firstRow="0" w:lastRow="0" w:firstColumn="0" w:lastColumn="0" w:oddVBand="0" w:evenVBand="0" w:oddHBand="0" w:evenHBand="1" w:firstRowFirstColumn="0" w:firstRowLastColumn="0" w:lastRowFirstColumn="0" w:lastRowLastColumn="0"/>
            </w:pPr>
            <w:r>
              <w:t>17 (58.6%)</w:t>
            </w:r>
          </w:p>
        </w:tc>
      </w:tr>
      <w:tr w:rsidR="00865908" w14:paraId="600B4983" w14:textId="77777777" w:rsidTr="00865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374082D" w14:textId="77777777" w:rsidR="00865908" w:rsidRDefault="00000000">
            <w:r>
              <w:t>AI-Only</w:t>
            </w:r>
          </w:p>
        </w:tc>
        <w:tc>
          <w:tcPr>
            <w:tcW w:w="2160" w:type="dxa"/>
          </w:tcPr>
          <w:p w14:paraId="056A84FC" w14:textId="77777777" w:rsidR="00865908" w:rsidRDefault="00000000">
            <w:pPr>
              <w:cnfStyle w:val="000000100000" w:firstRow="0" w:lastRow="0" w:firstColumn="0" w:lastColumn="0" w:oddVBand="0" w:evenVBand="0" w:oddHBand="1" w:evenHBand="0" w:firstRowFirstColumn="0" w:firstRowLastColumn="0" w:lastRowFirstColumn="0" w:lastRowLastColumn="0"/>
            </w:pPr>
            <w:r>
              <w:t>152</w:t>
            </w:r>
          </w:p>
        </w:tc>
        <w:tc>
          <w:tcPr>
            <w:tcW w:w="2160" w:type="dxa"/>
          </w:tcPr>
          <w:p w14:paraId="627C7AD5" w14:textId="77777777" w:rsidR="00865908" w:rsidRDefault="00000000">
            <w:pPr>
              <w:cnfStyle w:val="000000100000" w:firstRow="0" w:lastRow="0" w:firstColumn="0" w:lastColumn="0" w:oddVBand="0" w:evenVBand="0" w:oddHBand="1" w:evenHBand="0" w:firstRowFirstColumn="0" w:firstRowLastColumn="0" w:lastRowFirstColumn="0" w:lastRowLastColumn="0"/>
            </w:pPr>
            <w:r>
              <w:t>14 (9.2%)</w:t>
            </w:r>
          </w:p>
        </w:tc>
        <w:tc>
          <w:tcPr>
            <w:tcW w:w="2160" w:type="dxa"/>
          </w:tcPr>
          <w:p w14:paraId="5C811B90" w14:textId="77777777" w:rsidR="00865908" w:rsidRDefault="00000000">
            <w:pPr>
              <w:cnfStyle w:val="000000100000" w:firstRow="0" w:lastRow="0" w:firstColumn="0" w:lastColumn="0" w:oddVBand="0" w:evenVBand="0" w:oddHBand="1" w:evenHBand="0" w:firstRowFirstColumn="0" w:firstRowLastColumn="0" w:lastRowFirstColumn="0" w:lastRowLastColumn="0"/>
            </w:pPr>
            <w:r>
              <w:t>138 (90.8%)</w:t>
            </w:r>
          </w:p>
        </w:tc>
      </w:tr>
    </w:tbl>
    <w:p w14:paraId="2C101D81" w14:textId="77777777" w:rsidR="00865908" w:rsidRDefault="00865908"/>
    <w:p w14:paraId="01489B75" w14:textId="77777777" w:rsidR="00865908" w:rsidRDefault="00000000">
      <w:pPr>
        <w:pStyle w:val="Heading2"/>
      </w:pPr>
      <w:r>
        <w:lastRenderedPageBreak/>
        <w:t>Key Insights</w:t>
      </w:r>
    </w:p>
    <w:p w14:paraId="598096D1" w14:textId="77777777" w:rsidR="00865908" w:rsidRDefault="00000000">
      <w:r>
        <w:rPr>
          <w:b/>
        </w:rPr>
        <w:t>✓ Locations are almost entirely "new data" (99%+)</w:t>
      </w:r>
      <w:r>
        <w:br/>
        <w:t xml:space="preserve">  The extraction pipeline discovers location information not present in structured MARC fields, demonstrating the value of mining unstructured note fields.</w:t>
      </w:r>
    </w:p>
    <w:p w14:paraId="3526BC6D" w14:textId="77777777" w:rsidR="00865908" w:rsidRDefault="00000000">
      <w:r>
        <w:rPr>
          <w:b/>
        </w:rPr>
        <w:t>✓ Persons are mostly from structured MARC fields (70-80%)</w:t>
      </w:r>
      <w:r>
        <w:br/>
        <w:t xml:space="preserve">  MARC fields 700$a and 100$a properly capture person data, indicating good cataloging practices for personal names.</w:t>
      </w:r>
    </w:p>
    <w:p w14:paraId="2A176123" w14:textId="77777777" w:rsidR="00865908" w:rsidRDefault="00000000">
      <w:r>
        <w:rPr>
          <w:b/>
        </w:rPr>
        <w:t>✓ Dates vary by extraction mode</w:t>
      </w:r>
      <w:r>
        <w:br/>
        <w:t xml:space="preserve">  Normal/Kima modes extract 41% from MARC fields and 59% new data, while AI-Only mode extracts 91% new data by identifying more temporal expressions in notes.</w:t>
      </w:r>
    </w:p>
    <w:p w14:paraId="5DF656C0" w14:textId="77777777" w:rsidR="00865908" w:rsidRDefault="00000000">
      <w:r>
        <w:rPr>
          <w:b/>
        </w:rPr>
        <w:t>✓ AI-Only mode extracts significantly more entities</w:t>
      </w:r>
      <w:r>
        <w:br/>
        <w:t xml:space="preserve">  Compared to regex-based modes, AI-Only extracts 5.2× more dates (152 vs 29), 1.9× more locations (144 vs 76), and 4.5× more persons (362 vs 80), demonstrating superior recall at the cost of API calls.</w:t>
      </w:r>
    </w:p>
    <w:p w14:paraId="4E6AF830" w14:textId="77777777" w:rsidR="00865908" w:rsidRDefault="00865908"/>
    <w:p w14:paraId="78C02D9D" w14:textId="77777777" w:rsidR="00865908" w:rsidRDefault="00000000">
      <w:pPr>
        <w:pStyle w:val="Heading2"/>
      </w:pPr>
      <w:r>
        <w:t>Extraction Mode Comparison</w:t>
      </w:r>
    </w:p>
    <w:p w14:paraId="7FA2DA9D" w14:textId="77777777" w:rsidR="00865908" w:rsidRDefault="00000000">
      <w:r>
        <w:rPr>
          <w:b/>
        </w:rPr>
        <w:t xml:space="preserve">Normal Mode: </w:t>
      </w:r>
      <w:r>
        <w:t>Uses legacy gazetteer (21,766 locations) with regex pattern matching and AI classification fallback. Efficient and cost-effective for standard extraction tasks.</w:t>
      </w:r>
    </w:p>
    <w:p w14:paraId="25A9BF89" w14:textId="7972D5BA" w:rsidR="00865908" w:rsidRDefault="00000000">
      <w:r>
        <w:rPr>
          <w:b/>
        </w:rPr>
        <w:t>Kima Mode</w:t>
      </w:r>
      <w:r w:rsidR="00AF649E">
        <w:rPr>
          <w:b/>
        </w:rPr>
        <w:t xml:space="preserve">: </w:t>
      </w:r>
      <w:r>
        <w:t>Leverages comprehensive Kima/</w:t>
      </w:r>
      <w:proofErr w:type="spellStart"/>
      <w:r>
        <w:t>Maagarim</w:t>
      </w:r>
      <w:proofErr w:type="spellEnd"/>
      <w:r>
        <w:t xml:space="preserve"> gazetteer (48,128 places, 87,166 lookup entries) with context-aware heuristics achieving 83.9% event-based classifications. Best balance of coverage and accuracy.</w:t>
      </w:r>
    </w:p>
    <w:p w14:paraId="7C25A00A" w14:textId="77777777" w:rsidR="00865908" w:rsidRDefault="00000000">
      <w:r>
        <w:rPr>
          <w:b/>
        </w:rPr>
        <w:t xml:space="preserve">AI-Only Mode: </w:t>
      </w:r>
      <w:r>
        <w:t>Uses Grok API for end-to-end extraction and classification. Highest recall and most comprehensive extraction, but requires API calls and is slower. Best for research requiring maximum entity discovery.</w:t>
      </w:r>
    </w:p>
    <w:p w14:paraId="4A79A574" w14:textId="77777777" w:rsidR="00865908" w:rsidRDefault="00865908"/>
    <w:p w14:paraId="37CD3CB7" w14:textId="77777777" w:rsidR="00865908" w:rsidRDefault="00000000">
      <w:pPr>
        <w:pStyle w:val="Heading2"/>
      </w:pPr>
      <w:r>
        <w:t>MARC Field Categories</w:t>
      </w:r>
    </w:p>
    <w:p w14:paraId="579F0FB2" w14:textId="77777777" w:rsidR="00865908" w:rsidRDefault="00000000">
      <w:r>
        <w:t>Note Fields (where "new data" is discovered):</w:t>
      </w:r>
    </w:p>
    <w:p w14:paraId="0C2A09FE" w14:textId="77777777" w:rsidR="00865908" w:rsidRDefault="00000000">
      <w:pPr>
        <w:pStyle w:val="ListBullet"/>
      </w:pPr>
      <w:r>
        <w:t>957$a - Summary/abstract (Hebrew)</w:t>
      </w:r>
      <w:r>
        <w:br/>
        <w:t>500$a - General notes</w:t>
      </w:r>
      <w:r>
        <w:br/>
        <w:t>561$a - Provenance notes</w:t>
      </w:r>
    </w:p>
    <w:p w14:paraId="43CDFF15" w14:textId="77777777" w:rsidR="00865908" w:rsidRDefault="00000000">
      <w:r>
        <w:t>Structured Fields (existing cataloged data):</w:t>
      </w:r>
    </w:p>
    <w:p w14:paraId="27D0E0DA" w14:textId="51DDB5D3" w:rsidR="00865908" w:rsidRDefault="00000000" w:rsidP="00AF649E">
      <w:pPr>
        <w:rPr>
          <w:lang w:bidi="he-IL"/>
        </w:rPr>
      </w:pPr>
      <w:r>
        <w:rPr>
          <w:b/>
        </w:rPr>
        <w:t xml:space="preserve">Dates: </w:t>
      </w:r>
      <w:r>
        <w:t>046$a, 046$b, 046$d, 260$c, 264$c, 008</w:t>
      </w:r>
      <w:r>
        <w:br/>
      </w:r>
      <w:r>
        <w:rPr>
          <w:b/>
        </w:rPr>
        <w:t xml:space="preserve">Locations: </w:t>
      </w:r>
      <w:r>
        <w:t>651$a, 751$a, 260$a, 264$a, 034$a</w:t>
      </w:r>
      <w:r>
        <w:br/>
      </w:r>
      <w:r>
        <w:rPr>
          <w:b/>
        </w:rPr>
        <w:t xml:space="preserve">Persons: </w:t>
      </w:r>
      <w:r>
        <w:t>100$a, 600$a, 700$a, 710$a, 100$e, 700$</w:t>
      </w:r>
      <w:r w:rsidR="00AF649E">
        <w:rPr>
          <w:lang w:bidi="he-IL"/>
        </w:rPr>
        <w:t>e</w:t>
      </w:r>
    </w:p>
    <w:sectPr w:rsidR="008659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7291514">
    <w:abstractNumId w:val="8"/>
  </w:num>
  <w:num w:numId="2" w16cid:durableId="965549066">
    <w:abstractNumId w:val="6"/>
  </w:num>
  <w:num w:numId="3" w16cid:durableId="1109003944">
    <w:abstractNumId w:val="5"/>
  </w:num>
  <w:num w:numId="4" w16cid:durableId="404301433">
    <w:abstractNumId w:val="4"/>
  </w:num>
  <w:num w:numId="5" w16cid:durableId="1791586606">
    <w:abstractNumId w:val="7"/>
  </w:num>
  <w:num w:numId="6" w16cid:durableId="308637365">
    <w:abstractNumId w:val="3"/>
  </w:num>
  <w:num w:numId="7" w16cid:durableId="18704661">
    <w:abstractNumId w:val="2"/>
  </w:num>
  <w:num w:numId="8" w16cid:durableId="62876169">
    <w:abstractNumId w:val="1"/>
  </w:num>
  <w:num w:numId="9" w16cid:durableId="110394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229C"/>
    <w:rsid w:val="00865908"/>
    <w:rsid w:val="00AA1D8D"/>
    <w:rsid w:val="00AF649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F6D3E1"/>
  <w14:defaultImageDpi w14:val="300"/>
  <w15:docId w15:val="{D220B2C4-3822-0C45-BEA9-3BFEB8366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Alexander Golberg</cp:lastModifiedBy>
  <cp:revision>2</cp:revision>
  <dcterms:created xsi:type="dcterms:W3CDTF">2013-12-23T23:15:00Z</dcterms:created>
  <dcterms:modified xsi:type="dcterms:W3CDTF">2025-10-21T20:55:00Z</dcterms:modified>
  <cp:category/>
</cp:coreProperties>
</file>