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2250" w:right="800" w:bottom="16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before="0" w:after="0" w:lineRule="exact" w:line="20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embrete_fon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  <w:p>
    <w:pPr>
      <w:keepNext w:val="0"/>
      <w:pageBreakBefore w:val="0"/>
      <w:spacing w:before="330" w:after="0" w:lineRule="exact" w:line="184"/>
      <w:ind w:left="3485" w:right="2200"/>
      <w:jc w:val="left"/>
    </w:pPr>
    <w:r>
      <w:rPr>
        <w:rFonts w:ascii="Arial Narrow" w:hAnsi="Arial Narrow" w:cs="Arial Narrow" w:eastAsia="Arial Narrow"/>
        <w:b w:val="0"/>
        <w:color w:val="1F1F1F"/>
        <w:sz w:val="16"/>
      </w:rPr>
      <w:t>REPÚBLICA BOLIVARIANA DE VENEZUELA</w:t>
      <w:br/>
      <w:t>ESTADO BOLIVARIANO DE MIRANDA</w:t>
      <w:br/>
      <w:t>ALCALDÍA DEL MUNICIPIO BOLIVARIANO DE BRIÓN</w:t>
      <w:br/>
      <w:t>SECRETARÍA PARA LA TRANSFORMACIÓN DE LAS</w:t>
      <w:br/>
      <w:t>CIUDADES HUMANAS Y SERVICIOS</w:t>
      <w:br/>
      <w:t>DIRECCIÓN DE INGENIERÍA MUNICIPAL</w:t>
      <w:br/>
      <w:t>DIRECCIÓN DE HÁBITAT Y VIVIENDA · RIF G-20002924-2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  <w:lang w:val="es-VE" w:eastAsia="es-V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rápida de daños post-sísmico (Semáforo)</dc:title>
  <dc:subject/>
  <dc:creator>Alcaldía de Brión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