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Relational database design is a cornerstone of modern software engineering. A well-designed database ensures data integrity, reduces redundancy, and supports efficient querying at scale. This essay explores the fundamental concepts of relational database theory, with particular attention to normalization, primary key selection, and the use of foreign key constraints to enforce referential integrity across tables. Understanding these principles is essential for any software practitioner who works with persistent data storage (Codd, 1970).</w:t>
      </w:r>
    </w:p>
    <w:p>
      <w:r>
        <w:t>The relational model was first proposed by Edgar F. Codd in 1970 and has since become the dominant paradigm for structured data management. At its core, the model organizes data into tables (relations), each governed by a schema that specifies columns (attributes) and their types. Every row (tuple) in a table represents a single entity instance. The design of these tables—choosing the right primary key, establishing foreign key relationships, and deciding the level of normalization—has lasting effects on the maintainability and performance of the database [1].</w:t>
      </w:r>
    </w:p>
    <w:p>
      <w:pPr>
        <w:pStyle w:val="Heading2"/>
      </w:pPr>
      <w:r>
        <w:t>Normalization and Key Design</w:t>
      </w:r>
    </w:p>
    <w:p>
      <w:r>
        <w:t>Normalization is the process of organizing a database schema to minimize redundancy and dependency anomalies. The normal forms—First (1NF), Second (2NF), Third (3NF), and Boyce–Codd Normal Form (BCNF)—each impose progressively stricter rules on how data is structured. A table in 1NF must have atomic column values and a unique primary key. Achieving 2NF additionally requires that every non-key attribute be fully functionally dependent on the entire primary key, eliminating partial dependencies. Third Normal Form extends this by removing transitive dependencies, ensuring that non-key attributes depend only on the primary key and not on other non-key attributes (Codd, 1970).</w:t>
      </w:r>
    </w:p>
    <w:p>
      <w:r>
        <w:t>Choosing an appropriate primary key is critical. A natural key—such as a national ID number or email address—may seem convenient, but surrogate keys (auto-incremented integers or UUIDs) are often preferred because they remain stable when business information changes. A poorly chosen primary key can propagate through foreign key references across many tables, making schema migrations painful and error-prone.</w:t>
      </w:r>
    </w:p>
    <w:p>
      <w:r>
        <w:t>Foreign key constraints enforce referential integrity: a foreign key in one table must always reference a valid primary key in the parent table. Without these constraints, orphaned rows can accumulate silently, corrupting queries that rely on joins. Modern relational database management systems support cascade actions (CASCADE DELETE, SET NULL, RESTRICT) that automatically propagate changes from a parent row to dependent child rows, simplifying maintenance while preserving integrity.</w:t>
      </w:r>
    </w:p>
    <w:p>
      <w:pPr>
        <w:pStyle w:val="Heading2"/>
      </w:pPr>
      <w:r>
        <w:t>Practical Considerations</w:t>
      </w:r>
    </w:p>
    <w:p>
      <w:r>
        <w:t>While normalization reduces redundancy, highly normalized schemas can impose a performance cost because complex queries must join many tables. In practice, database architects often denormalize selectively—duplicating a column in a frequently queried table to avoid an expensive join—while maintaining the normalized 'master' table as the authoritative source of truth. This trade-off between write consistency and read performance is a recurring theme in database design discussions (Date, 2003).</w:t>
      </w:r>
    </w:p>
    <w:p>
      <w:r>
        <w:t>Indexes complement key design by accelerating lookups on frequently queried columns. A primary key index is created automatically by most database engines, but foreign key columns and other high-cardinality columns often benefit from additional indexes. However, indexes consume storage and slow down write operations, so index selection requires careful profiling of actual query patterns.</w:t>
      </w:r>
    </w:p>
    <w:p>
      <w:pPr>
        <w:pStyle w:val="Heading1"/>
      </w:pPr>
      <w:r>
        <w:t>Reflection</w:t>
      </w:r>
    </w:p>
    <w:p>
      <w:r>
        <w:t>Studying relational database design has fundamentally changed how I approach software architecture. Early in my education I treated the database as an afterthought—a place to dump application state—rather than as a carefully modeled representation of the problem domain. Encountering normalization theory forced me to think rigorously about the relationships between entities and about which facts belong together in the same table.</w:t>
      </w:r>
    </w:p>
    <w:p>
      <w:r>
        <w:t>The concept of a primary key as a stable, unique identifier for every row seems obvious in retrospect, yet I have encountered production databases where composite natural keys were used inconsistently, leading to subtle duplicates and broken foreign key references. These experiences reinforced why formal study of database design is worthwhile: the abstractions are not merely academic; they encode hard-won engineering wisdom about avoiding data corruption at scale.</w:t>
      </w:r>
    </w:p>
    <w:p>
      <w:r>
        <w:t>Going forward, I intend to apply normalization principles from the beginning of every project, revisiting them during code review to catch design drift. I also plan to invest more time in understanding query execution plans so that I can make informed decisions about when selective denormalization is justified. A database that is correct but unusably slow serves no one, and the balance between theoretical purity and practical performance is where real engineering judgment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