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000000" w:rsidRDefault="000A5706">
      <w:pPr>
        <w:pStyle w:val="right"/>
        <w:rPr>
          <w:sz w:val="14"/>
          <w:szCs w:val="14"/>
        </w:rPr>
      </w:pPr>
      <w:r>
        <w:rPr>
          <w:sz w:val="14"/>
          <w:szCs w:val="14"/>
        </w:rPr>
        <w:t>Приложение №III</w:t>
      </w:r>
    </w:p>
    <w:p w:rsidR="00000000" w:rsidRDefault="000A5706">
      <w:pPr>
        <w:pStyle w:val="1"/>
        <w:rPr>
          <w:rFonts w:eastAsia="Times New Roman"/>
        </w:rPr>
      </w:pPr>
      <w:r>
        <w:rPr>
          <w:rFonts w:eastAsia="Times New Roman"/>
        </w:rPr>
        <w:t>Критерии допуска участников "Техническое перевооружение системы АСУТП на объектах ПАО "Татнефть"."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961"/>
        <w:gridCol w:w="1861"/>
        <w:gridCol w:w="4177"/>
        <w:gridCol w:w="3758"/>
      </w:tblGrid>
      <w:tr w:rsidR="00000000">
        <w:trPr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000000" w:rsidRDefault="000A5706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№ п/п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000000" w:rsidRDefault="000A5706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Наименование критерия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000000" w:rsidRDefault="000A5706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Значение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000000" w:rsidRDefault="000A5706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Подтверждающий документ</w:t>
            </w:r>
            <w:r>
              <w:rPr>
                <w:b/>
                <w:bCs/>
              </w:rPr>
              <w:t xml:space="preserve"> 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Свидетельство, лицензии и т.п. (или иной разрешающий документ)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B49F1" w:rsidRDefault="000A5706">
            <w:r>
              <w:t xml:space="preserve">1. Членство в саморегулируемой организации (СРО) в области архитектурно-строительного проектирования/ изыскательские работы (если отсутствует у генподрядчика предоставить СРО субподрядчика). </w:t>
            </w:r>
          </w:p>
          <w:p w:rsidR="002B49F1" w:rsidRDefault="000A5706">
            <w:r>
              <w:t>2. Наличие права производства работ на объектах капитального стро</w:t>
            </w:r>
            <w:r>
              <w:t xml:space="preserve">ительства (Включая особо опасные, технически сложные и уникальные объекты (кроме объектов использования атомной энергии). Если отсутствует у генподрядчика предоставить СРО субподрядчика. </w:t>
            </w:r>
          </w:p>
          <w:p w:rsidR="00000000" w:rsidRDefault="000A5706">
            <w:r>
              <w:t>3. Подтверждение, что компания является производителем ПАК или систем</w:t>
            </w:r>
            <w:r>
              <w:t>ным интеграторам, с официальным подтверждением от производителя ПАК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Свидетельство, лицензии и т.п. (указывается номер, дата выдачи, скан-копия прикладывается отдельно к тендерной документации)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Квалифицированные кадры инженерно-технических специальносте</w:t>
            </w:r>
            <w:r>
              <w:t>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Не менее 14 чел. (опыт работы по образованию не менее 3-х лет) в т.ч.: 1. Главный инженер проекта – не менее 1 чел. (возможен субподряд); 2. Специалист по проектированию автоматизированных систем диспетчерского, технологического, ситуационного управления</w:t>
            </w:r>
            <w:r>
              <w:t xml:space="preserve"> - не менее 2-х чел. (возможен субподряд); 3. Специалист по техническому аудиту автоматизированных систем диспетчерского, технологического, ситуационного управления - не менее 1 человека; 4. Программист/разработчик систем АСУТП или специалистов аналогичной</w:t>
            </w:r>
            <w:r>
              <w:t xml:space="preserve"> должности с опытом доработки или разработки автоматизированных систем диспетчерского, технологического, ситуационного управления – не менее 2-х чел.; 5. Специалист в области инженерных изысканий и архитектурно-строительного проектирования. - не менее 1 че</w:t>
            </w:r>
            <w:r>
              <w:t>л.; 6. Наличие участка для сборки шкафной продукции - не менее 4-х чел.; 7. Наличие участка для производства строительно-монтажных работ с численностью - не менее 10 чел. Для участия в тендере по пунктам 6 и 7 достаточно наличия не менее 50% требуемого кол</w:t>
            </w:r>
            <w:r>
              <w:t>ичества рабочего персонала. В данном случае необходимо приложить гарантийное письмо о полном соответствии данному критерию к началу выполнения работ.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Справка по форме (приложение 3.1) за подписью руководителя организации. По запросу Заказчика предоставляют</w:t>
            </w:r>
            <w:r>
              <w:t>ся скан-копии подтверждающих документов (штатное расписание, документы об образовании, свидетельства, удостоверения, справка по форме КНД 1151162 за последний отчетный период (при отсутствии справки кол-во персонала принимается по данным системы контур. Фо</w:t>
            </w:r>
            <w:r>
              <w:t>кус))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Наличие службы охраны труда (ОТ)/ответственного специалиста по ОТ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В случае, если численность работников предприятия превышает 50 чел. необходимо подтверждение о наличии службы ОТ или специалиста по ОТ. В случае, если численность работников предприятия не превышает 50 чел. достаточно приказа о возложении обязанностей по О</w:t>
            </w:r>
            <w:r>
              <w:t>Т на ответственного специалиста.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Штатное расписание предприятия/приказ о возложении обязанностей на ответственное лицо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 xml:space="preserve">Наличие службы технической поддержки 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Претендент должен иметь в структуре предприятия сервисную службу и службу технической поддержки</w:t>
            </w:r>
            <w:r>
              <w:t>, для оказания услуг по предмету договора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Штатное расписание предприятия/приказ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Наличие опыта выполнения аналогичных работ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Регистрация компании не менее 2 лет и наличие 1-6 договоров на аналогичные работы с актированием выполненных работ на общую сумму</w:t>
            </w:r>
            <w:r>
              <w:t xml:space="preserve"> не менее 50% от суммы предложения по лоту за последние 3 года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Справка по форме (приложение 3.3) за подписью руководителя организации. По запросу Заказчика предоставляются скан-копии договоров подряда, акты выполненных работ (КС-2 и т.п.)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Предоставлени</w:t>
            </w:r>
            <w:r>
              <w:t>е банковской гарантии или обеспечительного платежа на исполнение гарантийных обязательств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Готовность к предоставлению обеспечения при сумме контракта свыше 120 млн. руб. с НДС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Гарантийное письмо (на бланке организации) о том, что компания готова в случае п</w:t>
            </w:r>
            <w:r>
              <w:t>обеды в данной закупочной процедуре к оформлению банковской гарантии на исполнение гарантийных обязательств, либо предоставлению отложенного платежа (в размере 3% от суммы оказанных услуг)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График производства работ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B49F1" w:rsidRDefault="000A5706">
            <w:r>
              <w:t>1. Согласие с условиями договора и го</w:t>
            </w:r>
            <w:r>
              <w:t xml:space="preserve">товность выполнить указанный в ТЗ объем работ в полном объеме. </w:t>
            </w:r>
          </w:p>
          <w:p w:rsidR="00000000" w:rsidRDefault="000A5706">
            <w:r>
              <w:t>2. Подтверждение готовности выполнить работы в соответствии с графиком производства работ.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B49F1" w:rsidRDefault="000A5706">
            <w:r>
              <w:t xml:space="preserve">1. Письмо на бланке предприятия о согласии с условиями договора. </w:t>
            </w:r>
          </w:p>
          <w:p w:rsidR="002B49F1" w:rsidRDefault="000A5706">
            <w:r>
              <w:t>2. Гарантийное письмо о готовности вы</w:t>
            </w:r>
            <w:r>
              <w:t xml:space="preserve">полнить объем работ согласно ТЗ. </w:t>
            </w:r>
          </w:p>
          <w:p w:rsidR="002B49F1" w:rsidRDefault="000A5706">
            <w:r>
              <w:t xml:space="preserve">3. Гарантийное письмо, что предлагаемая система имеет высокую степень готовности программно-технического комплекса к внедрению, не требующих доработки. </w:t>
            </w:r>
          </w:p>
          <w:p w:rsidR="00000000" w:rsidRDefault="002B49F1">
            <w:r>
              <w:rPr>
                <w:lang w:val="en-US"/>
              </w:rPr>
              <w:t>4</w:t>
            </w:r>
            <w:bookmarkStart w:id="0" w:name="_GoBack"/>
            <w:bookmarkEnd w:id="0"/>
            <w:r w:rsidR="000A5706">
              <w:t>. График производства работ должен быть подписан руководителем организ</w:t>
            </w:r>
            <w:r w:rsidR="000A5706">
              <w:t>ации/уполномоченным лицом Участника и скреплен оттиском печати (при наличии)</w:t>
            </w:r>
          </w:p>
        </w:tc>
      </w:tr>
      <w:tr w:rsidR="00000000">
        <w:trPr>
          <w:cantSplit/>
        </w:trPr>
        <w:tc>
          <w:tcPr>
            <w:tcW w:w="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pPr>
              <w:jc w:val="right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>Предоставление актуальной выписки из сервиса оценки: ЮЛ - для юридических лиц; ИП - для индивидуальных предпринимателей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 xml:space="preserve">Выписка со статусом «Соответствует» по критериям 1-го </w:t>
            </w:r>
            <w:r>
              <w:t>этапа оценки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00000" w:rsidRDefault="000A5706">
            <w:r>
              <w:t xml:space="preserve">Выписка из сервиса оценки юридических лиц / индивидуальных предпринимателей. Инструкция по получению выписки представлена в приложении 9. Регламентирующие </w:t>
            </w:r>
            <w:proofErr w:type="gramStart"/>
            <w:r>
              <w:t>документы.*</w:t>
            </w:r>
            <w:proofErr w:type="gramEnd"/>
          </w:p>
        </w:tc>
      </w:tr>
    </w:tbl>
    <w:p w:rsidR="00000000" w:rsidRDefault="000A5706">
      <w:pPr>
        <w:pStyle w:val="bottomtext"/>
      </w:pPr>
      <w:r>
        <w:t>Компания, принимая участие в закупочной процедуре, гарантирует наличие у не</w:t>
      </w:r>
      <w:r>
        <w:t>е согласия субъектов персональных данных (сотрудников компании) на обработку персональных данных ПАО «Татнефть» им. В.Д. </w:t>
      </w:r>
      <w:proofErr w:type="spellStart"/>
      <w:r>
        <w:t>Шашина</w:t>
      </w:r>
      <w:proofErr w:type="spellEnd"/>
      <w:r>
        <w:t xml:space="preserve"> с целью прохождения процедуры оценки участника на соответствие критериям допуска при проведении закупок в соответствии со Станда</w:t>
      </w:r>
      <w:r>
        <w:t>ртом организации ПАО «Татнефть» им. В.Д. </w:t>
      </w:r>
      <w:proofErr w:type="spellStart"/>
      <w:r>
        <w:t>Шашина</w:t>
      </w:r>
      <w:proofErr w:type="spellEnd"/>
      <w:r>
        <w:t xml:space="preserve"> «Закупки работ и услуг». Срок действия согласия на обработку и передачу персональных данных должен быть не менее срока действия Заявки на участие в конкурентном отборе, указанного в тендерной документации.</w:t>
      </w:r>
    </w:p>
    <w:p w:rsidR="00000000" w:rsidRDefault="000A5706">
      <w:pPr>
        <w:pStyle w:val="bottomtext"/>
      </w:pPr>
      <w:r>
        <w:t>По</w:t>
      </w:r>
      <w:r>
        <w:t xml:space="preserve"> запросу организатора закупочной процедуры, Участник обязуется предоставить в течение 5(пяти) рабочих дней с даты получения такого запроса, если не установлен иной срок, документы и информацию, подтверждающие принятие мер, направленных на обеспечение выпол</w:t>
      </w:r>
      <w:r>
        <w:t>нения требований Федерального закона от 27.07.2006 № 152 - ФЗ «О персональных данных»</w:t>
      </w:r>
    </w:p>
    <w:p w:rsidR="000A5706" w:rsidRDefault="000A5706">
      <w:pPr>
        <w:pStyle w:val="bottomtext"/>
      </w:pPr>
      <w:r>
        <w:t>* В случае, если отклонение контрагента, имеющего статус «Не соответствует» по критериям 1-го этапа оценки в выписке из сервиса юридических лиц / индивидуальных предприни</w:t>
      </w:r>
      <w:r>
        <w:t>мателей либо актуальная выписка не представлена, может привести к закупке работ ( услуг) на сумму, которая превышает лимитную стоимость, то решение о выборе победителя и заключения договора с победителем будет приниматься на уровне руководителя Заказчика.</w:t>
      </w:r>
    </w:p>
    <w:sectPr w:rsidR="000A5706">
      <w:pgSz w:w="11907" w:h="16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F1"/>
    <w:rsid w:val="000A5706"/>
    <w:rsid w:val="002B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270C2D"/>
  <w15:chartTrackingRefBased/>
  <w15:docId w15:val="{8F75F1E7-55AB-4C8D-B28A-DB1404FA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before="24" w:after="24"/>
    </w:pPr>
    <w:rPr>
      <w:rFonts w:eastAsiaTheme="minorEastAsia"/>
      <w:sz w:val="14"/>
      <w:szCs w:val="14"/>
    </w:rPr>
  </w:style>
  <w:style w:type="paragraph" w:styleId="1">
    <w:name w:val="heading 1"/>
    <w:basedOn w:val="a"/>
    <w:link w:val="10"/>
    <w:uiPriority w:val="9"/>
    <w:qFormat/>
    <w:pPr>
      <w:spacing w:before="0" w:after="96"/>
      <w:jc w:val="center"/>
      <w:outlineLvl w:val="0"/>
    </w:pPr>
    <w:rPr>
      <w:b/>
      <w:bCs/>
      <w:kern w:val="36"/>
      <w:sz w:val="26"/>
      <w:szCs w:val="26"/>
    </w:rPr>
  </w:style>
  <w:style w:type="paragraph" w:styleId="2">
    <w:name w:val="heading 2"/>
    <w:basedOn w:val="a"/>
    <w:link w:val="20"/>
    <w:uiPriority w:val="9"/>
    <w:qFormat/>
    <w:pPr>
      <w:spacing w:before="96" w:after="96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sz w:val="24"/>
      <w:szCs w:val="24"/>
    </w:rPr>
  </w:style>
  <w:style w:type="paragraph" w:customStyle="1" w:styleId="editor">
    <w:name w:val="editor"/>
    <w:basedOn w:val="a"/>
    <w:pPr>
      <w:shd w:val="clear" w:color="auto" w:fill="EFEDED"/>
      <w:spacing w:before="100" w:beforeAutospacing="1" w:after="100" w:afterAutospacing="1"/>
    </w:pPr>
    <w:rPr>
      <w:color w:val="888888"/>
      <w:sz w:val="17"/>
      <w:szCs w:val="17"/>
    </w:rPr>
  </w:style>
  <w:style w:type="paragraph" w:customStyle="1" w:styleId="debug">
    <w:name w:val="debug"/>
    <w:basedOn w:val="a"/>
    <w:pPr>
      <w:shd w:val="clear" w:color="auto" w:fill="EFEDED"/>
      <w:spacing w:before="100" w:beforeAutospacing="1" w:after="100" w:afterAutospacing="1"/>
    </w:pPr>
    <w:rPr>
      <w:color w:val="888888"/>
      <w:sz w:val="17"/>
      <w:szCs w:val="17"/>
    </w:rPr>
  </w:style>
  <w:style w:type="paragraph" w:customStyle="1" w:styleId="num">
    <w:name w:val="num"/>
    <w:basedOn w:val="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numc">
    <w:name w:val="numc"/>
    <w:basedOn w:val="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snum">
    <w:name w:val="snum"/>
    <w:basedOn w:val="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desc">
    <w:name w:val="desc"/>
    <w:basedOn w:val="a"/>
    <w:pPr>
      <w:spacing w:before="100" w:beforeAutospacing="1" w:after="100" w:afterAutospacing="1"/>
    </w:pPr>
    <w:rPr>
      <w:color w:val="777777"/>
      <w:sz w:val="19"/>
      <w:szCs w:val="19"/>
    </w:rPr>
  </w:style>
  <w:style w:type="paragraph" w:customStyle="1" w:styleId="printformstat">
    <w:name w:val="printformstat"/>
    <w:basedOn w:val="a"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FFFFF"/>
      <w:spacing w:before="100" w:beforeAutospacing="1" w:after="100" w:afterAutospacing="1"/>
    </w:pPr>
    <w:rPr>
      <w:rFonts w:ascii="Courier New" w:hAnsi="Courier New" w:cs="Courier New"/>
      <w:color w:val="777777"/>
    </w:rPr>
  </w:style>
  <w:style w:type="paragraph" w:customStyle="1" w:styleId="requeststat">
    <w:name w:val="requeststat"/>
    <w:basedOn w:val="a"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FFFFF"/>
      <w:spacing w:before="100" w:beforeAutospacing="1" w:after="100" w:afterAutospacing="1"/>
    </w:pPr>
    <w:rPr>
      <w:rFonts w:ascii="Courier New" w:hAnsi="Courier New" w:cs="Courier New"/>
      <w:color w:val="777777"/>
    </w:rPr>
  </w:style>
  <w:style w:type="paragraph" w:customStyle="1" w:styleId="right">
    <w:name w:val="right"/>
    <w:basedOn w:val="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date">
    <w:name w:val="date"/>
    <w:basedOn w:val="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noborders">
    <w:name w:val="noborders"/>
    <w:basedOn w:val="a"/>
    <w:pPr>
      <w:spacing w:before="100" w:beforeAutospacing="1" w:after="100" w:afterAutospacing="1"/>
    </w:pPr>
    <w:rPr>
      <w:sz w:val="24"/>
      <w:szCs w:val="24"/>
    </w:rPr>
  </w:style>
  <w:style w:type="paragraph" w:customStyle="1" w:styleId="autow">
    <w:name w:val="autow"/>
    <w:basedOn w:val="a"/>
    <w:pPr>
      <w:spacing w:before="100" w:beforeAutospacing="1" w:after="100" w:afterAutospacing="1"/>
    </w:pPr>
    <w:rPr>
      <w:sz w:val="24"/>
      <w:szCs w:val="24"/>
    </w:rPr>
  </w:style>
  <w:style w:type="paragraph" w:customStyle="1" w:styleId="bottomtext">
    <w:name w:val="bottomtext"/>
    <w:basedOn w:val="a"/>
    <w:pPr>
      <w:spacing w:before="100" w:beforeAutospacing="1" w:after="100" w:afterAutospacing="1"/>
      <w:jc w:val="both"/>
    </w:pPr>
    <w:rPr>
      <w:i/>
      <w:iCs/>
    </w:rPr>
  </w:style>
  <w:style w:type="paragraph" w:customStyle="1" w:styleId="desc1">
    <w:name w:val="desc1"/>
    <w:basedOn w:val="a"/>
    <w:pPr>
      <w:spacing w:before="100" w:beforeAutospacing="1" w:after="100" w:afterAutospacing="1"/>
    </w:pPr>
    <w:rPr>
      <w:color w:val="777777"/>
      <w:sz w:val="12"/>
      <w:szCs w:val="12"/>
    </w:rPr>
  </w:style>
  <w:style w:type="character" w:styleId="a3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Критерии допуска</vt:lpstr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Критерии допуска</dc:title>
  <dc:subject/>
  <dc:creator>Яхин Руслан Илдарович</dc:creator>
  <cp:keywords/>
  <dc:description/>
  <cp:lastModifiedBy>Яхин Руслан Илдарович</cp:lastModifiedBy>
  <cp:revision>2</cp:revision>
  <dcterms:created xsi:type="dcterms:W3CDTF">2026-04-29T10:38:00Z</dcterms:created>
  <dcterms:modified xsi:type="dcterms:W3CDTF">2026-04-29T10:38:00Z</dcterms:modified>
</cp:coreProperties>
</file>