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80"/>
        <w:jc w:val="center"/>
      </w:pPr>
      <w:r>
        <w:rPr>
          <w:b/>
          <w:bCs/>
          <w:color w:val="2E75B6"/>
          <w:sz w:val="48"/>
          <w:szCs w:val="48"/>
        </w:rPr>
        <w:t xml:space="preserve">Agent Advantage Conference</w:t>
      </w:r>
    </w:p>
    <w:p>
      <w:pPr>
        <w:spacing w:after="120"/>
        <w:jc w:val="center"/>
      </w:pPr>
      <w:r>
        <w:rPr>
          <w:sz w:val="36"/>
          <w:szCs w:val="36"/>
        </w:rPr>
        <w:t xml:space="preserve">Technical Debrief</w:t>
      </w:r>
    </w:p>
    <w:p>
      <w:pPr>
        <w:spacing w:after="360"/>
        <w:jc w:val="center"/>
      </w:pPr>
      <w:r>
        <w:rPr>
          <w:i/>
          <w:iCs/>
          <w:sz w:val="24"/>
          <w:szCs w:val="24"/>
        </w:rPr>
        <w:t xml:space="preserve">Google Cloud Sydney | March 2026</w:t>
      </w:r>
    </w:p>
    <w:p>
      <w:pPr>
        <w:spacing w:after="80"/>
        <w:jc w:val="center"/>
      </w:pPr>
      <w:r>
        <w:rPr>
          <w:sz w:val="24"/>
          <w:szCs w:val="24"/>
        </w:rPr>
        <w:t xml:space="preserve">Prepared by: Alexander Kwok</w:t>
      </w:r>
    </w:p>
    <w:p>
      <w:pPr>
        <w:spacing w:after="240"/>
        <w:jc w:val="center"/>
      </w:pPr>
      <w:r>
        <w:rPr>
          <w:sz w:val="24"/>
          <w:szCs w:val="24"/>
        </w:rPr>
        <w:t xml:space="preserve">April 10, 2026</w:t>
      </w:r>
    </w:p>
    <w:p>
      <w:pPr>
        <w:pageBreakBefore/>
      </w:pPr>
      <w:r>
        <w:t xml:space="preserve"/>
      </w:r>
    </w:p>
    <w:sdt>
      <w:sdtPr>
        <w:alias w:val="Table of Contents"/>
      </w:sdtPr>
      <w:sdtContent>
        <w:p>
          <w:r>
            <w:fldChar w:fldCharType="begin" w:dirty="true"/>
            <w:instrText xml:space="preserve">TOC \h \o "1-2"</w:instrText>
            <w:fldChar w:fldCharType="separate"/>
          </w:r>
        </w:p>
        <w:p>
          <w:r>
            <w:fldChar w:fldCharType="end"/>
          </w:r>
        </w:p>
      </w:sdtContent>
    </w:sdt>
    <w:p>
      <w:pPr>
        <w:pageBreakBefore/>
      </w:pPr>
      <w:r>
        <w:t xml:space="preserve"/>
      </w:r>
    </w:p>
    <w:p>
      <w:pPr>
        <w:pStyle w:val="Heading1"/>
      </w:pPr>
      <w:r>
        <w:t xml:space="preserve">Executive Summary</w:t>
      </w:r>
    </w:p>
    <w:p>
      <w:pPr>
        <w:spacing w:after="200"/>
      </w:pPr>
      <w:r>
        <w:t xml:space="preserve">Google Cloud's "The Agent Advantage" conference demonstrated a fundamental shift in AI infrastructure: agents are becoming the primary unit of business value. With Gemini 3's dramatic cost reductions (78% year-over-year), improved reasoning capabilities, and powerful tool-use patterns, the competitive moat has shifted from model weights to proprietary data and agent design. However, only 12% of agent projects reach production—success requires aligning three critical factors: common AI language, business-tech collaboration, and user-first design. Enterprise organizations must adopt grounding patterns (vector DBs, knowledge graphs, and MCP), architect for agent-to-agent meshes, and evaluate agents by business outcomes, not benchmark scores.</w:t>
      </w:r>
    </w:p>
    <w:p>
      <w:pPr>
        <w:pStyle w:val="Heading1"/>
      </w:pPr>
      <w:r>
        <w:t xml:space="preserve">The Gemini 3 Foundation</w:t>
      </w:r>
    </w:p>
    <w:p>
      <w:pPr>
        <w:spacing w:after="120"/>
      </w:pPr>
      <w:r>
        <w:t xml:space="preserve">Rob Cybo (Google Cloud ML Customer Engineering Lead) presented Gemini 3, Google's latest generation of large language models, as the foundation enabling agent-centric architectures.</w:t>
      </w:r>
    </w:p>
    <w:p>
      <w:pPr>
        <w:pStyle w:val="Heading2"/>
      </w:pPr>
      <w:r>
        <w:t xml:space="preserve">Model Variants &amp; Scale</w:t>
      </w:r>
    </w:p>
    <w:p>
      <w:pPr>
        <w:pStyle w:val="ListParagraph"/>
        <w:numPr>
          <w:ilvl w:val="0"/>
          <w:numId w:val="2"/>
        </w:numPr>
        <w:spacing w:after="120"/>
      </w:pPr>
      <w:r>
        <w:t xml:space="preserve">Gemini 3 comes in three variants: Flash (fast, low-cost), Pro (balanced), and Flashlight (optimized). Flash is positioned as the default for most production workloads.</w:t>
      </w:r>
    </w:p>
    <w:p>
      <w:pPr>
        <w:pStyle w:val="ListParagraph"/>
        <w:numPr>
          <w:ilvl w:val="0"/>
          <w:numId w:val="2"/>
        </w:numPr>
        <w:spacing w:after="120"/>
      </w:pPr>
      <w:r>
        <w:t xml:space="preserve">Global throughput: 10 billion tokens per minute—equivalent to processing the entire Wikipedia corpus in 60 seconds.</w:t>
      </w:r>
    </w:p>
    <w:p>
      <w:pPr>
        <w:pStyle w:val="ListParagraph"/>
        <w:numPr>
          <w:ilvl w:val="0"/>
          <w:numId w:val="2"/>
        </w:numPr>
        <w:spacing w:after="240"/>
      </w:pPr>
      <w:r>
        <w:t xml:space="preserve">Cost trajectory: 78% reduction in token pricing year-over-year, making agents economically viable at enterprise scale.</w:t>
      </w:r>
    </w:p>
    <w:p>
      <w:pPr>
        <w:pStyle w:val="Heading2"/>
      </w:pPr>
      <w:r>
        <w:t xml:space="preserve">Infrastructure &amp; Capabilities</w:t>
      </w:r>
    </w:p>
    <w:p>
      <w:pPr>
        <w:pStyle w:val="ListParagraph"/>
        <w:numPr>
          <w:ilvl w:val="0"/>
          <w:numId w:val="2"/>
        </w:numPr>
        <w:spacing w:after="120"/>
      </w:pPr>
      <w:r>
        <w:t xml:space="preserve">$180B infrastructure investment underpins Google Cloud's AI services, representing a multi-year commitment to capacity and performance.</w:t>
      </w:r>
    </w:p>
    <w:p>
      <w:pPr>
        <w:pStyle w:val="ListParagraph"/>
        <w:numPr>
          <w:ilvl w:val="0"/>
          <w:numId w:val="2"/>
        </w:numPr>
        <w:spacing w:after="120"/>
      </w:pPr>
      <w:r>
        <w:t xml:space="preserve">DeepMind research products like AlphaFold (3M+ researchers, 190 countries) and Genie (world models for agent training) enable advanced multi-modal and reasoning capabilities.</w:t>
      </w:r>
    </w:p>
    <w:p>
      <w:pPr>
        <w:pStyle w:val="ListParagraph"/>
        <w:numPr>
          <w:ilvl w:val="0"/>
          <w:numId w:val="2"/>
        </w:numPr>
        <w:spacing w:after="120"/>
      </w:pPr>
      <w:r>
        <w:t xml:space="preserve">Core capabilities: multi-modality (text, image, audio, video), extended reasoning, advanced tool use, and code generation.</w:t>
      </w:r>
    </w:p>
    <w:p>
      <w:pPr>
        <w:pStyle w:val="ListParagraph"/>
        <w:numPr>
          <w:ilvl w:val="0"/>
          <w:numId w:val="2"/>
        </w:numPr>
        <w:spacing w:after="240"/>
      </w:pPr>
      <w:r>
        <w:t xml:space="preserve">Key insight: The competitive moat is NOT models or infrastructure—it's proprietary data combined with agent design and organizational knowledge.</w:t>
      </w:r>
    </w:p>
    <w:p>
      <w:pPr>
        <w:pStyle w:val="Heading1"/>
      </w:pPr>
      <w:r>
        <w:t xml:space="preserve">Grounding Agents with Enterprise Data</w:t>
      </w:r>
    </w:p>
    <w:p>
      <w:pPr>
        <w:spacing w:after="120"/>
      </w:pPr>
      <w:r>
        <w:t xml:space="preserve">Russell Nash (Google Cloud Data Platform) detailed how agents are grounded with business context through three complementary layers: vector databases for semantic search, knowledge graphs for structured reasoning, and session memory for conversational continuity. The industry-wide adoption of Model Context Protocol (MCP) standardizes agent tool integration.</w:t>
      </w:r>
    </w:p>
    <w:p>
      <w:pPr>
        <w:pStyle w:val="Heading2"/>
      </w:pPr>
      <w:r>
        <w:t xml:space="preserve">Three Grounding Layers</w:t>
      </w:r>
    </w:p>
    <w:p>
      <w:pPr>
        <w:spacing w:after="80"/>
      </w:pPr>
      <w:r>
        <w:rPr>
          <w:b/>
          <w:bCs/>
        </w:rPr>
        <w:t xml:space="preserve">1. Business Context (Vector Database + RAG)</w:t>
      </w:r>
    </w:p>
    <w:p>
      <w:pPr>
        <w:pStyle w:val="ListParagraph"/>
        <w:numPr>
          <w:ilvl w:val="0"/>
          <w:numId w:val="2"/>
        </w:numPr>
        <w:spacing w:after="200"/>
      </w:pPr>
      <w:r>
        <w:t xml:space="preserve">Retrieval-Augmented Generation uses vector embeddings to fetch relevant documents, policies, and domain knowledge. This eliminates hallucination by anchoring agent responses in real data.</w:t>
      </w:r>
    </w:p>
    <w:p>
      <w:pPr>
        <w:spacing w:after="80"/>
      </w:pPr>
      <w:r>
        <w:rPr>
          <w:b/>
          <w:bCs/>
        </w:rPr>
        <w:t xml:space="preserve">2. Specific Knowledge (Graph Database + Tools)</w:t>
      </w:r>
    </w:p>
    <w:p>
      <w:pPr>
        <w:pStyle w:val="ListParagraph"/>
        <w:numPr>
          <w:ilvl w:val="0"/>
          <w:numId w:val="2"/>
        </w:numPr>
        <w:spacing w:after="200"/>
      </w:pPr>
      <w:r>
        <w:t xml:space="preserve">Knowledge graphs (e.g., Neo4j, Google Cloud's own offerings) enable structured reasoning over relationships. MCP tools expose these graphs as callable functions.</w:t>
      </w:r>
    </w:p>
    <w:p>
      <w:pPr>
        <w:spacing w:after="80"/>
      </w:pPr>
      <w:r>
        <w:rPr>
          <w:b/>
          <w:bCs/>
        </w:rPr>
        <w:t xml:space="preserve">3. Session Memory (In-Memory Database)</w:t>
      </w:r>
    </w:p>
    <w:p>
      <w:pPr>
        <w:pStyle w:val="ListParagraph"/>
        <w:numPr>
          <w:ilvl w:val="0"/>
          <w:numId w:val="2"/>
        </w:numPr>
        <w:spacing w:after="200"/>
      </w:pPr>
      <w:r>
        <w:t xml:space="preserve">Conversation history stored in fast data layers (Redis, BigTable) allows agents to maintain context and avoid redundant reasoning.</w:t>
      </w:r>
    </w:p>
    <w:p>
      <w:pPr>
        <w:pStyle w:val="Heading2"/>
      </w:pPr>
      <w:r>
        <w:t xml:space="preserve">MCP: The USB-C of Agents</w:t>
      </w:r>
    </w:p>
    <w:p>
      <w:pPr>
        <w:spacing w:after="240"/>
      </w:pPr>
      <w:r>
        <w:t xml:space="preserve">Model Context Protocol (MCP) has emerged as the industry standard for agent-tool integration. Nash analogized it to USB-C: a universal connector ensuring any agent can integrate any tool without proprietary adapters. Major vendors (Anthropic, OpenAI-adjacent ecosystems) are adopting MCP, creating a landscape where tool ecosystems are interchangeable.</w:t>
      </w:r>
    </w:p>
    <w:p>
      <w:pPr>
        <w:pStyle w:val="Heading2"/>
      </w:pPr>
      <w:r>
        <w:t xml:space="preserve">Case Studies: Data Grounding in 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Organization</w:t>
            </w:r>
          </w:p>
        </w:tc>
        <w:tc>
          <w:tcPr>
            <w:tcW w:type="dxa" w:w="351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Challenge</w:t>
            </w:r>
          </w:p>
        </w:tc>
        <w:tc>
          <w:tcPr>
            <w:tcW w:type="dxa" w:w="351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Outcome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Make My Trip</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 separate databases, slow retrieval</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Unified Spanner DB: 75% architecture simplification, 2.3x faster retrieval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FairPrice Group</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Manual grocery recommendations, paper-based workflows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Shopping agent with barcode scanning + recipe recommendations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Vodafone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Reactive outage management, post-incident analysis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Internal network engineering agent for proactive outage prediction/prevention</w:t>
            </w:r>
          </w:p>
        </w:tc>
      </w:tr>
    </w:tbl>
    <w:p>
      <w:pPr>
        <w:spacing w:after="240"/>
      </w:pPr>
      <w:r>
        <w:t xml:space="preserve"/>
      </w:r>
    </w:p>
    <w:p>
      <w:pPr>
        <w:pStyle w:val="Heading1"/>
      </w:pPr>
      <w:r>
        <w:t xml:space="preserve">Agentic Design Patterns</w:t>
      </w:r>
    </w:p>
    <w:p>
      <w:pPr>
        <w:spacing w:after="120"/>
      </w:pPr>
      <w:r>
        <w:t xml:space="preserve">Pedro Correia (Google Cloud Vertex AI) articulated the distinction between models and agents: models are like steam engines (centralized power), while agents are like electric motors (distributed, local control). He outlined three foundational agentic patterns, each suited to different complexity and autonomy requirements.</w:t>
      </w:r>
    </w:p>
    <w:p>
      <w:pPr>
        <w:pStyle w:val="Heading2"/>
      </w:pPr>
      <w:r>
        <w:t xml:space="preserve">Pattern 1: Function Calling (Tool Use)</w:t>
      </w:r>
    </w:p>
    <w:p>
      <w:pPr>
        <w:pStyle w:val="ListParagraph"/>
        <w:numPr>
          <w:ilvl w:val="0"/>
          <w:numId w:val="2"/>
        </w:numPr>
        <w:spacing w:after="120"/>
      </w:pPr>
      <w:r>
        <w:rPr>
          <w:b/>
          <w:bCs/>
        </w:rPr>
        <w:t xml:space="preserve">Definition: </w:t>
      </w:r>
      <w:r>
        <w:t xml:space="preserve">Agent selects and invokes functions (APIs, tools) to retrieve or compute information.</w:t>
      </w:r>
    </w:p>
    <w:p>
      <w:pPr>
        <w:pStyle w:val="ListParagraph"/>
        <w:numPr>
          <w:ilvl w:val="0"/>
          <w:numId w:val="2"/>
        </w:numPr>
        <w:spacing w:after="120"/>
      </w:pPr>
      <w:r>
        <w:rPr>
          <w:b/>
          <w:bCs/>
        </w:rPr>
        <w:t xml:space="preserve">When to use: </w:t>
      </w:r>
      <w:r>
        <w:t xml:space="preserve">Simple retrieval (search, database lookup), external data access, or deterministic workflows.</w:t>
      </w:r>
    </w:p>
    <w:p>
      <w:pPr>
        <w:pStyle w:val="ListParagraph"/>
        <w:numPr>
          <w:ilvl w:val="0"/>
          <w:numId w:val="2"/>
        </w:numPr>
        <w:spacing w:after="200"/>
      </w:pPr>
      <w:r>
        <w:rPr>
          <w:b/>
          <w:bCs/>
        </w:rPr>
        <w:t xml:space="preserve">Example: </w:t>
      </w:r>
      <w:r>
        <w:t xml:space="preserve">"What's the weather?" → agent calls weather API → returns current conditions.</w:t>
      </w:r>
    </w:p>
    <w:p>
      <w:pPr>
        <w:pStyle w:val="Heading2"/>
      </w:pPr>
      <w:r>
        <w:t xml:space="preserve">Pattern 2: Agent-to-Data (RAG + Grounding)</w:t>
      </w:r>
    </w:p>
    <w:p>
      <w:pPr>
        <w:pStyle w:val="ListParagraph"/>
        <w:numPr>
          <w:ilvl w:val="0"/>
          <w:numId w:val="2"/>
        </w:numPr>
        <w:spacing w:after="120"/>
      </w:pPr>
      <w:r>
        <w:rPr>
          <w:b/>
          <w:bCs/>
        </w:rPr>
        <w:t xml:space="preserve">Definition: </w:t>
      </w:r>
      <w:r>
        <w:t xml:space="preserve">Agent queries a knowledge base (vector DB, graph DB) to ground responses in proprietary data.</w:t>
      </w:r>
    </w:p>
    <w:p>
      <w:pPr>
        <w:pStyle w:val="ListParagraph"/>
        <w:numPr>
          <w:ilvl w:val="0"/>
          <w:numId w:val="2"/>
        </w:numPr>
        <w:spacing w:after="120"/>
      </w:pPr>
      <w:r>
        <w:rPr>
          <w:b/>
          <w:bCs/>
        </w:rPr>
        <w:t xml:space="preserve">When to use: </w:t>
      </w:r>
      <w:r>
        <w:t xml:space="preserve">Domain-specific reasoning, confidential information, consistency with policy.</w:t>
      </w:r>
    </w:p>
    <w:p>
      <w:pPr>
        <w:pStyle w:val="ListParagraph"/>
        <w:numPr>
          <w:ilvl w:val="0"/>
          <w:numId w:val="2"/>
        </w:numPr>
        <w:spacing w:after="200"/>
      </w:pPr>
      <w:r>
        <w:rPr>
          <w:b/>
          <w:bCs/>
        </w:rPr>
        <w:t xml:space="preserve">Example: </w:t>
      </w:r>
      <w:r>
        <w:t xml:space="preserve">"Is our SaaS compliant with GDPR?" → agent queries knowledge graph → retrieves policy + precedent.</w:t>
      </w:r>
    </w:p>
    <w:p>
      <w:pPr>
        <w:pStyle w:val="Heading2"/>
      </w:pPr>
      <w:r>
        <w:t xml:space="preserve">Pattern 3: Agent-to-Agent Mesh</w:t>
      </w:r>
    </w:p>
    <w:p>
      <w:pPr>
        <w:pStyle w:val="ListParagraph"/>
        <w:numPr>
          <w:ilvl w:val="0"/>
          <w:numId w:val="2"/>
        </w:numPr>
        <w:spacing w:after="120"/>
      </w:pPr>
      <w:r>
        <w:rPr>
          <w:b/>
          <w:bCs/>
        </w:rPr>
        <w:t xml:space="preserve">Definition: </w:t>
      </w:r>
      <w:r>
        <w:t xml:space="preserve">Multiple specialized agents orchestrate to solve a task, each handling a sub-domain.</w:t>
      </w:r>
    </w:p>
    <w:p>
      <w:pPr>
        <w:pStyle w:val="ListParagraph"/>
        <w:numPr>
          <w:ilvl w:val="0"/>
          <w:numId w:val="2"/>
        </w:numPr>
        <w:spacing w:after="120"/>
      </w:pPr>
      <w:r>
        <w:rPr>
          <w:b/>
          <w:bCs/>
        </w:rPr>
        <w:t xml:space="preserve">When to use: </w:t>
      </w:r>
      <w:r>
        <w:t xml:space="preserve">Complex workflows, cross-functional collaboration, risk mitigation (compliance, ethics checks).</w:t>
      </w:r>
    </w:p>
    <w:p>
      <w:pPr>
        <w:pStyle w:val="ListParagraph"/>
        <w:numPr>
          <w:ilvl w:val="0"/>
          <w:numId w:val="2"/>
        </w:numPr>
        <w:spacing w:after="240"/>
      </w:pPr>
      <w:r>
        <w:rPr>
          <w:b/>
          <w:bCs/>
        </w:rPr>
        <w:t xml:space="preserve">Example: </w:t>
      </w:r>
      <w:r>
        <w:t xml:space="preserve">"Draft marketing article" → Agent A (writer) → Agent B (compliance) → Agent C (lawyer) → unified output.</w:t>
      </w:r>
    </w:p>
    <w:p>
      <w:pPr>
        <w:pStyle w:val="Heading2"/>
      </w:pPr>
      <w:r>
        <w:t xml:space="preserve">Pattern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Pattern</w:t>
            </w:r>
          </w:p>
        </w:tc>
        <w:tc>
          <w:tcPr>
            <w:tcW w:type="dxa" w:w="23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Complexity</w:t>
            </w:r>
          </w:p>
        </w:tc>
        <w:tc>
          <w:tcPr>
            <w:tcW w:type="dxa" w:w="23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Autonomy</w:t>
            </w:r>
          </w:p>
        </w:tc>
        <w:tc>
          <w:tcPr>
            <w:tcW w:type="dxa" w:w="23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Use Case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Function Calling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Low</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Low</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Search, lookup</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Agent-to-Data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Medium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Medium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Domain reasoning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Agent-to-Agent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Orchestration, risk</w:t>
            </w:r>
          </w:p>
        </w:tc>
      </w:tr>
    </w:tbl>
    <w:p>
      <w:pPr>
        <w:spacing w:after="240"/>
      </w:pPr>
      <w:r>
        <w:t xml:space="preserve"/>
      </w:r>
    </w:p>
    <w:p>
      <w:pPr>
        <w:pStyle w:val="Heading1"/>
      </w:pPr>
      <w:r>
        <w:t xml:space="preserve">The Production Gap: Why 88% of Agents Don't Ship</w:t>
      </w:r>
    </w:p>
    <w:p>
      <w:pPr>
        <w:spacing w:after="200"/>
      </w:pPr>
      <w:r>
        <w:t xml:space="preserve">Despite promising proofs-of-concept, only 12% of agent projects reach production. Correia identified three non-negotiables that separate successful deployments from prototypes.</w:t>
      </w:r>
    </w:p>
    <w:p>
      <w:pPr>
        <w:pStyle w:val="Heading2"/>
      </w:pPr>
      <w:r>
        <w:t xml:space="preserve">The Three Success Factors</w:t>
      </w:r>
    </w:p>
    <w:p>
      <w:pPr>
        <w:spacing w:after="100"/>
      </w:pPr>
      <w:r>
        <w:rPr>
          <w:b/>
          <w:bCs/>
        </w:rPr>
        <w:t xml:space="preserve">1. Common AI Language</w:t>
      </w:r>
    </w:p>
    <w:p>
      <w:pPr>
        <w:pStyle w:val="ListParagraph"/>
        <w:numPr>
          <w:ilvl w:val="0"/>
          <w:numId w:val="2"/>
        </w:numPr>
        <w:spacing w:after="200"/>
      </w:pPr>
      <w:r>
        <w:t xml:space="preserve">Teams must speak the same vocabulary: what constitutes agent success, how to evaluate quality, what "correct" means. Without shared language, business and tech teams ship different products.</w:t>
      </w:r>
    </w:p>
    <w:p>
      <w:pPr>
        <w:spacing w:after="100"/>
      </w:pPr>
      <w:r>
        <w:rPr>
          <w:b/>
          <w:bCs/>
        </w:rPr>
        <w:t xml:space="preserve">2. Business-Tech Collaboration</w:t>
      </w:r>
    </w:p>
    <w:p>
      <w:pPr>
        <w:pStyle w:val="ListParagraph"/>
        <w:numPr>
          <w:ilvl w:val="0"/>
          <w:numId w:val="2"/>
        </w:numPr>
        <w:spacing w:after="200"/>
      </w:pPr>
      <w:r>
        <w:t xml:space="preserve">Agents must solve business problems, not just demonstrate AI capabilities. Finance, product, and engineering must iterate together, not sequentially.</w:t>
      </w:r>
    </w:p>
    <w:p>
      <w:pPr>
        <w:spacing w:after="100"/>
      </w:pPr>
      <w:r>
        <w:rPr>
          <w:b/>
          <w:bCs/>
        </w:rPr>
        <w:t xml:space="preserve">3. User-First Design</w:t>
      </w:r>
    </w:p>
    <w:p>
      <w:pPr>
        <w:pStyle w:val="ListParagraph"/>
        <w:numPr>
          <w:ilvl w:val="0"/>
          <w:numId w:val="2"/>
        </w:numPr>
        <w:spacing w:after="240"/>
      </w:pPr>
      <w:r>
        <w:t xml:space="preserve">Agent UX matters more than model quality. A 95% accurate agent that users distrust is worthless. Explainability, error handling, and feedback loops are essential.</w:t>
      </w:r>
    </w:p>
    <w:p>
      <w:pPr>
        <w:pStyle w:val="Heading2"/>
      </w:pPr>
      <w:r>
        <w:t xml:space="preserve">Google's Internal Track Record</w:t>
      </w:r>
    </w:p>
    <w:p>
      <w:pPr>
        <w:spacing w:after="120"/>
      </w:pPr>
      <w:r>
        <w:t xml:space="preserve">Google published internal agent adoption metrics:</w:t>
      </w:r>
    </w:p>
    <w:p>
      <w:pPr>
        <w:pStyle w:val="ListParagraph"/>
        <w:numPr>
          <w:ilvl w:val="0"/>
          <w:numId w:val="2"/>
        </w:numPr>
        <w:spacing w:after="100"/>
      </w:pPr>
      <w:r>
        <w:t xml:space="preserve">50% of code written by agents (productivity multiplier)</w:t>
      </w:r>
    </w:p>
    <w:p>
      <w:pPr>
        <w:pStyle w:val="ListParagraph"/>
        <w:numPr>
          <w:ilvl w:val="0"/>
          <w:numId w:val="2"/>
        </w:numPr>
        <w:spacing w:after="100"/>
      </w:pPr>
      <w:r>
        <w:t xml:space="preserve">18,000 hours saved in marketing (2x ROI on tool development)</w:t>
      </w:r>
    </w:p>
    <w:p>
      <w:pPr>
        <w:pStyle w:val="ListParagraph"/>
        <w:numPr>
          <w:ilvl w:val="0"/>
          <w:numId w:val="2"/>
        </w:numPr>
        <w:spacing w:after="100"/>
      </w:pPr>
      <w:r>
        <w:t xml:space="preserve">14x faster supplier risk assessment (compliance automation)</w:t>
      </w:r>
    </w:p>
    <w:p>
      <w:pPr>
        <w:pStyle w:val="ListParagraph"/>
        <w:numPr>
          <w:ilvl w:val="0"/>
          <w:numId w:val="2"/>
        </w:numPr>
        <w:spacing w:after="240"/>
      </w:pPr>
      <w:r>
        <w:t xml:space="preserve">96% time reduction in plastic part identification (computer vision + agents)</w:t>
      </w:r>
    </w:p>
    <w:p>
      <w:pPr>
        <w:pStyle w:val="Heading2"/>
      </w:pPr>
      <w:r>
        <w:t xml:space="preserve">Deployment Models: Low-Code vs. High-Code</w:t>
      </w:r>
    </w:p>
    <w:p>
      <w:pPr>
        <w:spacing w:after="120"/>
      </w:pPr>
      <w:r>
        <w:t xml:space="preserve">Correia distinguished two deployment archetypes:</w:t>
      </w:r>
    </w:p>
    <w:p>
      <w:pPr>
        <w:spacing w:after="100"/>
      </w:pPr>
      <w:r>
        <w:rPr>
          <w:b/>
          <w:bCs/>
        </w:rPr>
        <w:t xml:space="preserve">Low-Code Agents (Everyone): </w:t>
      </w:r>
      <w:r>
        <w:t xml:space="preserve">Tools like Vertex AI Agentic Builders allow product managers and business analysts to configure agents without coding.</w:t>
      </w:r>
    </w:p>
    <w:p>
      <w:pPr>
        <w:spacing w:after="240"/>
      </w:pPr>
      <w:r>
        <w:rPr>
          <w:b/>
          <w:bCs/>
        </w:rPr>
        <w:t xml:space="preserve">High-Code Agents (Professional): </w:t>
      </w:r>
      <w:r>
        <w:t xml:space="preserve">Engineers build custom orchestration, specialized prompting, and domain-specific logic. Required for complex reasoning or proprietary workflows.</w:t>
      </w:r>
    </w:p>
    <w:p>
      <w:pPr>
        <w:pStyle w:val="Heading2"/>
      </w:pPr>
      <w:r>
        <w:t xml:space="preserve">Live Demonstrations</w:t>
      </w:r>
    </w:p>
    <w:p>
      <w:pPr>
        <w:spacing w:after="200"/>
      </w:pPr>
      <w:r>
        <w:t xml:space="preserve">Correia demonstrated two production agents in real-time:</w:t>
      </w:r>
    </w:p>
    <w:p>
      <w:pPr>
        <w:spacing w:after="100"/>
      </w:pPr>
      <w:r>
        <w:rPr>
          <w:b/>
          <w:bCs/>
        </w:rPr>
        <w:t xml:space="preserve">(a) Gemini Enterprise Multi-Agent Article Brainstorm: </w:t>
      </w:r>
    </w:p>
    <w:p>
      <w:pPr>
        <w:pStyle w:val="ListParagraph"/>
        <w:numPr>
          <w:ilvl w:val="0"/>
          <w:numId w:val="2"/>
        </w:numPr>
        <w:spacing w:after="200"/>
      </w:pPr>
      <w:r>
        <w:t xml:space="preserve">Writer Agent generates article outline, Compliance Agent checks regulatory adherence, Email Agent drafts stakeholder notification. All three execute in parallel and merge results.</w:t>
      </w:r>
    </w:p>
    <w:p>
      <w:pPr>
        <w:spacing w:after="100"/>
      </w:pPr>
      <w:r>
        <w:rPr>
          <w:b/>
          <w:bCs/>
        </w:rPr>
        <w:t xml:space="preserve">(b) Voice Car Sales Agent: </w:t>
      </w:r>
    </w:p>
    <w:p>
      <w:pPr>
        <w:pStyle w:val="ListParagraph"/>
        <w:numPr>
          <w:ilvl w:val="0"/>
          <w:numId w:val="2"/>
        </w:numPr>
        <w:spacing w:after="240"/>
      </w:pPr>
      <w:r>
        <w:t xml:space="preserve">Multilingual switching (English/Mandarin), camera-based color filtering ("show me red vehicles"), real-time inventory lookup. Demonstrates seamless fusion of voice, vision, and tools.</w:t>
      </w:r>
    </w:p>
    <w:p>
      <w:pPr>
        <w:pageBreakBefore/>
      </w:pPr>
      <w:r>
        <w:t xml:space="preserve"/>
      </w:r>
    </w:p>
    <w:p>
      <w:pPr>
        <w:pStyle w:val="Heading1"/>
      </w:pPr>
      <w:r>
        <w:t xml:space="preserve">Case Studies &amp; Business Results</w:t>
      </w:r>
    </w:p>
    <w:p>
      <w:pPr>
        <w:pStyle w:val="Heading2"/>
      </w:pPr>
      <w:r>
        <w:t xml:space="preserve">Make My Trip: Unified Data, Faster Travel</w:t>
      </w:r>
    </w:p>
    <w:p>
      <w:pPr>
        <w:spacing w:after="200"/>
      </w:pPr>
      <w:r>
        <w:t xml:space="preserve">India's largest online travel agency consolidated four legacy databases (flights, hotels, packages, payments) into Google Cloud Spanner. Agents now retrieve cross-modal travel recommendations in a single query. Result: 75% reduction in system complexity, 2.3x retrieval speed improvement.</w:t>
      </w:r>
    </w:p>
    <w:p>
      <w:pPr>
        <w:pStyle w:val="Heading2"/>
      </w:pPr>
      <w:r>
        <w:t xml:space="preserve">FairPrice Group: From Paper to Intelligent Shopping</w:t>
      </w:r>
    </w:p>
    <w:p>
      <w:pPr>
        <w:spacing w:after="200"/>
      </w:pPr>
      <w:r>
        <w:t xml:space="preserve">Singapore's largest supermarket chain deployed shopping assistants that scan barcode images and recommend recipes based on purchased items. Agents integrate real-time inventory, nutritional data, and recipe graphs. Transforms checkout from transaction to engagement moment.</w:t>
      </w:r>
    </w:p>
    <w:p>
      <w:pPr>
        <w:pStyle w:val="Heading2"/>
      </w:pPr>
      <w:r>
        <w:t xml:space="preserve">Vodafone: Proactive Network Engineering</w:t>
      </w:r>
    </w:p>
    <w:p>
      <w:pPr>
        <w:spacing w:after="240"/>
      </w:pPr>
      <w:r>
        <w:t xml:space="preserve">Deployed internal network engineering agent that ingests telemetry, correlates anomalies with topology changes, and predicts outages before they affect customers. Agents call thousands of network tools in seconds. Shifts ops from reactive firefighting to proactive prevention.</w:t>
      </w:r>
    </w:p>
    <w:p>
      <w:pPr>
        <w:pStyle w:val="Heading1"/>
      </w:pPr>
      <w:r>
        <w:t xml:space="preserve">Competitive Moat Analysis: Data + Agents + Knowledge</w:t>
      </w:r>
    </w:p>
    <w:p>
      <w:pPr>
        <w:spacing w:after="200"/>
      </w:pPr>
      <w:r>
        <w:t xml:space="preserve">A critical insight emerged across all talks: The competitive advantage in AI is NOT models, not infrastructure, but proprietary data combined with agent design and organizational knowledge. This has immediate strategic implications.</w:t>
      </w:r>
    </w:p>
    <w:p>
      <w:pPr>
        <w:pStyle w:val="Heading2"/>
      </w:pPr>
      <w:r>
        <w:t xml:space="preserve">What Creates Defensibility</w:t>
      </w:r>
    </w:p>
    <w:p>
      <w:pPr>
        <w:pStyle w:val="ListParagraph"/>
        <w:numPr>
          <w:ilvl w:val="0"/>
          <w:numId w:val="2"/>
        </w:numPr>
        <w:spacing w:after="120"/>
      </w:pPr>
      <w:r>
        <w:rPr>
          <w:b/>
          <w:bCs/>
        </w:rPr>
        <w:t xml:space="preserve">Proprietary Data: </w:t>
      </w:r>
      <w:r>
        <w:t xml:space="preserve">Customer records, transaction history, supply chain data—these are irreproducible.</w:t>
      </w:r>
    </w:p>
    <w:p>
      <w:pPr>
        <w:pStyle w:val="ListParagraph"/>
        <w:numPr>
          <w:ilvl w:val="0"/>
          <w:numId w:val="2"/>
        </w:numPr>
        <w:spacing w:after="120"/>
      </w:pPr>
      <w:r>
        <w:rPr>
          <w:b/>
          <w:bCs/>
        </w:rPr>
        <w:t xml:space="preserve">Agent Orchestration Patterns: </w:t>
      </w:r>
      <w:r>
        <w:t xml:space="preserve">How you chain tool calls, evaluate outputs, and recover from failures—this is proprietary workflow IP.</w:t>
      </w:r>
    </w:p>
    <w:p>
      <w:pPr>
        <w:pStyle w:val="ListParagraph"/>
        <w:numPr>
          <w:ilvl w:val="0"/>
          <w:numId w:val="2"/>
        </w:numPr>
        <w:spacing w:after="240"/>
      </w:pPr>
      <w:r>
        <w:rPr>
          <w:b/>
          <w:bCs/>
        </w:rPr>
        <w:t xml:space="preserve">Employee Knowledge: </w:t>
      </w:r>
      <w:r>
        <w:t xml:space="preserve">Embedded understanding of business logic, edge cases, compliance requirements. Hard to formalize, impossible to buy.</w:t>
      </w:r>
    </w:p>
    <w:p>
      <w:pPr>
        <w:pStyle w:val="Heading2"/>
      </w:pPr>
      <w:r>
        <w:t xml:space="preserve">What Does NOT Create Defensibility</w:t>
      </w:r>
    </w:p>
    <w:p>
      <w:pPr>
        <w:pStyle w:val="ListParagraph"/>
        <w:numPr>
          <w:ilvl w:val="0"/>
          <w:numId w:val="2"/>
        </w:numPr>
        <w:spacing w:after="120"/>
      </w:pPr>
      <w:r>
        <w:rPr>
          <w:b/>
          <w:bCs/>
        </w:rPr>
        <w:t xml:space="preserve">Model Weights: </w:t>
      </w:r>
      <w:r>
        <w:t xml:space="preserve">Gemini, GPT, Claude—all comparable in capability. Differentiation is short-lived.</w:t>
      </w:r>
    </w:p>
    <w:p>
      <w:pPr>
        <w:pStyle w:val="ListParagraph"/>
        <w:numPr>
          <w:ilvl w:val="0"/>
          <w:numId w:val="2"/>
        </w:numPr>
        <w:spacing w:after="240"/>
      </w:pPr>
      <w:r>
        <w:rPr>
          <w:b/>
          <w:bCs/>
        </w:rPr>
        <w:t xml:space="preserve">Infrastructure: </w:t>
      </w:r>
      <w:r>
        <w:t xml:space="preserve">Cloud costs are commoditizing. Anyone can rent Vertex AI or equivalent.</w:t>
      </w:r>
    </w:p>
    <w:p>
      <w:pPr>
        <w:pageBreakBefore/>
      </w:pPr>
      <w:r>
        <w:t xml:space="preserve"/>
      </w:r>
    </w:p>
    <w:p>
      <w:pPr>
        <w:pStyle w:val="Heading1"/>
      </w:pPr>
      <w:r>
        <w:t xml:space="preserve">Implications for Our Team</w:t>
      </w:r>
    </w:p>
    <w:p>
      <w:pPr>
        <w:spacing w:after="240"/>
      </w:pPr>
      <w:r>
        <w:t xml:space="preserve">The Agent Advantage conference offers concrete strategic and tactical direction for our team's AI roadmap.</w:t>
      </w:r>
    </w:p>
    <w:p>
      <w:pPr>
        <w:pStyle w:val="Heading2"/>
      </w:pPr>
      <w:r>
        <w:t xml:space="preserve">Strategic Imperatives</w:t>
      </w:r>
    </w:p>
    <w:p>
      <w:pPr>
        <w:spacing w:after="100"/>
      </w:pPr>
      <w:r>
        <w:rPr>
          <w:b/>
          <w:bCs/>
        </w:rPr>
        <w:t xml:space="preserve">1. Adopt MCP as a Standard</w:t>
      </w:r>
    </w:p>
    <w:p>
      <w:pPr>
        <w:pStyle w:val="ListParagraph"/>
        <w:numPr>
          <w:ilvl w:val="0"/>
          <w:numId w:val="2"/>
        </w:numPr>
        <w:spacing w:after="200"/>
      </w:pPr>
      <w:r>
        <w:t xml:space="preserve">Evaluate MCP adoption for tool integration. If we build agents today with proprietary adapters, we lock ourselves into Gemini. MCP lets us switch models or compose tools from multiple vendors without rework.</w:t>
      </w:r>
    </w:p>
    <w:p>
      <w:pPr>
        <w:spacing w:after="100"/>
      </w:pPr>
      <w:r>
        <w:rPr>
          <w:b/>
          <w:bCs/>
        </w:rPr>
        <w:t xml:space="preserve">2. Build Data Grounding First</w:t>
      </w:r>
    </w:p>
    <w:p>
      <w:pPr>
        <w:pStyle w:val="ListParagraph"/>
        <w:numPr>
          <w:ilvl w:val="0"/>
          <w:numId w:val="2"/>
        </w:numPr>
        <w:spacing w:after="200"/>
      </w:pPr>
      <w:r>
        <w:t xml:space="preserve">Invest in vector and graph databases BEFORE building agents. Ungrounded agents hallucinate; grounded agents are trustworthy. Make our proprietary data a moat, not an afterthought.</w:t>
      </w:r>
    </w:p>
    <w:p>
      <w:pPr>
        <w:spacing w:after="100"/>
      </w:pPr>
      <w:r>
        <w:rPr>
          <w:b/>
          <w:bCs/>
        </w:rPr>
        <w:t xml:space="preserve">3. Establish Agent Evaluation Frameworks</w:t>
      </w:r>
    </w:p>
    <w:p>
      <w:pPr>
        <w:pStyle w:val="ListParagraph"/>
        <w:numPr>
          <w:ilvl w:val="0"/>
          <w:numId w:val="2"/>
        </w:numPr>
        <w:spacing w:after="200"/>
      </w:pPr>
      <w:r>
        <w:t xml:space="preserve">Don't measure agents by benchmark scores (MMLU, GPQA). Measure by business outcomes: error rate, latency, user satisfaction, cost per transaction. Define "correctness" with domain experts, not researchers.</w:t>
      </w:r>
    </w:p>
    <w:p>
      <w:pPr>
        <w:spacing w:after="100"/>
      </w:pPr>
      <w:r>
        <w:rPr>
          <w:b/>
          <w:bCs/>
        </w:rPr>
        <w:t xml:space="preserve">4. Pilot Agent-to-Agent Patterns</w:t>
      </w:r>
    </w:p>
    <w:p>
      <w:pPr>
        <w:pStyle w:val="ListParagraph"/>
        <w:numPr>
          <w:ilvl w:val="0"/>
          <w:numId w:val="2"/>
        </w:numPr>
        <w:spacing w:after="240"/>
      </w:pPr>
      <w:r>
        <w:t xml:space="preserve">Prototype a mesh of specialized agents (writer, checker, approver). This de-risks complex workflows and allows each agent to be evaluated independently.</w:t>
      </w:r>
    </w:p>
    <w:p>
      <w:pPr>
        <w:pStyle w:val="Heading2"/>
      </w:pPr>
      <w:r>
        <w:t xml:space="preserve">Tactical Next Steps</w:t>
      </w:r>
    </w:p>
    <w:p>
      <w:pPr>
        <w:pStyle w:val="ListParagraph"/>
        <w:numPr>
          <w:ilvl w:val="0"/>
          <w:numId w:val="3"/>
        </w:numPr>
        <w:spacing w:after="120"/>
      </w:pPr>
      <w:r>
        <w:t xml:space="preserve">Conduct vendor evaluation: Vertex AI vs. Azure AI vs. Anthropic Claude for agent orchestration. Prioritize MCP compatibility.</w:t>
      </w:r>
    </w:p>
    <w:p>
      <w:pPr>
        <w:pStyle w:val="ListParagraph"/>
        <w:numPr>
          <w:ilvl w:val="0"/>
          <w:numId w:val="3"/>
        </w:numPr>
        <w:spacing w:after="120"/>
      </w:pPr>
      <w:r>
        <w:t xml:space="preserve">Inventory proprietary data assets that could ground agents: customer records, product catalogs, domain knowledge bases.</w:t>
      </w:r>
    </w:p>
    <w:p>
      <w:pPr>
        <w:pStyle w:val="ListParagraph"/>
        <w:numPr>
          <w:ilvl w:val="0"/>
          <w:numId w:val="3"/>
        </w:numPr>
        <w:spacing w:after="120"/>
      </w:pPr>
      <w:r>
        <w:t xml:space="preserve">Design an agent quality scorecard (accuracy, speed, cost, user trust). Use it to evaluate prototypes.</w:t>
      </w:r>
    </w:p>
    <w:p>
      <w:pPr>
        <w:pStyle w:val="ListParagraph"/>
        <w:numPr>
          <w:ilvl w:val="0"/>
          <w:numId w:val="3"/>
        </w:numPr>
        <w:spacing w:after="120"/>
      </w:pPr>
      <w:r>
        <w:t xml:space="preserve">Identify 1-2 high-impact use cases (customer support, fulfillment, compliance) for initial agent deployment.</w:t>
      </w:r>
    </w:p>
    <w:p>
      <w:pPr>
        <w:pStyle w:val="ListParagraph"/>
        <w:numPr>
          <w:ilvl w:val="0"/>
          <w:numId w:val="3"/>
        </w:numPr>
        <w:spacing w:after="240"/>
      </w:pPr>
      <w:r>
        <w:t xml:space="preserve">Align with product and business teams on success metrics before engineering begins.</w:t>
      </w:r>
    </w:p>
    <w:p>
      <w:pPr>
        <w:pStyle w:val="Heading2"/>
      </w:pPr>
      <w:r>
        <w:t xml:space="preserve">What We Should NOT Do</w:t>
      </w:r>
    </w:p>
    <w:p>
      <w:pPr>
        <w:pStyle w:val="ListParagraph"/>
        <w:numPr>
          <w:ilvl w:val="0"/>
          <w:numId w:val="2"/>
        </w:numPr>
        <w:spacing w:after="120"/>
      </w:pPr>
      <w:r>
        <w:t xml:space="preserve">Don't chase benchmark scores. Fine-tuning for academic metrics is a distraction; focus on business outcomes.</w:t>
      </w:r>
    </w:p>
    <w:p>
      <w:pPr>
        <w:pStyle w:val="ListParagraph"/>
        <w:numPr>
          <w:ilvl w:val="0"/>
          <w:numId w:val="2"/>
        </w:numPr>
        <w:spacing w:after="120"/>
      </w:pPr>
      <w:r>
        <w:t xml:space="preserve">Don't deploy ungrounded agents. They will hallucinate and destroy user trust. Invest in data infrastructure first.</w:t>
      </w:r>
    </w:p>
    <w:p>
      <w:pPr>
        <w:pStyle w:val="ListParagraph"/>
        <w:numPr>
          <w:ilvl w:val="0"/>
          <w:numId w:val="2"/>
        </w:numPr>
        <w:spacing w:after="120"/>
      </w:pPr>
      <w:r>
        <w:t xml:space="preserve">Don't avoid agent-to-agent patterns. Monolithic agents are harder to debug, test, and iterate. Mesh architectures are the future.</w:t>
      </w:r>
    </w:p>
    <w:p>
      <w:pPr>
        <w:pStyle w:val="ListParagraph"/>
        <w:numPr>
          <w:ilvl w:val="0"/>
          <w:numId w:val="2"/>
        </w:numPr>
        <w:spacing w:after="240"/>
      </w:pPr>
      <w:r>
        <w:t xml:space="preserve">Don't build custom tool adapters. Use MCP. Every proprietary integration is technical debt.</w:t>
      </w:r>
    </w:p>
    <w:p>
      <w:pPr>
        <w:pageBreakBefore/>
      </w:pPr>
      <w:r>
        <w:t xml:space="preserve"/>
      </w:r>
    </w:p>
    <w:p>
      <w:pPr>
        <w:pStyle w:val="Heading1"/>
      </w:pPr>
      <w:r>
        <w:t xml:space="preserve">Appendix: Conference Agenda &amp; Speakers</w:t>
      </w:r>
    </w:p>
    <w:p>
      <w:pPr>
        <w:pStyle w:val="Heading2"/>
      </w:pPr>
      <w:r>
        <w:t xml:space="preserve">Event Details</w:t>
      </w:r>
    </w:p>
    <w:p>
      <w:pPr>
        <w:spacing w:after="120"/>
      </w:pPr>
      <w:r>
        <w:rPr>
          <w:b/>
          <w:bCs/>
        </w:rPr>
        <w:t xml:space="preserve">Event: </w:t>
      </w:r>
      <w:r>
        <w:t xml:space="preserve">Google Cloud "The Agent Advantage"</w:t>
      </w:r>
    </w:p>
    <w:p>
      <w:pPr>
        <w:spacing w:after="120"/>
      </w:pPr>
      <w:r>
        <w:rPr>
          <w:b/>
          <w:bCs/>
        </w:rPr>
        <w:t xml:space="preserve">Location: </w:t>
      </w:r>
      <w:r>
        <w:t xml:space="preserve">Sydney, Australia</w:t>
      </w:r>
    </w:p>
    <w:p>
      <w:pPr>
        <w:spacing w:after="120"/>
      </w:pPr>
      <w:r>
        <w:rPr>
          <w:b/>
          <w:bCs/>
        </w:rPr>
        <w:t xml:space="preserve">Date: </w:t>
      </w:r>
      <w:r>
        <w:t xml:space="preserve">Late March 2026</w:t>
      </w:r>
    </w:p>
    <w:p>
      <w:pPr>
        <w:spacing w:after="240"/>
      </w:pPr>
      <w:r>
        <w:rPr>
          <w:b/>
          <w:bCs/>
        </w:rPr>
        <w:t xml:space="preserve">Format: </w:t>
      </w:r>
      <w:r>
        <w:t xml:space="preserve">Full-day technical conference with speaker presentations and product demonstrations</w:t>
      </w:r>
    </w:p>
    <w:p>
      <w:pPr>
        <w:pStyle w:val="Heading2"/>
      </w:pPr>
      <w:r>
        <w:t xml:space="preserve">Speakers</w:t>
      </w:r>
    </w:p>
    <w:p>
      <w:pPr>
        <w:spacing w:after="100"/>
      </w:pPr>
      <w:r>
        <w:rPr>
          <w:b/>
          <w:bCs/>
        </w:rPr>
        <w:t xml:space="preserve">Rob Cybo</w:t>
      </w:r>
    </w:p>
    <w:p>
      <w:pPr>
        <w:pStyle w:val="ListParagraph"/>
        <w:numPr>
          <w:ilvl w:val="0"/>
          <w:numId w:val="2"/>
        </w:numPr>
        <w:spacing w:after="200"/>
      </w:pPr>
      <w:r>
        <w:rPr>
          <w:b/>
          <w:bCs/>
        </w:rPr>
        <w:t xml:space="preserve">Role: </w:t>
      </w:r>
      <w:r>
        <w:t xml:space="preserve">Google Cloud ML Customer Engineering Lead</w:t>
      </w:r>
    </w:p>
    <w:p>
      <w:pPr>
        <w:pStyle w:val="ListParagraph"/>
        <w:numPr>
          <w:ilvl w:val="0"/>
          <w:numId w:val="2"/>
        </w:numPr>
        <w:spacing w:after="300"/>
      </w:pPr>
      <w:r>
        <w:t xml:space="preserve">Topics: Gemini 3 models, cost and scale, DeepMind research contributions, competitive positioning</w:t>
      </w:r>
    </w:p>
    <w:p>
      <w:pPr>
        <w:spacing w:after="100"/>
      </w:pPr>
      <w:r>
        <w:rPr>
          <w:b/>
          <w:bCs/>
        </w:rPr>
        <w:t xml:space="preserve">Russell Nash</w:t>
      </w:r>
    </w:p>
    <w:p>
      <w:pPr>
        <w:pStyle w:val="ListParagraph"/>
        <w:numPr>
          <w:ilvl w:val="0"/>
          <w:numId w:val="2"/>
        </w:numPr>
        <w:spacing w:after="200"/>
      </w:pPr>
      <w:r>
        <w:rPr>
          <w:b/>
          <w:bCs/>
        </w:rPr>
        <w:t xml:space="preserve">Role: </w:t>
      </w:r>
      <w:r>
        <w:t xml:space="preserve">Google Cloud Data Platform</w:t>
      </w:r>
    </w:p>
    <w:p>
      <w:pPr>
        <w:pStyle w:val="ListParagraph"/>
        <w:numPr>
          <w:ilvl w:val="0"/>
          <w:numId w:val="2"/>
        </w:numPr>
        <w:spacing w:after="300"/>
      </w:pPr>
      <w:r>
        <w:t xml:space="preserve">Topics: Agent grounding (vector DB, graph DB, session memory), MCP standard, case studies</w:t>
      </w:r>
    </w:p>
    <w:p>
      <w:pPr>
        <w:spacing w:after="100"/>
      </w:pPr>
      <w:r>
        <w:rPr>
          <w:b/>
          <w:bCs/>
        </w:rPr>
        <w:t xml:space="preserve">Pedro Correia</w:t>
      </w:r>
    </w:p>
    <w:p>
      <w:pPr>
        <w:pStyle w:val="ListParagraph"/>
        <w:numPr>
          <w:ilvl w:val="0"/>
          <w:numId w:val="2"/>
        </w:numPr>
        <w:spacing w:after="200"/>
      </w:pPr>
      <w:r>
        <w:rPr>
          <w:b/>
          <w:bCs/>
        </w:rPr>
        <w:t xml:space="preserve">Role: </w:t>
      </w:r>
      <w:r>
        <w:t xml:space="preserve">Google Cloud Vertex AI</w:t>
      </w:r>
    </w:p>
    <w:p>
      <w:pPr>
        <w:pStyle w:val="ListParagraph"/>
        <w:numPr>
          <w:ilvl w:val="0"/>
          <w:numId w:val="2"/>
        </w:numPr>
        <w:spacing w:after="300"/>
      </w:pPr>
      <w:r>
        <w:t xml:space="preserve">Topics: Agentic patterns (function calling, agent-to-data, agent-to-agent), production challenges, deployment models</w:t>
      </w:r>
    </w:p>
    <w:p>
      <w:pPr>
        <w:spacing w:after="100"/>
      </w:pPr>
      <w:r>
        <w:rPr>
          <w:b/>
          <w:bCs/>
        </w:rPr>
        <w:t xml:space="preserve">Roger Barnes</w:t>
      </w:r>
    </w:p>
    <w:p>
      <w:pPr>
        <w:pStyle w:val="ListParagraph"/>
        <w:numPr>
          <w:ilvl w:val="0"/>
          <w:numId w:val="2"/>
        </w:numPr>
        <w:spacing w:after="200"/>
      </w:pPr>
      <w:r>
        <w:rPr>
          <w:b/>
          <w:bCs/>
        </w:rPr>
        <w:t xml:space="preserve">Role: </w:t>
      </w:r>
      <w:r>
        <w:t xml:space="preserve">Tally Group — Energy Retail</w:t>
      </w:r>
    </w:p>
    <w:p>
      <w:pPr>
        <w:pStyle w:val="ListParagraph"/>
        <w:numPr>
          <w:ilvl w:val="0"/>
          <w:numId w:val="2"/>
        </w:numPr>
        <w:spacing w:after="300"/>
      </w:pPr>
      <w:r>
        <w:t xml:space="preserve">Topics: Real-world agent deployment, legacy system modernization, customer experience</w:t>
      </w:r>
    </w:p>
    <w:p>
      <w:pPr>
        <w:pStyle w:val="Heading2"/>
      </w:pPr>
      <w:r>
        <w:t xml:space="preserve">Key Takeaways Summary</w:t>
      </w:r>
    </w:p>
    <w:p>
      <w:pPr>
        <w:pStyle w:val="ListParagraph"/>
        <w:numPr>
          <w:ilvl w:val="0"/>
          <w:numId w:val="2"/>
        </w:numPr>
        <w:spacing w:after="120"/>
      </w:pPr>
      <w:r>
        <w:t xml:space="preserve">Agents are becoming the primary unit of business value in enterprise AI.</w:t>
      </w:r>
    </w:p>
    <w:p>
      <w:pPr>
        <w:pStyle w:val="ListParagraph"/>
        <w:numPr>
          <w:ilvl w:val="0"/>
          <w:numId w:val="2"/>
        </w:numPr>
        <w:spacing w:after="120"/>
      </w:pPr>
      <w:r>
        <w:t xml:space="preserve">Cost and capability favor fast deployment cycles: iterate on real data with real users.</w:t>
      </w:r>
    </w:p>
    <w:p>
      <w:pPr>
        <w:pStyle w:val="ListParagraph"/>
        <w:numPr>
          <w:ilvl w:val="0"/>
          <w:numId w:val="2"/>
        </w:numPr>
        <w:spacing w:after="120"/>
      </w:pPr>
      <w:r>
        <w:t xml:space="preserve">Proprietary data + agent design = competitive moat. Model weights do not.</w:t>
      </w:r>
    </w:p>
    <w:p>
      <w:pPr>
        <w:pStyle w:val="ListParagraph"/>
        <w:numPr>
          <w:ilvl w:val="0"/>
          <w:numId w:val="2"/>
        </w:numPr>
        <w:spacing w:after="120"/>
      </w:pPr>
      <w:r>
        <w:t xml:space="preserve">MCP standardization is accelerating; adopt it early to avoid lock-in.</w:t>
      </w:r>
    </w:p>
    <w:p>
      <w:pPr>
        <w:pStyle w:val="ListParagraph"/>
        <w:numPr>
          <w:ilvl w:val="0"/>
          <w:numId w:val="2"/>
        </w:numPr>
        <w:spacing w:after="120"/>
      </w:pPr>
      <w:r>
        <w:t xml:space="preserve">88% of agent projects fail to reach production. Success requires alignment on language, collaboration, and user-first design.</w:t>
      </w:r>
    </w:p>
    <w:p>
      <w:pPr>
        <w:pStyle w:val="ListParagraph"/>
        <w:numPr>
          <w:ilvl w:val="0"/>
          <w:numId w:val="2"/>
        </w:numPr>
        <w:spacing w:after="240"/>
      </w:pPr>
      <w:r>
        <w:t xml:space="preserve">Agent-to-agent meshes are the emerging pattern for complex, compliance-sensitive workflows.</w:t>
      </w:r>
    </w:p>
    <w:p>
      <w:pPr>
        <w:spacing w:after="480"/>
        <w:jc w:val="center"/>
      </w:pPr>
      <w:r>
        <w:t xml:space="preserve">---</w:t>
      </w:r>
    </w:p>
    <w:p>
      <w:pPr>
        <w:spacing w:after="0"/>
        <w:jc w:val="center"/>
      </w:pPr>
      <w:r>
        <w:rPr>
          <w:i/>
          <w:iCs/>
          <w:sz w:val="20"/>
          <w:szCs w:val="20"/>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t xml:space="preserve">Page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pPr>
    <w:r>
      <w:t xml:space="preserve">Agent Advantage Conference — Technical Debrief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E75B6"/>
      <w:sz w:val="32"/>
      <w:szCs w:val="32"/>
    </w:rPr>
  </w:style>
  <w:style w:type="paragraph" w:styleId="Heading2">
    <w:name w:val="Heading 2"/>
    <w:basedOn w:val="Normal"/>
    <w:next w:val="Normal"/>
    <w:qFormat/>
    <w:pPr>
      <w:spacing w:after="100" w:before="1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2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2026-04-10T01:50:43.149Z</dcterms:created>
  <dcterms:modified xsi:type="dcterms:W3CDTF">2026-04-10T01:50:43.150Z</dcterms:modified>
</cp:coreProperties>
</file>

<file path=docProps/custom.xml><?xml version="1.0" encoding="utf-8"?>
<Properties xmlns="http://schemas.openxmlformats.org/officeDocument/2006/custom-properties" xmlns:vt="http://schemas.openxmlformats.org/officeDocument/2006/docPropsVTypes"/>
</file>