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Times New Roman" w:hAnsi="Times New Roman" w:eastAsia="Times New Roman"/>
          <w:b/>
          <w:i w:val="0"/>
          <w:color w:val="000000"/>
          <w:sz w:val="24"/>
        </w:rPr>
        <w:t>Statistical Analysis Tables</w:t>
      </w:r>
    </w:p>
    <w:p>
      <w:pPr>
        <w:spacing w:after="120" w:line="360" w:lineRule="auto"/>
      </w:pPr>
      <w:r>
        <w:rPr>
          <w:rFonts w:ascii="Times New Roman" w:hAnsi="Times New Roman" w:eastAsia="Times New Roman"/>
          <w:b w:val="0"/>
          <w:i/>
          <w:color w:val="000000"/>
          <w:sz w:val="24"/>
        </w:rPr>
        <w:t>A Machine Learning Model for Forecasting Mainshock Magnitudes Using PHIVOLCS Foreshock Data</w:t>
      </w:r>
    </w:p>
    <w:p>
      <w:pPr>
        <w:spacing w:after="120" w:line="360" w:lineRule="auto"/>
      </w:pPr>
      <w:r>
        <w:rPr>
          <w:rFonts w:ascii="Times New Roman" w:hAnsi="Times New Roman" w:eastAsia="Times New Roman"/>
          <w:b w:val="0"/>
          <w:i w:val="0"/>
          <w:color w:val="000000"/>
          <w:sz w:val="24"/>
        </w:rPr>
        <w:t>All tables follow APA 7th-edition format: a bold table number, an italic title in title case, horizontal rules only, and a note beneath the table where interpretation is needed. Every table in this document was generated directly from the source catalogue by the accompanying Python script; no value was entered by hand.</w:t>
      </w:r>
    </w:p>
    <w:p>
      <w:pPr>
        <w:spacing w:after="120" w:line="360" w:lineRule="auto"/>
      </w:pPr>
      <w:r>
        <w:rPr>
          <w:rFonts w:ascii="Times New Roman" w:hAnsi="Times New Roman" w:eastAsia="Times New Roman"/>
          <w:b w:val="0"/>
          <w:i w:val="0"/>
          <w:color w:val="000000"/>
          <w:sz w:val="24"/>
        </w:rPr>
        <w:t>Source data: Earthquake Data Sets.xlsx. Analysis seed: 42. Significance level: α = 0.05.</w:t>
      </w:r>
    </w:p>
    <w:p>
      <w:pPr>
        <w:spacing w:before="360" w:after="120"/>
        <w:jc w:val="center"/>
      </w:pPr>
      <w:r>
        <w:rPr>
          <w:rFonts w:ascii="Times New Roman" w:hAnsi="Times New Roman" w:eastAsia="Times New Roman"/>
          <w:b/>
          <w:i w:val="0"/>
          <w:color w:val="000000"/>
          <w:sz w:val="24"/>
        </w:rPr>
        <w:t>Section A. Data Preparation and Catalogue Description</w:t>
      </w:r>
    </w:p>
    <w:p>
      <w:r>
        <w:br w:type="page"/>
      </w:r>
    </w:p>
    <w:p>
      <w:pPr>
        <w:spacing w:after="0"/>
      </w:pPr>
      <w:r>
        <w:rPr>
          <w:rFonts w:ascii="Times New Roman" w:hAnsi="Times New Roman" w:eastAsia="Times New Roman"/>
          <w:b/>
          <w:i w:val="0"/>
          <w:color w:val="000000"/>
          <w:sz w:val="24"/>
        </w:rPr>
        <w:t>Table 1</w:t>
      </w:r>
    </w:p>
    <w:p>
      <w:pPr>
        <w:spacing w:after="160"/>
      </w:pPr>
      <w:r>
        <w:rPr>
          <w:rFonts w:ascii="Times New Roman" w:hAnsi="Times New Roman" w:eastAsia="Times New Roman"/>
          <w:b w:val="0"/>
          <w:i/>
          <w:color w:val="000000"/>
          <w:sz w:val="24"/>
        </w:rPr>
        <w:t>Profile of the PHIVOLCS Earthquake Catalogue After Cleaning</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Catalogue attribute</w:t>
            </w:r>
          </w:p>
        </w:tc>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in source workbook</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18,338</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retained after cleaning</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Retention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96.3%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First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Mar 1907 20:46:30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08 Jun 2026 00:55:12</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Temporal span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119.2 years</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annual event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148.2 events/year</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Latitude range (°N)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 to 22.00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Longitude range (°E)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116.30 to 133.00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range (km)</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 to 700.0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range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 to 8.3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5.0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3,607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6.0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445</w:t>
            </w:r>
          </w:p>
        </w:tc>
      </w:tr>
      <w:tr>
        <w:tc>
          <w:tcPr>
            <w:tcW w:type="dxa" w:w="56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Events M ≥ 7.0</w:t>
            </w:r>
          </w:p>
        </w:tc>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Working magnitude is the first available scale in the order Mw &gt; Ms &gt; Mb &gt; Ml. The catalogue is an event list, not a uniformly complete record; detection capability improves markedly after the 1970s (see Table 8).</w:t>
      </w:r>
    </w:p>
    <w:p>
      <w:r>
        <w:br w:type="page"/>
      </w:r>
    </w:p>
    <w:p>
      <w:pPr>
        <w:spacing w:after="0"/>
      </w:pPr>
      <w:r>
        <w:rPr>
          <w:rFonts w:ascii="Times New Roman" w:hAnsi="Times New Roman" w:eastAsia="Times New Roman"/>
          <w:b/>
          <w:i w:val="0"/>
          <w:color w:val="000000"/>
          <w:sz w:val="24"/>
        </w:rPr>
        <w:t>Table 2</w:t>
      </w:r>
    </w:p>
    <w:p>
      <w:pPr>
        <w:spacing w:after="160"/>
      </w:pPr>
      <w:r>
        <w:rPr>
          <w:rFonts w:ascii="Times New Roman" w:hAnsi="Times New Roman" w:eastAsia="Times New Roman"/>
          <w:b w:val="0"/>
          <w:i/>
          <w:color w:val="000000"/>
          <w:sz w:val="24"/>
        </w:rPr>
        <w:t>Data-Cleaning Audit Trail</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5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Step</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before</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Removed</w:t>
            </w:r>
          </w:p>
        </w:tc>
        <w:tc>
          <w:tcPr>
            <w:tcW w:type="dxa" w:w="130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retained</w:t>
            </w:r>
          </w:p>
        </w:tc>
        <w:tc>
          <w:tcPr>
            <w:tcW w:type="dxa" w:w="37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Note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extracted from workbook</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Banner and repeated header rows removed</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 origin date/time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Year/month/day must form a real calendar date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Epicentre inside study region</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 0.0-25.0, lon 110.0-140.0</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Hypocentral depth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0-750 km</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At least one reported magnitude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mb, Ms or Mw present</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policy = 'hierarchy', preference Mw &gt; Ms &gt; Mb &gt; Ml</w:t>
            </w:r>
          </w:p>
        </w:tc>
      </w:tr>
      <w:tr>
        <w:tc>
          <w:tcPr>
            <w:tcW w:type="dxa" w:w="25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Duplicate origins collapsed</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671</w:t>
            </w:r>
          </w:p>
        </w:tc>
        <w:tc>
          <w:tcPr>
            <w:tcW w:type="dxa" w:w="130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37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within 1 s and 1 km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Rules were applied in the order shown. A record removed by an earlier rule is not re-tested by a later one, so the counts sum to the retained total.</w:t>
      </w:r>
    </w:p>
    <w:p>
      <w:r>
        <w:br w:type="page"/>
      </w:r>
    </w:p>
    <w:p>
      <w:pPr>
        <w:spacing w:after="0"/>
      </w:pPr>
      <w:r>
        <w:rPr>
          <w:rFonts w:ascii="Times New Roman" w:hAnsi="Times New Roman" w:eastAsia="Times New Roman"/>
          <w:b/>
          <w:i w:val="0"/>
          <w:color w:val="000000"/>
          <w:sz w:val="24"/>
        </w:rPr>
        <w:t>Table 3</w:t>
      </w:r>
    </w:p>
    <w:p>
      <w:pPr>
        <w:spacing w:after="160"/>
      </w:pPr>
      <w:r>
        <w:rPr>
          <w:rFonts w:ascii="Times New Roman" w:hAnsi="Times New Roman" w:eastAsia="Times New Roman"/>
          <w:b w:val="0"/>
          <w:i/>
          <w:color w:val="000000"/>
          <w:sz w:val="24"/>
        </w:rPr>
        <w:t>Availability and Distribution of the Four Reported Magnitude Scales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12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scale</w:t>
            </w:r>
          </w:p>
        </w:tc>
        <w:tc>
          <w:tcPr>
            <w:tcW w:type="dxa" w:w="80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reported</w:t>
            </w:r>
          </w:p>
        </w:tc>
        <w:tc>
          <w:tcPr>
            <w:tcW w:type="dxa" w:w="11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c>
          <w:tcPr>
            <w:tcW w:type="dxa" w:w="20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adopted as working scale</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Skew</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Kurt</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8,288</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46.9</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4.35</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2.57</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6,824</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38.6</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5.23</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6.09</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11,899</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67.4</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6.29</w:t>
            </w:r>
          </w:p>
        </w:tc>
      </w:tr>
      <w:tr>
        <w:tc>
          <w:tcPr>
            <w:tcW w:type="dxa" w:w="12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80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11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5.1</w:t>
            </w:r>
          </w:p>
        </w:tc>
        <w:tc>
          <w:tcPr>
            <w:tcW w:type="dxa" w:w="208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1.01</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reported counts events for which the scale is populated; n adopted counts events for which it became the working magnitude. Ml saturates near M 6.5 and mb near M 6.0, which is why Mw and Ms take precedence.</w:t>
      </w:r>
    </w:p>
    <w:p>
      <w:r>
        <w:br w:type="page"/>
      </w:r>
    </w:p>
    <w:p>
      <w:pPr>
        <w:spacing w:after="0"/>
      </w:pPr>
      <w:r>
        <w:rPr>
          <w:rFonts w:ascii="Times New Roman" w:hAnsi="Times New Roman" w:eastAsia="Times New Roman"/>
          <w:b/>
          <w:i w:val="0"/>
          <w:color w:val="000000"/>
          <w:sz w:val="24"/>
        </w:rPr>
        <w:t>Table 4</w:t>
      </w:r>
    </w:p>
    <w:p>
      <w:pPr>
        <w:spacing w:after="160"/>
      </w:pPr>
      <w:r>
        <w:rPr>
          <w:rFonts w:ascii="Times New Roman" w:hAnsi="Times New Roman" w:eastAsia="Times New Roman"/>
          <w:b w:val="0"/>
          <w:i/>
          <w:color w:val="000000"/>
          <w:sz w:val="24"/>
        </w:rPr>
        <w:t>Co-Reporting of Magnitude Scales Within the Catalogue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4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Scales reported together</w:t>
            </w:r>
          </w:p>
        </w:tc>
        <w:tc>
          <w:tcPr>
            <w:tcW w:type="dxa" w:w="16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events</w:t>
            </w:r>
          </w:p>
        </w:tc>
        <w:tc>
          <w:tcPr>
            <w:tcW w:type="dxa" w:w="28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6,725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5,073</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1,729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 + 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6.23e-02</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5.66e-03</w:t>
            </w:r>
          </w:p>
        </w:tc>
      </w:tr>
      <w:tr>
        <w:tc>
          <w:tcPr>
            <w:tcW w:type="dxa" w:w="4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Ml + Mw</w:t>
            </w:r>
          </w:p>
        </w:tc>
        <w:tc>
          <w:tcPr>
            <w:tcW w:type="dxa" w:w="16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5.66e-03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Mw is co-reported with another scale for very few events, which is the reason no catalogue-wide conversion to Mw was attempted (see Table 5).</w:t>
      </w:r>
    </w:p>
    <w:p>
      <w:r>
        <w:br w:type="page"/>
      </w:r>
    </w:p>
    <w:p>
      <w:pPr>
        <w:spacing w:after="0"/>
      </w:pPr>
      <w:r>
        <w:rPr>
          <w:rFonts w:ascii="Times New Roman" w:hAnsi="Times New Roman" w:eastAsia="Times New Roman"/>
          <w:b/>
          <w:i w:val="0"/>
          <w:color w:val="000000"/>
          <w:sz w:val="24"/>
        </w:rPr>
        <w:t>Table 5</w:t>
      </w:r>
    </w:p>
    <w:p>
      <w:pPr>
        <w:spacing w:after="160"/>
      </w:pPr>
      <w:r>
        <w:rPr>
          <w:rFonts w:ascii="Times New Roman" w:hAnsi="Times New Roman" w:eastAsia="Times New Roman"/>
          <w:b w:val="0"/>
          <w:i/>
          <w:color w:val="000000"/>
          <w:sz w:val="24"/>
        </w:rPr>
        <w:t>Orthogonal Regression Relations Between Magnitude Scales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Predictor</w:t>
            </w:r>
          </w:p>
        </w:tc>
        <w:tc>
          <w:tcPr>
            <w:tcW w:type="dxa" w:w="12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Response</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Slope</w:t>
            </w:r>
          </w:p>
        </w:tc>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Intercept</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SEE</w:t>
            </w:r>
          </w:p>
        </w:tc>
        <w:tc>
          <w:tcPr>
            <w:tcW w:type="dxa" w:w="16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Usable</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0.971</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0.162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1.338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0.908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0.213</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5,122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1.468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2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0.988</w:t>
            </w:r>
          </w:p>
        </w:tc>
        <w:tc>
          <w:tcPr>
            <w:tcW w:type="dxa" w:w="13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0.095</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0.869</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0.242</w:t>
            </w:r>
          </w:p>
        </w:tc>
        <w:tc>
          <w:tcPr>
            <w:tcW w:type="dxa" w:w="16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Yes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Major-axis (orthogonal) regression of the response on the predictor, fitted on events reporting both scales. SEE = standard error of the estimate. Relations involving Mw rest on too few co-reported events to support catalogue-wide homogenisation, and were not applied.</w:t>
      </w:r>
    </w:p>
    <w:p>
      <w:r>
        <w:br w:type="page"/>
      </w:r>
    </w:p>
    <w:p>
      <w:pPr>
        <w:spacing w:after="0"/>
      </w:pPr>
      <w:r>
        <w:rPr>
          <w:rFonts w:ascii="Times New Roman" w:hAnsi="Times New Roman" w:eastAsia="Times New Roman"/>
          <w:b/>
          <w:i w:val="0"/>
          <w:color w:val="000000"/>
          <w:sz w:val="24"/>
        </w:rPr>
        <w:t>Table 6</w:t>
      </w:r>
    </w:p>
    <w:p>
      <w:pPr>
        <w:spacing w:after="160"/>
      </w:pPr>
      <w:r>
        <w:rPr>
          <w:rFonts w:ascii="Times New Roman" w:hAnsi="Times New Roman" w:eastAsia="Times New Roman"/>
          <w:b w:val="0"/>
          <w:i/>
          <w:color w:val="000000"/>
          <w:sz w:val="24"/>
        </w:rPr>
        <w:t>Descriptive Statistics for the Principal Seismic Parameters</w:t>
      </w:r>
    </w:p>
    <w:tbl>
      <w:tblPr>
        <w:tblW w:type="auto" w:w="0"/>
        <w:jc w:val="center"/>
        <w:tblLayout w:type="fixed"/>
        <w:tblLook w:firstColumn="1" w:firstRow="1" w:lastColumn="0" w:lastRow="0" w:noHBand="0" w:noVBand="1" w:val="04A0"/>
        <w:tblLayout w:type="fixed"/>
      </w:tblPr>
      <w:tblGrid>
        <w:gridCol w:w="585"/>
        <w:gridCol w:w="585"/>
        <w:gridCol w:w="585"/>
        <w:gridCol w:w="585"/>
        <w:gridCol w:w="585"/>
        <w:gridCol w:w="585"/>
        <w:gridCol w:w="585"/>
        <w:gridCol w:w="585"/>
        <w:gridCol w:w="585"/>
        <w:gridCol w:w="585"/>
        <w:gridCol w:w="585"/>
        <w:gridCol w:w="585"/>
        <w:gridCol w:w="585"/>
        <w:gridCol w:w="585"/>
        <w:gridCol w:w="585"/>
        <w:gridCol w:w="585"/>
      </w:tblGrid>
      <w:tr>
        <w:trPr>
          <w:tblHeader w:val="true"/>
        </w:trPr>
        <w:tc>
          <w:tcPr>
            <w:tcW w:type="dxa" w:w="147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w:t>
            </w:r>
          </w:p>
        </w:tc>
        <w:tc>
          <w:tcPr>
            <w:tcW w:type="dxa" w:w="53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LL</w:t>
            </w:r>
          </w:p>
        </w:tc>
        <w:tc>
          <w:tcPr>
            <w:tcW w:type="dxa" w:w="53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UL</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Mdn</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Range</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Q1</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Q3</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IQR</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w:t>
            </w:r>
          </w:p>
        </w:tc>
        <w:tc>
          <w:tcPr>
            <w:tcW w:type="dxa" w:w="5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w:t>
            </w:r>
          </w:p>
        </w:tc>
      </w:tr>
      <w:tr>
        <w:tc>
          <w:tcPr>
            <w:tcW w:type="dxa" w:w="147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(working scale)</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4.569</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0.548</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w:t>
            </w:r>
          </w:p>
        </w:tc>
        <w:tc>
          <w:tcPr>
            <w:tcW w:type="dxa" w:w="53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4.561</w:t>
            </w:r>
          </w:p>
        </w:tc>
        <w:tc>
          <w:tcPr>
            <w:tcW w:type="dxa" w:w="53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4.577</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r>
      <w:tr>
        <w:tc>
          <w:tcPr>
            <w:tcW w:type="dxa" w:w="147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Focal depth (km)</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54.899</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86.340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0.650</w:t>
            </w:r>
          </w:p>
        </w:tc>
        <w:tc>
          <w:tcPr>
            <w:tcW w:type="dxa" w:w="53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53.626</w:t>
            </w:r>
          </w:p>
        </w:tc>
        <w:tc>
          <w:tcPr>
            <w:tcW w:type="dxa" w:w="53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56.172</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33.000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59.000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r>
      <w:tr>
        <w:tc>
          <w:tcPr>
            <w:tcW w:type="dxa" w:w="147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 (°N)</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9.984</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4.862</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0.037</w:t>
            </w:r>
          </w:p>
        </w:tc>
        <w:tc>
          <w:tcPr>
            <w:tcW w:type="dxa" w:w="53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9.913</w:t>
            </w:r>
          </w:p>
        </w:tc>
        <w:tc>
          <w:tcPr>
            <w:tcW w:type="dxa" w:w="53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10.056</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6.000</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13.377</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7.377</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5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r>
      <w:tr>
        <w:tc>
          <w:tcPr>
            <w:tcW w:type="dxa" w:w="147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Longitude (°E)</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124.652</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2.545</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53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124.614</w:t>
            </w:r>
          </w:p>
        </w:tc>
        <w:tc>
          <w:tcPr>
            <w:tcW w:type="dxa" w:w="53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124.689</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125.619</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116.300</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133.000</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16.700</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122.360</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126.621</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4.261</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5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-0.805</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CI = confidence interval for the mean. Skewness and kurtosis are bias-corrected; for a normal distribution both approach zero.</w:t>
      </w:r>
    </w:p>
    <w:p>
      <w:pPr>
        <w:spacing w:before="360" w:after="120"/>
        <w:jc w:val="center"/>
      </w:pPr>
      <w:r>
        <w:rPr>
          <w:rFonts w:ascii="Times New Roman" w:hAnsi="Times New Roman" w:eastAsia="Times New Roman"/>
          <w:b/>
          <w:i w:val="0"/>
          <w:color w:val="000000"/>
          <w:sz w:val="24"/>
        </w:rPr>
        <w:t>Section B. Frequency Distributions</w:t>
      </w:r>
    </w:p>
    <w:p>
      <w:r>
        <w:br w:type="page"/>
      </w:r>
    </w:p>
    <w:p>
      <w:pPr>
        <w:spacing w:after="0"/>
      </w:pPr>
      <w:r>
        <w:rPr>
          <w:rFonts w:ascii="Times New Roman" w:hAnsi="Times New Roman" w:eastAsia="Times New Roman"/>
          <w:b/>
          <w:i w:val="0"/>
          <w:color w:val="000000"/>
          <w:sz w:val="24"/>
        </w:rPr>
        <w:t>Table 7</w:t>
      </w:r>
    </w:p>
    <w:p>
      <w:pPr>
        <w:spacing w:after="160"/>
      </w:pPr>
      <w:r>
        <w:rPr>
          <w:rFonts w:ascii="Times New Roman" w:hAnsi="Times New Roman" w:eastAsia="Times New Roman"/>
          <w:b w:val="0"/>
          <w:i/>
          <w:color w:val="000000"/>
          <w:sz w:val="24"/>
        </w:rPr>
        <w:t>Frequency Distribution of Events by Magnitude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211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24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28.2</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79.6</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99.5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w:t>
            </w:r>
          </w:p>
        </w:tc>
      </w:tr>
      <w:tr>
        <w:tc>
          <w:tcPr>
            <w:tcW w:type="dxa" w:w="26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211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24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Class boundaries begin at the catalogue's own reporting threshold. No event in the workbook carries a working magnitude below M 4.0, so the conventional micro and minor classes are empty by construction.</w:t>
      </w:r>
    </w:p>
    <w:p>
      <w:r>
        <w:br w:type="page"/>
      </w:r>
    </w:p>
    <w:p>
      <w:pPr>
        <w:spacing w:after="0"/>
      </w:pPr>
      <w:r>
        <w:rPr>
          <w:rFonts w:ascii="Times New Roman" w:hAnsi="Times New Roman" w:eastAsia="Times New Roman"/>
          <w:b/>
          <w:i w:val="0"/>
          <w:color w:val="000000"/>
          <w:sz w:val="24"/>
        </w:rPr>
        <w:t>Table 8</w:t>
      </w:r>
    </w:p>
    <w:p>
      <w:pPr>
        <w:spacing w:after="160"/>
      </w:pPr>
      <w:r>
        <w:rPr>
          <w:rFonts w:ascii="Times New Roman" w:hAnsi="Times New Roman" w:eastAsia="Times New Roman"/>
          <w:b w:val="0"/>
          <w:i/>
          <w:color w:val="000000"/>
          <w:sz w:val="24"/>
        </w:rPr>
        <w:t>Recorded Seismicity by Decade</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80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Decade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c>
          <w:tcPr>
            <w:tcW w:type="dxa" w:w="14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 (M ≥ 6.0)</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2.83e-02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6.79e-02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1920s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1930s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1940s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1950s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1960s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1970s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2,316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1980s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1990s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15.3</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2,265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7.5</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3,517</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w:t>
            </w:r>
          </w:p>
        </w:tc>
      </w:tr>
      <w:tr>
        <w:tc>
          <w:tcPr>
            <w:tcW w:type="dxa" w:w="8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2020s</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4,016</w:t>
            </w:r>
          </w:p>
        </w:tc>
        <w:tc>
          <w:tcPr>
            <w:tcW w:type="dxa" w:w="10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22.7</w:t>
            </w:r>
          </w:p>
        </w:tc>
        <w:tc>
          <w:tcPr>
            <w:tcW w:type="dxa" w:w="1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0.48</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19.0</w:t>
            </w:r>
          </w:p>
        </w:tc>
        <w:tc>
          <w:tcPr>
            <w:tcW w:type="dxa" w:w="14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rise in recorded events tracks the expansion of the PHIVOLCS seismic network. Decadal counts are therefore a measure of observation, and any temporal trend must be read with that in mind.</w:t>
      </w:r>
    </w:p>
    <w:p>
      <w:r>
        <w:br w:type="page"/>
      </w:r>
    </w:p>
    <w:p>
      <w:pPr>
        <w:spacing w:after="0"/>
      </w:pPr>
      <w:r>
        <w:rPr>
          <w:rFonts w:ascii="Times New Roman" w:hAnsi="Times New Roman" w:eastAsia="Times New Roman"/>
          <w:b/>
          <w:i w:val="0"/>
          <w:color w:val="000000"/>
          <w:sz w:val="24"/>
        </w:rPr>
        <w:t>Table 9</w:t>
      </w:r>
    </w:p>
    <w:p>
      <w:pPr>
        <w:spacing w:after="160"/>
      </w:pPr>
      <w:r>
        <w:rPr>
          <w:rFonts w:ascii="Times New Roman" w:hAnsi="Times New Roman" w:eastAsia="Times New Roman"/>
          <w:b w:val="0"/>
          <w:i/>
          <w:color w:val="000000"/>
          <w:sz w:val="24"/>
        </w:rPr>
        <w:t>Frequency Distribution of Events by Hypocentral Depth Class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0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Depth class</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16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4.66</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r>
      <w:tr>
        <w:tc>
          <w:tcPr>
            <w:tcW w:type="dxa" w:w="30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16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Depth classes follow the USGS convention. Shallow events dominate and carry the greatest surface hazard for a given magnitude.</w:t>
      </w:r>
    </w:p>
    <w:p>
      <w:r>
        <w:br w:type="page"/>
      </w:r>
    </w:p>
    <w:p>
      <w:pPr>
        <w:spacing w:after="0"/>
      </w:pPr>
      <w:r>
        <w:rPr>
          <w:rFonts w:ascii="Times New Roman" w:hAnsi="Times New Roman" w:eastAsia="Times New Roman"/>
          <w:b/>
          <w:i w:val="0"/>
          <w:color w:val="000000"/>
          <w:sz w:val="24"/>
        </w:rPr>
        <w:t>Table 10</w:t>
      </w:r>
    </w:p>
    <w:p>
      <w:pPr>
        <w:spacing w:after="160"/>
      </w:pPr>
      <w:r>
        <w:rPr>
          <w:rFonts w:ascii="Times New Roman" w:hAnsi="Times New Roman" w:eastAsia="Times New Roman"/>
          <w:b w:val="0"/>
          <w:i/>
          <w:color w:val="000000"/>
          <w:sz w:val="24"/>
        </w:rPr>
        <w:t>Cross-Tabulation of Magnitude Class by Hypocentral Depth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87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9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299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7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c>
          <w:tcPr>
            <w:tcW w:type="dxa" w:w="7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7,535 (83.0%)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1,385 (15.3%)</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154 (1.7%)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3,838 (77.0%)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1,032 (20.7%)</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 (2.3%)</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1,770 (72.2%)</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593 (24.2%)</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87 (3.6%)</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529 (74.3%)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157 (22.1%)</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26 (3.7%)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 (67.3%)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88 (24.6%)</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(8.1%)</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r>
      <w:tr>
        <w:tc>
          <w:tcPr>
            <w:tcW w:type="dxa" w:w="187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9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70 (80.5%)</w:t>
            </w:r>
          </w:p>
        </w:tc>
        <w:tc>
          <w:tcPr>
            <w:tcW w:type="dxa" w:w="299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12 (13.8%)</w:t>
            </w:r>
          </w:p>
        </w:tc>
        <w:tc>
          <w:tcPr>
            <w:tcW w:type="dxa" w:w="17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5 (5.7%)</w:t>
            </w:r>
          </w:p>
        </w:tc>
        <w:tc>
          <w:tcPr>
            <w:tcW w:type="dxa" w:w="7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counts with row percentages in parentheses.</w:t>
      </w:r>
    </w:p>
    <w:p>
      <w:pPr>
        <w:spacing w:before="360" w:after="120"/>
        <w:jc w:val="center"/>
      </w:pPr>
      <w:r>
        <w:rPr>
          <w:rFonts w:ascii="Times New Roman" w:hAnsi="Times New Roman" w:eastAsia="Times New Roman"/>
          <w:b/>
          <w:i w:val="0"/>
          <w:color w:val="000000"/>
          <w:sz w:val="24"/>
        </w:rPr>
        <w:t>Section C. Inferential Statistics</w:t>
      </w:r>
    </w:p>
    <w:p>
      <w:r>
        <w:br w:type="page"/>
      </w:r>
    </w:p>
    <w:p>
      <w:pPr>
        <w:spacing w:after="0"/>
      </w:pPr>
      <w:r>
        <w:rPr>
          <w:rFonts w:ascii="Times New Roman" w:hAnsi="Times New Roman" w:eastAsia="Times New Roman"/>
          <w:b/>
          <w:i w:val="0"/>
          <w:color w:val="000000"/>
          <w:sz w:val="24"/>
        </w:rPr>
        <w:t>Table 11</w:t>
      </w:r>
    </w:p>
    <w:p>
      <w:pPr>
        <w:spacing w:after="160"/>
      </w:pPr>
      <w:r>
        <w:rPr>
          <w:rFonts w:ascii="Times New Roman" w:hAnsi="Times New Roman" w:eastAsia="Times New Roman"/>
          <w:b w:val="0"/>
          <w:i/>
          <w:color w:val="000000"/>
          <w:sz w:val="24"/>
        </w:rPr>
        <w:t>Tests of Normality for the Seismic Parameters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7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12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Shapiro–Wilk W</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(S–W)</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D'Agostino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K–S D</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Skewness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Kurtosis</w:t>
            </w:r>
          </w:p>
        </w:tc>
        <w:tc>
          <w:tcPr>
            <w:tcW w:type="dxa" w:w="166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Decision at α = .05</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0.870</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5,629.128</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Depth</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15,187.427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0.959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1,313.382</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Longitude</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2,424.487</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-0.805</w:t>
            </w:r>
          </w:p>
        </w:tc>
        <w:tc>
          <w:tcPr>
            <w:tcW w:type="dxa" w:w="166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Shapiro–Wilk is computed on a random subsample of 5,000 events, the largest n for which the statistic is defined. All four variables depart from normality, which is why rank-based tests are reported alongside parametric ones throughout.</w:t>
      </w:r>
    </w:p>
    <w:p>
      <w:r>
        <w:br w:type="page"/>
      </w:r>
    </w:p>
    <w:p>
      <w:pPr>
        <w:spacing w:after="0"/>
      </w:pPr>
      <w:r>
        <w:rPr>
          <w:rFonts w:ascii="Times New Roman" w:hAnsi="Times New Roman" w:eastAsia="Times New Roman"/>
          <w:b/>
          <w:i w:val="0"/>
          <w:color w:val="000000"/>
          <w:sz w:val="24"/>
        </w:rPr>
        <w:t>Table 12</w:t>
      </w:r>
    </w:p>
    <w:p>
      <w:pPr>
        <w:spacing w:after="160"/>
      </w:pPr>
      <w:r>
        <w:rPr>
          <w:rFonts w:ascii="Times New Roman" w:hAnsi="Times New Roman" w:eastAsia="Times New Roman"/>
          <w:b w:val="0"/>
          <w:i/>
          <w:color w:val="000000"/>
          <w:sz w:val="24"/>
        </w:rPr>
        <w:t>Pearson Correlation Matrix for the Seismic Parameters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7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1</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2</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3</w:t>
            </w:r>
          </w:p>
        </w:tc>
        <w:tc>
          <w:tcPr>
            <w:tcW w:type="dxa" w:w="133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4</w:t>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Magnitude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Depth</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.122***</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Latitude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4. Longitude</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-.010</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.028***</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-.728***</w:t>
            </w:r>
          </w:p>
        </w:tc>
        <w:tc>
          <w:tcPr>
            <w:tcW w:type="dxa" w:w="133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 p &lt; .05. ** p &lt; .01. *** p &lt; .001. Leading zeros are omitted.</w:t>
      </w:r>
    </w:p>
    <w:p>
      <w:r>
        <w:br w:type="page"/>
      </w:r>
    </w:p>
    <w:p>
      <w:pPr>
        <w:spacing w:after="0"/>
      </w:pPr>
      <w:r>
        <w:rPr>
          <w:rFonts w:ascii="Times New Roman" w:hAnsi="Times New Roman" w:eastAsia="Times New Roman"/>
          <w:b/>
          <w:i w:val="0"/>
          <w:color w:val="000000"/>
          <w:sz w:val="24"/>
        </w:rPr>
        <w:t>Table 13</w:t>
      </w:r>
    </w:p>
    <w:p>
      <w:pPr>
        <w:spacing w:after="160"/>
      </w:pPr>
      <w:r>
        <w:rPr>
          <w:rFonts w:ascii="Times New Roman" w:hAnsi="Times New Roman" w:eastAsia="Times New Roman"/>
          <w:b w:val="0"/>
          <w:i/>
          <w:color w:val="000000"/>
          <w:sz w:val="24"/>
        </w:rPr>
        <w:t>Pairwise Associations Among the Seismic Parameters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3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 pair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1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r²</w:t>
            </w:r>
          </w:p>
        </w:tc>
        <w:tc>
          <w:tcPr>
            <w:tcW w:type="dxa" w:w="180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 (Cohen)</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Depth</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9.807e-04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-.010</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.175</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.007</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.372</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1.042e-04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8.040e-04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Latitude – Longitude</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-.676</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.530</w:t>
            </w:r>
          </w:p>
        </w:tc>
        <w:tc>
          <w:tcPr>
            <w:tcW w:type="dxa" w:w="180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Large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With N in the tens of thousands nearly every association is statistically significant; r² and the strength label, not p, carry the practical meaning.</w:t>
      </w:r>
    </w:p>
    <w:p>
      <w:r>
        <w:br w:type="page"/>
      </w:r>
    </w:p>
    <w:p>
      <w:pPr>
        <w:spacing w:after="0"/>
      </w:pPr>
      <w:r>
        <w:rPr>
          <w:rFonts w:ascii="Times New Roman" w:hAnsi="Times New Roman" w:eastAsia="Times New Roman"/>
          <w:b/>
          <w:i w:val="0"/>
          <w:color w:val="000000"/>
          <w:sz w:val="24"/>
        </w:rPr>
        <w:t>Table 14</w:t>
      </w:r>
    </w:p>
    <w:p>
      <w:pPr>
        <w:spacing w:after="160"/>
      </w:pPr>
      <w:r>
        <w:rPr>
          <w:rFonts w:ascii="Times New Roman" w:hAnsi="Times New Roman" w:eastAsia="Times New Roman"/>
          <w:b w:val="0"/>
          <w:i/>
          <w:color w:val="000000"/>
          <w:sz w:val="24"/>
        </w:rPr>
        <w:t>Magnitude by Depth Class: Group Descriptive Statistics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Group</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4.541</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0.538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4.658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0.554</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7.800</w:t>
            </w:r>
          </w:p>
        </w:tc>
      </w:tr>
      <w:tr>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4.831</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0.683</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4.700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7.300</w:t>
            </w:r>
          </w:p>
        </w:tc>
      </w:tr>
    </w:tbl>
    <w:p>
      <w:r>
        <w:br w:type="page"/>
      </w:r>
    </w:p>
    <w:p>
      <w:pPr>
        <w:spacing w:after="0"/>
      </w:pPr>
      <w:r>
        <w:rPr>
          <w:rFonts w:ascii="Times New Roman" w:hAnsi="Times New Roman" w:eastAsia="Times New Roman"/>
          <w:b/>
          <w:i w:val="0"/>
          <w:color w:val="000000"/>
          <w:sz w:val="24"/>
        </w:rPr>
        <w:t>Table 15</w:t>
      </w:r>
    </w:p>
    <w:p>
      <w:pPr>
        <w:spacing w:after="160"/>
      </w:pPr>
      <w:r>
        <w:rPr>
          <w:rFonts w:ascii="Times New Roman" w:hAnsi="Times New Roman" w:eastAsia="Times New Roman"/>
          <w:b w:val="0"/>
          <w:i/>
          <w:color w:val="000000"/>
          <w:sz w:val="24"/>
        </w:rPr>
        <w:t>Omnibus Tests of Magnitude Differences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33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91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Statistic</w:t>
            </w:r>
          </w:p>
        </w:tc>
        <w:tc>
          <w:tcPr>
            <w:tcW w:type="dxa" w:w="91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Effect size</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 index</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Levene (median-centred)</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26.038</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Variances unequal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One-way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110.225</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η²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91.350</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2, 1048.9</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ω²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Kruskal–Wallis H</w:t>
            </w:r>
          </w:p>
        </w:tc>
        <w:tc>
          <w:tcPr>
            <w:tcW w:type="dxa" w:w="91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244.707</w:t>
            </w:r>
          </w:p>
        </w:tc>
        <w:tc>
          <w:tcPr>
            <w:tcW w:type="dxa" w:w="91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0.014</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ε²</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Small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Levene's test rejects homogeneity of variance, so Welch's ANOVA and the Kruskal–Wallis test are the defensible omnibus results; the classical F is reported only for comparison.</w:t>
      </w:r>
    </w:p>
    <w:p>
      <w:r>
        <w:br w:type="page"/>
      </w:r>
    </w:p>
    <w:p>
      <w:pPr>
        <w:spacing w:after="0"/>
      </w:pPr>
      <w:r>
        <w:rPr>
          <w:rFonts w:ascii="Times New Roman" w:hAnsi="Times New Roman" w:eastAsia="Times New Roman"/>
          <w:b/>
          <w:i w:val="0"/>
          <w:color w:val="000000"/>
          <w:sz w:val="24"/>
        </w:rPr>
        <w:t>Table 16</w:t>
      </w:r>
    </w:p>
    <w:p>
      <w:pPr>
        <w:spacing w:after="160"/>
      </w:pPr>
      <w:r>
        <w:rPr>
          <w:rFonts w:ascii="Times New Roman" w:hAnsi="Times New Roman" w:eastAsia="Times New Roman"/>
          <w:b w:val="0"/>
          <w:i/>
          <w:color w:val="000000"/>
          <w:sz w:val="24"/>
        </w:rPr>
        <w:t>Dunn's Post Hoc Comparisons of Magnitude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67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1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 difference</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(Bonferroni)</w:t>
            </w:r>
          </w:p>
        </w:tc>
        <w:tc>
          <w:tcPr>
            <w:tcW w:type="dxa" w:w="7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Cliff's δ</w:t>
            </w:r>
          </w:p>
        </w:tc>
        <w:tc>
          <w:tcPr>
            <w:tcW w:type="dxa" w:w="89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Intermediate (70-300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-1,274.506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-12.908</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-.143</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Deep (&gt;300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-2,466.875</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-9.769</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Intermediate (70-300 km) vs. Deep (&gt;300 km)</w:t>
            </w:r>
          </w:p>
        </w:tc>
        <w:tc>
          <w:tcPr>
            <w:tcW w:type="dxa" w:w="1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-1,192.369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-4.512</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89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 values are Bonferroni-adjusted for the number of pairwise comparisons. Cliff's δ is a non-parametric effect size bounded by ±1.</w:t>
      </w:r>
    </w:p>
    <w:p>
      <w:r>
        <w:br w:type="page"/>
      </w:r>
    </w:p>
    <w:p>
      <w:pPr>
        <w:spacing w:after="0"/>
      </w:pPr>
      <w:r>
        <w:rPr>
          <w:rFonts w:ascii="Times New Roman" w:hAnsi="Times New Roman" w:eastAsia="Times New Roman"/>
          <w:b/>
          <w:i w:val="0"/>
          <w:color w:val="000000"/>
          <w:sz w:val="24"/>
        </w:rPr>
        <w:t>Table 17</w:t>
      </w:r>
    </w:p>
    <w:p>
      <w:pPr>
        <w:spacing w:after="160"/>
      </w:pPr>
      <w:r>
        <w:rPr>
          <w:rFonts w:ascii="Times New Roman" w:hAnsi="Times New Roman" w:eastAsia="Times New Roman"/>
          <w:b w:val="0"/>
          <w:i/>
          <w:color w:val="000000"/>
          <w:sz w:val="24"/>
        </w:rPr>
        <w:t>Chi-Square Test of Independence: Magnitude Class by Depth Class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9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6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χ²</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df</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9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Cramér's V</w:t>
            </w:r>
          </w:p>
        </w:tc>
        <w:tc>
          <w:tcPr>
            <w:tcW w:type="dxa" w:w="1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w:t>
            </w:r>
          </w:p>
        </w:tc>
        <w:tc>
          <w:tcPr>
            <w:tcW w:type="dxa" w:w="18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 at α = .05</w:t>
            </w:r>
          </w:p>
        </w:tc>
      </w:tr>
      <w:tr>
        <w:tc>
          <w:tcPr>
            <w:tcW w:type="dxa" w:w="29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Pearson χ² test of independence</w:t>
            </w:r>
          </w:p>
        </w:tc>
        <w:tc>
          <w:tcPr>
            <w:tcW w:type="dxa" w:w="6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255.024</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9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0.085</w:t>
            </w:r>
          </w:p>
        </w:tc>
        <w:tc>
          <w:tcPr>
            <w:tcW w:type="dxa" w:w="1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Medium</w:t>
            </w:r>
          </w:p>
        </w:tc>
        <w:tc>
          <w:tcPr>
            <w:tcW w:type="dxa" w:w="18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Reject independence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Cramér's V is benchmarked against the degrees of freedom of the table.</w:t>
      </w:r>
    </w:p>
    <w:p>
      <w:r>
        <w:br w:type="page"/>
      </w:r>
    </w:p>
    <w:p>
      <w:pPr>
        <w:spacing w:after="0"/>
      </w:pPr>
      <w:r>
        <w:rPr>
          <w:rFonts w:ascii="Times New Roman" w:hAnsi="Times New Roman" w:eastAsia="Times New Roman"/>
          <w:b/>
          <w:i w:val="0"/>
          <w:color w:val="000000"/>
          <w:sz w:val="24"/>
        </w:rPr>
        <w:t>Table 18</w:t>
      </w:r>
    </w:p>
    <w:p>
      <w:pPr>
        <w:spacing w:after="160"/>
      </w:pPr>
      <w:r>
        <w:rPr>
          <w:rFonts w:ascii="Times New Roman" w:hAnsi="Times New Roman" w:eastAsia="Times New Roman"/>
          <w:b w:val="0"/>
          <w:i/>
          <w:color w:val="000000"/>
          <w:sz w:val="24"/>
        </w:rPr>
        <w:t>Standardised Residuals for the Magnitude-by-Depth Cross-Tabulation</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0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2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32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13.08</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-11.36</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-5.97</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4.74</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4.18</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-3.25</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2.32</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-5.57</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7.23</w:t>
            </w:r>
          </w:p>
        </w:tc>
      </w:tr>
      <w:tr>
        <w:tc>
          <w:tcPr>
            <w:tcW w:type="dxa" w:w="20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2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w:t>
            </w:r>
          </w:p>
        </w:tc>
        <w:tc>
          <w:tcPr>
            <w:tcW w:type="dxa" w:w="32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1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2.09</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Residuals beyond ±1.96 mark cells contributing significantly to the chi-square statistic at α = .05.</w:t>
      </w:r>
    </w:p>
    <w:p>
      <w:r>
        <w:br w:type="page"/>
      </w:r>
    </w:p>
    <w:p>
      <w:pPr>
        <w:spacing w:after="0"/>
      </w:pPr>
      <w:r>
        <w:rPr>
          <w:rFonts w:ascii="Times New Roman" w:hAnsi="Times New Roman" w:eastAsia="Times New Roman"/>
          <w:b/>
          <w:i w:val="0"/>
          <w:color w:val="000000"/>
          <w:sz w:val="24"/>
        </w:rPr>
        <w:t>Table 19</w:t>
      </w:r>
    </w:p>
    <w:p>
      <w:pPr>
        <w:spacing w:after="160"/>
      </w:pPr>
      <w:r>
        <w:rPr>
          <w:rFonts w:ascii="Times New Roman" w:hAnsi="Times New Roman" w:eastAsia="Times New Roman"/>
          <w:b w:val="0"/>
          <w:i/>
          <w:color w:val="000000"/>
          <w:sz w:val="24"/>
        </w:rPr>
        <w:t>Mann–Kendall Trend Tests on the Annual Seismicity Series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5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Series</w:t>
            </w:r>
          </w:p>
        </w:tc>
        <w:tc>
          <w:tcPr>
            <w:tcW w:type="dxa" w:w="75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(years)</w:t>
            </w:r>
          </w:p>
        </w:tc>
        <w:tc>
          <w:tcPr>
            <w:tcW w:type="dxa" w:w="11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Mann–Kendall S</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9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Kendall's τ</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8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Sen's slope (per year)</w:t>
            </w:r>
          </w:p>
        </w:tc>
        <w:tc>
          <w:tcPr>
            <w:tcW w:type="dxa" w:w="84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Trend</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event count</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4,704</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11.526</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3.459</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maximum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-956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-2.343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-.148</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-0.004</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mean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-4,396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-10.763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-.683</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-0.026</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Annual count of M ≥ 6.0 events</w:t>
            </w:r>
          </w:p>
        </w:tc>
        <w:tc>
          <w:tcPr>
            <w:tcW w:type="dxa" w:w="75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1,059</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2.612</w:t>
            </w:r>
          </w:p>
        </w:tc>
        <w:tc>
          <w:tcPr>
            <w:tcW w:type="dxa" w:w="9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8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0.018</w:t>
            </w:r>
          </w:p>
        </w:tc>
        <w:tc>
          <w:tcPr>
            <w:tcW w:type="dxa" w:w="84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Sen's slope is the Theil–Sen median slope per year. A trend in recorded counts confounds real seismicity with network growth; the magnitude series is the less confounded of the four.</w:t>
      </w:r>
    </w:p>
    <w:p>
      <w:r>
        <w:br w:type="page"/>
      </w:r>
    </w:p>
    <w:p>
      <w:pPr>
        <w:spacing w:after="0"/>
      </w:pPr>
      <w:r>
        <w:rPr>
          <w:rFonts w:ascii="Times New Roman" w:hAnsi="Times New Roman" w:eastAsia="Times New Roman"/>
          <w:b/>
          <w:i w:val="0"/>
          <w:color w:val="000000"/>
          <w:sz w:val="24"/>
        </w:rPr>
        <w:t>Table 20</w:t>
      </w:r>
    </w:p>
    <w:p>
      <w:pPr>
        <w:spacing w:after="160"/>
      </w:pPr>
      <w:r>
        <w:rPr>
          <w:rFonts w:ascii="Times New Roman" w:hAnsi="Times New Roman" w:eastAsia="Times New Roman"/>
          <w:b w:val="0"/>
          <w:i/>
          <w:color w:val="000000"/>
          <w:sz w:val="24"/>
        </w:rPr>
        <w:t>Comparison of Recorded Magnitudes Before and After 1980</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391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3,273</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4.957 (SD = 0.648)</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14,394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4.481 (SD = 0.481)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39.571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d</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0.922</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Mann–Whitney U</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35,058,464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(Mann–Whitney)</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Rank-biserial correlation</w:t>
            </w:r>
          </w:p>
        </w:tc>
        <w:tc>
          <w:tcPr>
            <w:tcW w:type="dxa" w:w="391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-0.488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1980 approximates the modernisation of the national seismic network. A difference here is at least as likely to reflect improved detection of small events as a change in seismicity.</w:t>
      </w:r>
    </w:p>
    <w:p>
      <w:pPr>
        <w:spacing w:before="360" w:after="120"/>
        <w:jc w:val="center"/>
      </w:pPr>
      <w:r>
        <w:rPr>
          <w:rFonts w:ascii="Times New Roman" w:hAnsi="Times New Roman" w:eastAsia="Times New Roman"/>
          <w:b/>
          <w:i w:val="0"/>
          <w:color w:val="000000"/>
          <w:sz w:val="24"/>
        </w:rPr>
        <w:t>Section D. Frequency–Magnitude Distribution</w:t>
      </w:r>
    </w:p>
    <w:p>
      <w:r>
        <w:br w:type="page"/>
      </w:r>
    </w:p>
    <w:p>
      <w:pPr>
        <w:spacing w:after="0"/>
      </w:pPr>
      <w:r>
        <w:rPr>
          <w:rFonts w:ascii="Times New Roman" w:hAnsi="Times New Roman" w:eastAsia="Times New Roman"/>
          <w:b/>
          <w:i w:val="0"/>
          <w:color w:val="000000"/>
          <w:sz w:val="24"/>
        </w:rPr>
        <w:t>Table 21</w:t>
      </w:r>
    </w:p>
    <w:p>
      <w:pPr>
        <w:spacing w:after="160"/>
      </w:pPr>
      <w:r>
        <w:rPr>
          <w:rFonts w:ascii="Times New Roman" w:hAnsi="Times New Roman" w:eastAsia="Times New Roman"/>
          <w:b w:val="0"/>
          <w:i/>
          <w:color w:val="000000"/>
          <w:sz w:val="24"/>
        </w:rPr>
        <w:t>Completeness Magnitude and Gutenberg–Richter Parameters for the Full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90.558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4,442</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8.155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8.448</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Mc (MAXC) is the maximum-curvature estimate with the conventional +0.2 correction; Mc (GFT) is the 90% goodness-of-fit estimate of Wiemer and Wyss (2000). b (MLE) is the Aki–Utsu estimator with the Shi and Bolt (1982) standard error. A b-value near 1.0 is typical of subduction seismicity.</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22</w:t>
      </w:r>
    </w:p>
    <w:p>
      <w:pPr>
        <w:spacing w:after="160"/>
      </w:pPr>
      <w:r>
        <w:rPr>
          <w:rFonts w:ascii="Times New Roman" w:hAnsi="Times New Roman" w:eastAsia="Times New Roman"/>
          <w:b w:val="0"/>
          <w:i/>
          <w:color w:val="000000"/>
          <w:sz w:val="24"/>
        </w:rPr>
        <w:t>Gutenberg–Richter Parameters by Decade, 1980 to Present</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76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7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1980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91.128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1.173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8.118</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1.346</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8.975</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0.996</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1990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89.135</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887</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0.941</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7.633</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2,265</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88.234</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1,162</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0.884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6.955</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7.520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0.995</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2010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3,517</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91.938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1,106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0.990</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7.696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1.045</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8.009</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0.983</w:t>
            </w:r>
          </w:p>
        </w:tc>
      </w:tr>
      <w:tr>
        <w:tc>
          <w:tcPr>
            <w:tcW w:type="dxa" w:w="76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2020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91.846</w:t>
            </w:r>
          </w:p>
        </w:tc>
        <w:tc>
          <w:tcPr>
            <w:tcW w:type="dxa" w:w="7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0.851</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7.007</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0.960</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7.530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0.992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Restricted to 1980 onward, where the catalogue is dense enough for stable per-decade estimates. Drift in Mc across decades is a completeness effect; drift in b is the physically interesting quantity.</w:t>
      </w:r>
    </w:p>
    <w:p>
      <w:r>
        <w:br w:type="page"/>
      </w:r>
    </w:p>
    <w:p>
      <w:pPr>
        <w:spacing w:after="0"/>
      </w:pPr>
      <w:r>
        <w:rPr>
          <w:rFonts w:ascii="Times New Roman" w:hAnsi="Times New Roman" w:eastAsia="Times New Roman"/>
          <w:b/>
          <w:i w:val="0"/>
          <w:color w:val="000000"/>
          <w:sz w:val="24"/>
        </w:rPr>
        <w:t>Table 23</w:t>
      </w:r>
    </w:p>
    <w:p>
      <w:pPr>
        <w:spacing w:after="160"/>
      </w:pPr>
      <w:r>
        <w:rPr>
          <w:rFonts w:ascii="Times New Roman" w:hAnsi="Times New Roman" w:eastAsia="Times New Roman"/>
          <w:b w:val="0"/>
          <w:i/>
          <w:color w:val="000000"/>
          <w:sz w:val="24"/>
        </w:rPr>
        <w:t>Gutenberg–Richter Parameters by Hypocentral Depth Class</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259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4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Shallow (&lt;70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13,983</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90.882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3,223</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8.016</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8.029</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0.975</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Intermediate (70-300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3,267</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87.222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1,049</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0.969</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7.767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1.027</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8.125</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0.984</w:t>
            </w:r>
          </w:p>
        </w:tc>
      </w:tr>
      <w:tr>
        <w:tc>
          <w:tcPr>
            <w:tcW w:type="dxa" w:w="259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Deep (&gt;300 km)</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417</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4.600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77.459</w:t>
            </w:r>
          </w:p>
        </w:tc>
        <w:tc>
          <w:tcPr>
            <w:tcW w:type="dxa" w:w="64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222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0.667</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5.480</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0.730</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0.036</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5.840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0.941</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Differences in b between depth regimes are interpreted as differences in the stress state of the seismogenic volume.</w:t>
      </w:r>
    </w:p>
    <w:p>
      <w:pPr>
        <w:spacing w:before="360" w:after="120"/>
        <w:jc w:val="center"/>
      </w:pPr>
      <w:r>
        <w:rPr>
          <w:rFonts w:ascii="Times New Roman" w:hAnsi="Times New Roman" w:eastAsia="Times New Roman"/>
          <w:b/>
          <w:i w:val="0"/>
          <w:color w:val="000000"/>
          <w:sz w:val="24"/>
        </w:rPr>
        <w:t>Section E. Declustering and Feature Engineering</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24</w:t>
      </w:r>
    </w:p>
    <w:p>
      <w:pPr>
        <w:spacing w:after="160"/>
      </w:pPr>
      <w:r>
        <w:rPr>
          <w:rFonts w:ascii="Times New Roman" w:hAnsi="Times New Roman" w:eastAsia="Times New Roman"/>
          <w:b w:val="0"/>
          <w:i/>
          <w:color w:val="000000"/>
          <w:sz w:val="24"/>
        </w:rPr>
        <w:t>Space–Time Windows Implied by Maeda's Method</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4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Precursor magnitude (Mpre)</w:t>
            </w:r>
          </w:p>
        </w:tc>
        <w:tc>
          <w:tcPr>
            <w:tcW w:type="dxa" w:w="19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Spatial window L (km)</w:t>
            </w:r>
          </w:p>
        </w:tc>
        <w:tc>
          <w:tcPr>
            <w:tcW w:type="dxa" w:w="23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Temporal window ta (days)</w:t>
            </w:r>
          </w:p>
        </w:tc>
        <w:tc>
          <w:tcPr>
            <w:tcW w:type="dxa" w:w="26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cut-off (Mpre − Md)</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5.79</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15.85</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27.14</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50.12</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123.38</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r>
      <w:tr>
        <w:tc>
          <w:tcPr>
            <w:tcW w:type="dxa" w:w="24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8.00</w:t>
            </w:r>
          </w:p>
        </w:tc>
        <w:tc>
          <w:tcPr>
            <w:tcW w:type="dxa" w:w="19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158.49</w:t>
            </w:r>
          </w:p>
        </w:tc>
        <w:tc>
          <w:tcPr>
            <w:tcW w:type="dxa" w:w="23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557.08</w:t>
            </w:r>
          </w:p>
        </w:tc>
        <w:tc>
          <w:tcPr>
            <w:tcW w:type="dxa" w:w="268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Windows follow Equations 1 and 2 of Hirose et al. (2021). An event inside the window of an earlier event and at least 1.0 magnitude unit smaller (Equation 3) is classified as dependent.</w:t>
      </w:r>
    </w:p>
    <w:p>
      <w:r>
        <w:br w:type="page"/>
      </w:r>
    </w:p>
    <w:p>
      <w:pPr>
        <w:spacing w:after="0"/>
      </w:pPr>
      <w:r>
        <w:rPr>
          <w:rFonts w:ascii="Times New Roman" w:hAnsi="Times New Roman" w:eastAsia="Times New Roman"/>
          <w:b/>
          <w:i w:val="0"/>
          <w:color w:val="000000"/>
          <w:sz w:val="24"/>
        </w:rPr>
        <w:t>Table 25</w:t>
      </w:r>
    </w:p>
    <w:p>
      <w:pPr>
        <w:spacing w:after="160"/>
      </w:pPr>
      <w:r>
        <w:rPr>
          <w:rFonts w:ascii="Times New Roman" w:hAnsi="Times New Roman" w:eastAsia="Times New Roman"/>
          <w:b w:val="0"/>
          <w:i/>
          <w:color w:val="000000"/>
          <w:sz w:val="24"/>
        </w:rPr>
        <w:t>Outcome of Maeda's Declustering Procedure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636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Declustering stage</w:t>
            </w:r>
          </w:p>
        </w:tc>
        <w:tc>
          <w:tcPr>
            <w:tcW w:type="dxa" w:w="112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input</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entering Maeda's method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Dependent events removed (Eq. 1–3)</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Independent events retained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5.0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6.0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636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Retained events M ≥ 7.0</w:t>
            </w:r>
          </w:p>
        </w:tc>
        <w:tc>
          <w:tcPr>
            <w:tcW w:type="dxa" w:w="112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86</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Percentages are of the events entering the procedure.</w:t>
      </w:r>
    </w:p>
    <w:p>
      <w:r>
        <w:br w:type="page"/>
      </w:r>
    </w:p>
    <w:p>
      <w:pPr>
        <w:spacing w:after="0"/>
      </w:pPr>
      <w:r>
        <w:rPr>
          <w:rFonts w:ascii="Times New Roman" w:hAnsi="Times New Roman" w:eastAsia="Times New Roman"/>
          <w:b/>
          <w:i w:val="0"/>
          <w:color w:val="000000"/>
          <w:sz w:val="24"/>
        </w:rPr>
        <w:t>Table 26</w:t>
      </w:r>
    </w:p>
    <w:p>
      <w:pPr>
        <w:spacing w:after="160"/>
      </w:pPr>
      <w:r>
        <w:rPr>
          <w:rFonts w:ascii="Times New Roman" w:hAnsi="Times New Roman" w:eastAsia="Times New Roman"/>
          <w:b w:val="0"/>
          <w:i/>
          <w:color w:val="000000"/>
          <w:sz w:val="24"/>
        </w:rPr>
        <w:t>Catalogue Descriptive Statistics Before and After Declustering</w:t>
      </w:r>
    </w:p>
    <w:tbl>
      <w:tblPr>
        <w:tblW w:type="auto" w:w="0"/>
        <w:jc w:val="center"/>
        <w:tblLayout w:type="fixed"/>
        <w:tblLook w:firstColumn="1" w:firstRow="1" w:lastColumn="0" w:lastRow="0" w:noHBand="0" w:noVBand="1" w:val="04A0"/>
        <w:tblLayout w:type="fixed"/>
      </w:tblPr>
      <w:tblGrid>
        <w:gridCol w:w="936"/>
        <w:gridCol w:w="936"/>
        <w:gridCol w:w="936"/>
        <w:gridCol w:w="936"/>
        <w:gridCol w:w="936"/>
        <w:gridCol w:w="936"/>
        <w:gridCol w:w="936"/>
        <w:gridCol w:w="936"/>
        <w:gridCol w:w="936"/>
        <w:gridCol w:w="936"/>
      </w:tblGrid>
      <w:tr>
        <w:trPr>
          <w:tblHeader w:val="true"/>
        </w:trPr>
        <w:tc>
          <w:tcPr>
            <w:tcW w:type="dxa" w:w="20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Catalogue</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5.0)</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c>
          <w:tcPr>
            <w:tcW w:type="dxa" w:w="13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0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Full catalogue</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4.569</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0.548</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3,607</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445</w:t>
            </w:r>
          </w:p>
        </w:tc>
        <w:tc>
          <w:tcPr>
            <w:tcW w:type="dxa" w:w="13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33.000</w:t>
            </w:r>
          </w:p>
        </w:tc>
      </w:tr>
      <w:tr>
        <w:tc>
          <w:tcPr>
            <w:tcW w:type="dxa" w:w="20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Declustered catalogue</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4.579</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0.561</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3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Removing dependent events raises the mean magnitude because the removed population is, by construction, the small one.</w:t>
      </w:r>
    </w:p>
    <w:p>
      <w:r>
        <w:br w:type="page"/>
      </w:r>
    </w:p>
    <w:p>
      <w:pPr>
        <w:spacing w:after="0"/>
      </w:pPr>
      <w:r>
        <w:rPr>
          <w:rFonts w:ascii="Times New Roman" w:hAnsi="Times New Roman" w:eastAsia="Times New Roman"/>
          <w:b/>
          <w:i w:val="0"/>
          <w:color w:val="000000"/>
          <w:sz w:val="24"/>
        </w:rPr>
        <w:t>Table 27</w:t>
      </w:r>
    </w:p>
    <w:p>
      <w:pPr>
        <w:spacing w:after="160"/>
      </w:pPr>
      <w:r>
        <w:rPr>
          <w:rFonts w:ascii="Times New Roman" w:hAnsi="Times New Roman" w:eastAsia="Times New Roman"/>
          <w:b w:val="0"/>
          <w:i/>
          <w:color w:val="000000"/>
          <w:sz w:val="24"/>
        </w:rPr>
        <w:t>Gutenberg–Richter Parameters for the Declustered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15,460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90.469</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3,994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0.893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7.978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0.950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8.350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Compare with Table 21. Declustering typically lowers b, since clustered sequences are magnitude-poor relative to background seismicity.</w:t>
      </w:r>
    </w:p>
    <w:p>
      <w:r>
        <w:br w:type="page"/>
      </w:r>
    </w:p>
    <w:p>
      <w:pPr>
        <w:spacing w:after="0"/>
      </w:pPr>
      <w:r>
        <w:rPr>
          <w:rFonts w:ascii="Times New Roman" w:hAnsi="Times New Roman" w:eastAsia="Times New Roman"/>
          <w:b/>
          <w:i w:val="0"/>
          <w:color w:val="000000"/>
          <w:sz w:val="24"/>
        </w:rPr>
        <w:t>Table 28</w:t>
      </w:r>
    </w:p>
    <w:p>
      <w:pPr>
        <w:spacing w:after="160"/>
      </w:pPr>
      <w:r>
        <w:rPr>
          <w:rFonts w:ascii="Times New Roman" w:hAnsi="Times New Roman" w:eastAsia="Times New Roman"/>
          <w:b w:val="0"/>
          <w:i/>
          <w:color w:val="000000"/>
          <w:sz w:val="24"/>
        </w:rPr>
        <w:t>The 22 Engineered Seismic Features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w:t>
            </w:r>
          </w:p>
        </w:tc>
        <w:tc>
          <w:tcPr>
            <w:tcW w:type="dxa" w:w="9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34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Category</w:t>
            </w:r>
          </w:p>
        </w:tc>
        <w:tc>
          <w:tcPr>
            <w:tcW w:type="dxa" w:w="435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Description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Number of earthquakes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Maximum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maximum likelihood (Aki–Utsu)</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maximum likelihood</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(MLE)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a_lsq and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a_mlk and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Square root of the summed seismic energy release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(z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(β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7.0 earthquake</w:t>
            </w:r>
          </w:p>
        </w:tc>
      </w:tr>
      <w:tr>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34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Days since the last M 7.5 earthquake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Features follow Wang et al. (2023) as adopted in the study methodology. Each is computed from the events inside the observation window: 14 days and 100 km preceding the mainshock.</w:t>
      </w:r>
    </w:p>
    <w:p>
      <w:r>
        <w:br w:type="page"/>
      </w:r>
    </w:p>
    <w:p>
      <w:pPr>
        <w:spacing w:after="0"/>
      </w:pPr>
      <w:r>
        <w:rPr>
          <w:rFonts w:ascii="Times New Roman" w:hAnsi="Times New Roman" w:eastAsia="Times New Roman"/>
          <w:b/>
          <w:i w:val="0"/>
          <w:color w:val="000000"/>
          <w:sz w:val="24"/>
        </w:rPr>
        <w:t>Table 29</w:t>
      </w:r>
    </w:p>
    <w:p>
      <w:pPr>
        <w:spacing w:after="160"/>
      </w:pPr>
      <w:r>
        <w:rPr>
          <w:rFonts w:ascii="Times New Roman" w:hAnsi="Times New Roman" w:eastAsia="Times New Roman"/>
          <w:b w:val="0"/>
          <w:i/>
          <w:color w:val="000000"/>
          <w:sz w:val="24"/>
        </w:rPr>
        <w:t>Construction of the Forecast Sequence Data Set</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633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0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Candidate mainshocks (independent, M ≥ 5.0)</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3,261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window opens before the catalogue starts</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fewer than 3 events in the 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2,725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Forecast sequences retained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 days, 100 km radius</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Feb 2026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M (SD)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5.378 (0.447)</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range</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 – 7.3</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foreshocks per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Sequences with an M ≥ 6.0 target</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58</w:t>
            </w:r>
          </w:p>
        </w:tc>
      </w:tr>
      <w:tr>
        <w:tc>
          <w:tcPr>
            <w:tcW w:type="dxa" w:w="633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Sequences with an M ≥ 7.0 target</w:t>
            </w:r>
          </w:p>
        </w:tc>
        <w:tc>
          <w:tcPr>
            <w:tcW w:type="dxa" w:w="30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mainshock qualifies at M ≥ 5.0 and requires at least 3 catalogued events inside its observation window. Observation windows are drawn from the full catalogue rather than the declustered one, because the small dependent events Maeda's method removes are precisely the precursory activity the features are meant to measure.</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30</w:t>
      </w:r>
    </w:p>
    <w:p>
      <w:pPr>
        <w:spacing w:after="160"/>
      </w:pPr>
      <w:r>
        <w:rPr>
          <w:rFonts w:ascii="Times New Roman" w:hAnsi="Times New Roman" w:eastAsia="Times New Roman"/>
          <w:b w:val="0"/>
          <w:i/>
          <w:color w:val="000000"/>
          <w:sz w:val="24"/>
        </w:rPr>
        <w:t>Descriptive Statistics for the 22 Engineered Features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156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Feature</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valid</w:t>
            </w:r>
          </w:p>
        </w:tc>
        <w:tc>
          <w:tcPr>
            <w:tcW w:type="dxa" w:w="140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missing</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Mdn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Min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Skew</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12.295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185.000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4.605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Mag_max</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0.683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4.797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4.746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4.033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0.675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0.841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3.010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1.388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3.799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20.169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1.433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1.592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2.362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0.092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0.236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0.109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1.288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8.686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3.057</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45.644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2.842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1.882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1.140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2.529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497</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-2.161e+13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4.818e+14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-1.074e+16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-22.293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Energy</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4.013e+11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8.187e+11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1.365e+11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7.462e+09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5.105e+12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3.694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9.313e-10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8.757e-27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4.411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zvalue</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-0.736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-4.551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beta</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9.081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6.872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65.289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1.873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2,877.477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5,122.076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565.978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3.298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7,974.919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10,656.963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4,723.816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15,033.696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14,979.316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8,476.343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0.921</w:t>
            </w:r>
          </w:p>
        </w:tc>
      </w:tr>
      <w:tr>
        <w:tc>
          <w:tcPr>
            <w:tcW w:type="dxa" w:w="156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T_elaps75</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26,877.709</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15,347.825</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25,378.537</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488.881</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-0.168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Statistics describe the features as computed. Missing values arise where a window is too sparse to support a b-value fit; they are median-imputed from the training rows of each fold only. Before modelling, the energy, occurrence-probability and elapsed-time features are log-transformed and every feature is winsorised at the training 1st and 99th percentiles — both monotone, so the tree ensembles are unaffected and the linear, kernel and neural models are protected from the heavy tails these quantities carry by construction.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31</w:t>
      </w:r>
    </w:p>
    <w:p>
      <w:pPr>
        <w:spacing w:after="160"/>
      </w:pPr>
      <w:r>
        <w:rPr>
          <w:rFonts w:ascii="Times New Roman" w:hAnsi="Times New Roman" w:eastAsia="Times New Roman"/>
          <w:b w:val="0"/>
          <w:i/>
          <w:color w:val="000000"/>
          <w:sz w:val="24"/>
        </w:rPr>
        <w:t>Correlations Between Each Engineered Feature and the Mainshock Magnitude</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Feature</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47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Energy</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Mag_max</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504</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.599</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beta</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zvalue</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497</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.894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7.282e-04</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.987</w:t>
            </w:r>
          </w:p>
        </w:tc>
        <w:tc>
          <w:tcPr>
            <w:tcW w:type="dxa" w:w="1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.260</w:t>
            </w:r>
          </w:p>
        </w:tc>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Pearson r and Spearman ρ against the observed mainshock magnitude across all sequences. These are univariate associations and do not account for the interactions the ensemble models exploit.</w:t>
      </w:r>
    </w:p>
    <w:p>
      <w:pPr>
        <w:spacing w:before="360" w:after="120"/>
        <w:jc w:val="center"/>
      </w:pPr>
      <w:r>
        <w:rPr>
          <w:rFonts w:ascii="Times New Roman" w:hAnsi="Times New Roman" w:eastAsia="Times New Roman"/>
          <w:b/>
          <w:i w:val="0"/>
          <w:color w:val="000000"/>
          <w:sz w:val="24"/>
        </w:rPr>
        <w:t>Section F. Model Construction and Comparison</w:t>
      </w:r>
    </w:p>
    <w:p>
      <w:r>
        <w:br w:type="page"/>
      </w:r>
    </w:p>
    <w:p>
      <w:pPr>
        <w:spacing w:after="0"/>
      </w:pPr>
      <w:r>
        <w:rPr>
          <w:rFonts w:ascii="Times New Roman" w:hAnsi="Times New Roman" w:eastAsia="Times New Roman"/>
          <w:b/>
          <w:i w:val="0"/>
          <w:color w:val="000000"/>
          <w:sz w:val="24"/>
        </w:rPr>
        <w:t>Table 32</w:t>
      </w:r>
    </w:p>
    <w:p>
      <w:pPr>
        <w:spacing w:after="160"/>
      </w:pPr>
      <w:r>
        <w:rPr>
          <w:rFonts w:ascii="Times New Roman" w:hAnsi="Times New Roman" w:eastAsia="Times New Roman"/>
          <w:b w:val="0"/>
          <w:i/>
          <w:color w:val="000000"/>
          <w:sz w:val="24"/>
        </w:rPr>
        <w:t>Chronological 60:20:20 Partitioning of the Sequence Data Set</w:t>
      </w:r>
    </w:p>
    <w:tbl>
      <w:tblPr>
        <w:tblW w:type="auto" w:w="0"/>
        <w:jc w:val="center"/>
        <w:tblLayout w:type="fixed"/>
        <w:tblLook w:firstColumn="1" w:firstRow="1" w:lastColumn="0" w:lastRow="0" w:noHBand="0" w:noVBand="1" w:val="04A0"/>
        <w:tblLayout w:type="fixed"/>
      </w:tblPr>
      <w:tblGrid>
        <w:gridCol w:w="1040"/>
        <w:gridCol w:w="1040"/>
        <w:gridCol w:w="1040"/>
        <w:gridCol w:w="1040"/>
        <w:gridCol w:w="1040"/>
        <w:gridCol w:w="1040"/>
        <w:gridCol w:w="1040"/>
        <w:gridCol w:w="1040"/>
        <w:gridCol w:w="1040"/>
      </w:tblGrid>
      <w:tr>
        <w:trPr>
          <w:tblHeader w:val="true"/>
        </w:trPr>
        <w:tc>
          <w:tcPr>
            <w:tcW w:type="dxa" w:w="10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Partition</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sequences</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total</w:t>
            </w:r>
          </w:p>
        </w:tc>
        <w:tc>
          <w:tcPr>
            <w:tcW w:type="dxa" w:w="198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(target)</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Training</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321</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Mar 2008</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5.319</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Apr 2008 – Oct 2019</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5.408</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w:t>
            </w:r>
          </w:p>
        </w:tc>
      </w:tr>
      <w:tr>
        <w:tc>
          <w:tcPr>
            <w:tcW w:type="dxa" w:w="10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Nov 2019 – Feb 2026</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5.523</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0.535</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split is strictly by time: every validation sequence postdates every training sequence, and every test sequence postdates both. A random shuffle would let a model learn from the future of its own test set.</w:t>
      </w:r>
    </w:p>
    <w:p>
      <w:r>
        <w:br w:type="page"/>
      </w:r>
    </w:p>
    <w:p>
      <w:pPr>
        <w:spacing w:after="0"/>
      </w:pPr>
      <w:r>
        <w:rPr>
          <w:rFonts w:ascii="Times New Roman" w:hAnsi="Times New Roman" w:eastAsia="Times New Roman"/>
          <w:b/>
          <w:i w:val="0"/>
          <w:color w:val="000000"/>
          <w:sz w:val="24"/>
        </w:rPr>
        <w:t>Table 33</w:t>
      </w:r>
    </w:p>
    <w:p>
      <w:pPr>
        <w:spacing w:after="160"/>
      </w:pPr>
      <w:r>
        <w:rPr>
          <w:rFonts w:ascii="Times New Roman" w:hAnsi="Times New Roman" w:eastAsia="Times New Roman"/>
          <w:b w:val="0"/>
          <w:i/>
          <w:color w:val="000000"/>
          <w:sz w:val="24"/>
        </w:rPr>
        <w:t>Magnitude-Class Distribution Across the Three Partitions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2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f</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f</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f</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297</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92.5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86.9</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81.3</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11.2</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15.9</w:t>
            </w:r>
          </w:p>
        </w:tc>
      </w:tr>
      <w:tr>
        <w:tc>
          <w:tcPr>
            <w:tcW w:type="dxa" w:w="22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 events are rare in every partition. This imbalance is the reason Cohen's κ, rather than raw accuracy, is treated as the headline agreement statistic.</w:t>
      </w:r>
    </w:p>
    <w:p>
      <w:r>
        <w:br w:type="page"/>
      </w:r>
    </w:p>
    <w:p>
      <w:pPr>
        <w:spacing w:after="0"/>
      </w:pPr>
      <w:r>
        <w:rPr>
          <w:rFonts w:ascii="Times New Roman" w:hAnsi="Times New Roman" w:eastAsia="Times New Roman"/>
          <w:b/>
          <w:i w:val="0"/>
          <w:color w:val="000000"/>
          <w:sz w:val="24"/>
        </w:rPr>
        <w:t>Table 34</w:t>
      </w:r>
    </w:p>
    <w:p>
      <w:pPr>
        <w:spacing w:after="160"/>
      </w:pPr>
      <w:r>
        <w:rPr>
          <w:rFonts w:ascii="Times New Roman" w:hAnsi="Times New Roman" w:eastAsia="Times New Roman"/>
          <w:b w:val="0"/>
          <w:i/>
          <w:color w:val="000000"/>
          <w:sz w:val="24"/>
        </w:rPr>
        <w:t>Random Forest Hyperparameter Search (Top 12 Configurations)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n_estimators</w:t>
            </w:r>
          </w:p>
        </w:tc>
        <w:tc>
          <w:tcPr>
            <w:tcW w:type="dxa" w:w="13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max_depth</w:t>
            </w:r>
          </w:p>
        </w:tc>
        <w:tc>
          <w:tcPr>
            <w:tcW w:type="dxa" w:w="23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min_samples_leaf</w:t>
            </w:r>
          </w:p>
        </w:tc>
        <w:tc>
          <w:tcPr>
            <w:tcW w:type="dxa" w:w="17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max_features</w:t>
            </w:r>
          </w:p>
        </w:tc>
        <w:tc>
          <w:tcPr>
            <w:tcW w:type="dxa" w:w="219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RMSE</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0.3833</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0.3841</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0.3843</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0.3845</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0.3850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0.3861</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0.3872</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0.3882</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0.3888</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0.3891</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0.3891</w:t>
            </w:r>
          </w:p>
        </w:tc>
      </w:tr>
      <w:tr>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0.3893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Configurations ranked by root mean squared error on the validation partition. Grid search was scored on the held-out development set rather than by k-fold cross-validation, which would shuffle the time ordering back together.</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35</w:t>
      </w:r>
    </w:p>
    <w:p>
      <w:pPr>
        <w:spacing w:after="160"/>
      </w:pPr>
      <w:r>
        <w:rPr>
          <w:rFonts w:ascii="Times New Roman" w:hAnsi="Times New Roman" w:eastAsia="Times New Roman"/>
          <w:b w:val="0"/>
          <w:i/>
          <w:color w:val="000000"/>
          <w:sz w:val="24"/>
        </w:rPr>
        <w:t>Inventory of the Forecasting Models Compared</w:t>
      </w:r>
    </w:p>
    <w:tbl>
      <w:tblPr>
        <w:tblW w:type="auto" w:w="0"/>
        <w:jc w:val="center"/>
        <w:tblLayout w:type="fixed"/>
        <w:tblLook w:firstColumn="1" w:firstRow="1" w:lastColumn="0" w:lastRow="0" w:noHBand="0" w:noVBand="1" w:val="04A0"/>
        <w:tblLayout w:type="fixed"/>
      </w:tblPr>
      <w:tblGrid>
        <w:gridCol w:w="3240"/>
        <w:gridCol w:w="3240"/>
        <w:gridCol w:w="3240"/>
        <w:gridCol w:w="3240"/>
      </w:tblGrid>
      <w:tr>
        <w:trPr>
          <w:tblHeader w:val="true"/>
        </w:trPr>
        <w:tc>
          <w:tcPr>
            <w:tcW w:type="dxa" w:w="300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225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Family</w:t>
            </w:r>
          </w:p>
        </w:tc>
        <w:tc>
          <w:tcPr>
            <w:tcW w:type="dxa" w:w="338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Input representation</w:t>
            </w:r>
          </w:p>
        </w:tc>
        <w:tc>
          <w:tcPr>
            <w:tcW w:type="dxa" w:w="432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Key settings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None (constant)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Predicts the training-set mean for every sequence</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Previous target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Reuses the magnitude of the preceding mainshock</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n_estimators=300, max_depth=8, min_samples_leaf=1, max_features=0.5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n_estimators=600, fully randomised splits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n_estimators=400, lr=0.05, max_depth=3, subsample=0.8</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max_iter=400, lr=0.05, max_depth=6</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Kernel method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RBF kernel, C=10, ε=0.05,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Instance based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k=10, distance weighting,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α=0.05, L1 ratio=0.5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α=5.0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Feed-forward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hidden=(64, 32), α=1.0, early stopping on a 20% inner split</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Adam (lr=0.01), early stopping (patience 40)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two gates, same optimiser as the LSTM</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Convolutional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24 filters, kernel 3, ReLU, global max pooling</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Order-indexed target series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 d, q) up to (2, 1, 2), selected by AIC</w:t>
            </w:r>
          </w:p>
        </w:tc>
      </w:tr>
      <w:tr>
        <w:tc>
          <w:tcPr>
            <w:tcW w:type="dxa" w:w="300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225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Target series + 5 exogenous features</w:t>
            </w:r>
          </w:p>
        </w:tc>
        <w:tc>
          <w:tcPr>
            <w:tcW w:type="dxa" w:w="432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As ARIMA, with the 5 features most correlated with the target in the training rows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16 forecasters across four families, all scored on the same sequences. The two baselines are included because a forecasting model earns its claim only by beating them.</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36</w:t>
      </w:r>
    </w:p>
    <w:p>
      <w:pPr>
        <w:spacing w:after="160"/>
      </w:pPr>
      <w:r>
        <w:rPr>
          <w:rFonts w:ascii="Times New Roman" w:hAnsi="Times New Roman" w:eastAsia="Times New Roman"/>
          <w:b w:val="0"/>
          <w:i/>
          <w:color w:val="000000"/>
          <w:sz w:val="24"/>
        </w:rPr>
        <w:t>Rolling-Origin Cross-Validation Results Across All Models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365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Folds</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RMSE</w:t>
            </w:r>
          </w:p>
        </w:tc>
        <w:tc>
          <w:tcPr>
            <w:tcW w:type="dxa" w:w="7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 RMSE</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MAE</w:t>
            </w:r>
          </w:p>
        </w:tc>
        <w:tc>
          <w:tcPr>
            <w:tcW w:type="dxa" w:w="10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Mean rank</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0.401</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0.544</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0.284</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5.000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0.411</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0.518</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0.301</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0.310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0.318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0.302</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0.583</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0.419</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0.119</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0.548</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0.294</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0.424</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0.289</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0.312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0.539</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0.318</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0.603</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0.356</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0.491</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1.546</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0.627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15.000</w:t>
            </w:r>
          </w:p>
        </w:tc>
      </w:tr>
      <w:tr>
        <w:tc>
          <w:tcPr>
            <w:tcW w:type="dxa" w:w="365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0.832</w:t>
            </w:r>
          </w:p>
        </w:tc>
        <w:tc>
          <w:tcPr>
            <w:tcW w:type="dxa" w:w="7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0.157</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0.600</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1.032</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0.652</w:t>
            </w:r>
          </w:p>
        </w:tc>
        <w:tc>
          <w:tcPr>
            <w:tcW w:type="dxa" w:w="10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15.800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Expanding-window validation over the training and validation partitions: each fold trains on everything before its test block and forecasts the block that follows. SD across folds is the more honest measure of a model's reliability than any single split, and Mean rank is what the Friedman test in Table 37 operates on.</w:t>
      </w:r>
    </w:p>
    <w:p>
      <w:r>
        <w:br w:type="page"/>
      </w:r>
    </w:p>
    <w:p>
      <w:pPr>
        <w:spacing w:after="0"/>
      </w:pPr>
      <w:r>
        <w:rPr>
          <w:rFonts w:ascii="Times New Roman" w:hAnsi="Times New Roman" w:eastAsia="Times New Roman"/>
          <w:b/>
          <w:i w:val="0"/>
          <w:color w:val="000000"/>
          <w:sz w:val="24"/>
        </w:rPr>
        <w:t>Table 37</w:t>
      </w:r>
    </w:p>
    <w:p>
      <w:pPr>
        <w:spacing w:after="160"/>
      </w:pPr>
      <w:r>
        <w:rPr>
          <w:rFonts w:ascii="Times New Roman" w:hAnsi="Times New Roman" w:eastAsia="Times New Roman"/>
          <w:b w:val="0"/>
          <w:i/>
          <w:color w:val="000000"/>
          <w:sz w:val="24"/>
        </w:rPr>
        <w:t>Friedman Test for Differences Among the Models</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9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8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Friedman χ²</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47.418</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Models compared (k)</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 folds (N)</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Nemenyi critical difference (α = .05)</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15.029</w:t>
            </w:r>
          </w:p>
        </w:tc>
      </w:tr>
      <w:tr>
        <w:tc>
          <w:tcPr>
            <w:tcW w:type="dxa" w:w="54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c>
          <w:tcPr>
            <w:tcW w:type="dxa" w:w="38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At least one model differs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Friedman test is the standard rank-based omnibus comparison of several models across several data splits (Demšar, 2006). The Nemenyi critical difference is the gap in mean rank two models must show before they can be called distinguishable.</w:t>
      </w:r>
    </w:p>
    <w:p>
      <w:r>
        <w:br w:type="page"/>
      </w:r>
    </w:p>
    <w:p>
      <w:pPr>
        <w:spacing w:after="0"/>
      </w:pPr>
      <w:r>
        <w:rPr>
          <w:rFonts w:ascii="Times New Roman" w:hAnsi="Times New Roman" w:eastAsia="Times New Roman"/>
          <w:b/>
          <w:i w:val="0"/>
          <w:color w:val="000000"/>
          <w:sz w:val="24"/>
        </w:rPr>
        <w:t>Table 38</w:t>
      </w:r>
    </w:p>
    <w:p>
      <w:pPr>
        <w:spacing w:after="160"/>
      </w:pPr>
      <w:r>
        <w:rPr>
          <w:rFonts w:ascii="Times New Roman" w:hAnsi="Times New Roman" w:eastAsia="Times New Roman"/>
          <w:b w:val="0"/>
          <w:i/>
          <w:color w:val="000000"/>
          <w:sz w:val="24"/>
        </w:rPr>
        <w:t>Mean Ranks and Nemenyi Post Hoc Comparison Against the Leading Model</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29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Model</w:t>
            </w:r>
          </w:p>
        </w:tc>
        <w:tc>
          <w:tcPr>
            <w:tcW w:type="dxa" w:w="9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w:t>
            </w:r>
          </w:p>
        </w:tc>
        <w:tc>
          <w:tcPr>
            <w:tcW w:type="dxa" w:w="25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Rank difference from best</w:t>
            </w:r>
          </w:p>
        </w:tc>
        <w:tc>
          <w:tcPr>
            <w:tcW w:type="dxa" w:w="257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Distinguishable from best</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Elastic Net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Extra Trees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Climatology (training mean)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ARIMAX</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Gradient Boosting</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k-Nearest Neighbours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Histogram GB</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Ridge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Support Vector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Persistence (previous mainshock)</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Multilayer Perceptron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c>
          <w:tcPr>
            <w:tcW w:type="dxa" w:w="9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15.800</w:t>
            </w:r>
          </w:p>
        </w:tc>
        <w:tc>
          <w:tcPr>
            <w:tcW w:type="dxa" w:w="25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11.600</w:t>
            </w:r>
          </w:p>
        </w:tc>
        <w:tc>
          <w:tcPr>
            <w:tcW w:type="dxa" w:w="257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model marked 'No' cannot be distinguished from the best performer at α = .05. The Nemenyi critical difference scales with the number of models and shrinks only with the number of folds, so comparing many models over a few folds can produce a critical difference wider than the whole range of ranks — in which case every row reads 'No'. That is a statement about the power of this test, not evidence that the models perform equally; the leaderboard and its confidence intervals are the more informative comparison.</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39</w:t>
      </w:r>
    </w:p>
    <w:p>
      <w:pPr>
        <w:spacing w:after="160"/>
      </w:pPr>
      <w:r>
        <w:rPr>
          <w:rFonts w:ascii="Times New Roman" w:hAnsi="Times New Roman" w:eastAsia="Times New Roman"/>
          <w:b w:val="0"/>
          <w:i/>
          <w:color w:val="000000"/>
          <w:sz w:val="24"/>
        </w:rPr>
        <w:t>Test-Partition Leaderboard for All 16 Models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6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351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RMSE</w:t>
            </w:r>
          </w:p>
        </w:tc>
        <w:tc>
          <w:tcPr>
            <w:tcW w:type="dxa" w:w="164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95% CI for RMSE</w:t>
            </w:r>
          </w:p>
        </w:tc>
        <w:tc>
          <w:tcPr>
            <w:tcW w:type="dxa" w:w="6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MAE</w:t>
            </w:r>
          </w:p>
        </w:tc>
        <w:tc>
          <w:tcPr>
            <w:tcW w:type="dxa" w:w="6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w:t>
            </w:r>
          </w:p>
        </w:tc>
        <w:tc>
          <w:tcPr>
            <w:tcW w:type="dxa" w:w="9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Bias</w:t>
            </w:r>
          </w:p>
        </w:tc>
        <w:tc>
          <w:tcPr>
            <w:tcW w:type="dxa" w:w="14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 within ±0.3</w:t>
            </w:r>
          </w:p>
        </w:tc>
        <w:tc>
          <w:tcPr>
            <w:tcW w:type="dxa" w:w="27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Skill vs. climatology (%)</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0.499</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[0.418, 0.580]</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0.387</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0.122</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46.729</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21.360</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0.501</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[0.421, 0.582]</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0.391</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0.115</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0.048</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46.729</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20.757</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0.503</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[0.423, 0.582]</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0.399</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0.110</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0.069</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39.252</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20.279</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0.510</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[0.417, 0.602]</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0.385</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0.085</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-0.029</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49.533</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18.022</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0.511</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[0.429, 0.593]</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0.397</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0.082</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43.925</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17.730</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0.513</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[0.416, 0.607]</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0.380</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0.073</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-0.060</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16.984</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0.515</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[0.425, 0.604]</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0.379</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0.068</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-0.072</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55.140</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16.477</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[0.436, 0.612]</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0.401</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9.076e-04</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41.121</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13.078</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0.545</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[0.437, 0.651]</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0.388</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-0.048</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57.009</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6.164</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[0.446, 0.651]</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0.396</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-0.069</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-0.102</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50.467</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4.247</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[0.452, 0.663]</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0.399</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-0.103</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1.196</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0.563</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[0.449, 0.673]</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0.382</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-0.182</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60.748</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0.563</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[0.474, 0.644]</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0.415</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-0.117</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-0.043</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0.616</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[0.524, 0.705]</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0.460</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-0.334</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53.271</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-19.509</w:t>
            </w:r>
          </w:p>
        </w:tc>
      </w:tr>
      <w:tr>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35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0.675</w:t>
            </w:r>
          </w:p>
        </w:tc>
        <w:tc>
          <w:tcPr>
            <w:tcW w:type="dxa" w:w="16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[0.579, 0.770]</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-0.606</w:t>
            </w:r>
          </w:p>
        </w:tc>
        <w:tc>
          <w:tcPr>
            <w:tcW w:type="dxa" w:w="9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14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39.252</w:t>
            </w:r>
          </w:p>
        </w:tc>
        <w:tc>
          <w:tcPr>
            <w:tcW w:type="dxa" w:w="27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-43.885</w:t>
            </w:r>
          </w:p>
        </w:tc>
      </w:tr>
      <w:tr>
        <w:tc>
          <w:tcPr>
            <w:tcW w:type="dxa" w:w="6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351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0.723</w:t>
            </w:r>
          </w:p>
        </w:tc>
        <w:tc>
          <w:tcPr>
            <w:tcW w:type="dxa" w:w="16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[0.606, 0.836]</w:t>
            </w:r>
          </w:p>
        </w:tc>
        <w:tc>
          <w:tcPr>
            <w:tcW w:type="dxa" w:w="6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-0.841</w:t>
            </w:r>
          </w:p>
        </w:tc>
        <w:tc>
          <w:tcPr>
            <w:tcW w:type="dxa" w:w="98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14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7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-64.883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Every model refitted on the combined training and validation partitions, then scored once on the untouched test partition. Skill is the percentage reduction in mean squared error relative to climatology; a negative value means the model is worse than quoting the historical average, which is the result a reader most needs to see.</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40</w:t>
      </w:r>
    </w:p>
    <w:p>
      <w:pPr>
        <w:spacing w:after="160"/>
      </w:pPr>
      <w:r>
        <w:rPr>
          <w:rFonts w:ascii="Times New Roman" w:hAnsi="Times New Roman" w:eastAsia="Times New Roman"/>
          <w:b w:val="0"/>
          <w:i/>
          <w:color w:val="000000"/>
          <w:sz w:val="24"/>
        </w:rPr>
        <w:t>Diebold–Mariano Comparisons Among the Five Leading Models</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209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160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Random Forest</w:t>
            </w:r>
          </w:p>
        </w:tc>
        <w:tc>
          <w:tcPr>
            <w:tcW w:type="dxa" w:w="13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Extra Trees</w:t>
            </w:r>
          </w:p>
        </w:tc>
        <w:tc>
          <w:tcPr>
            <w:tcW w:type="dxa" w:w="209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Gradient Boosting</w:t>
            </w:r>
          </w:p>
        </w:tc>
        <w:tc>
          <w:tcPr>
            <w:tcW w:type="dxa" w:w="7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ARIMAX</w:t>
            </w:r>
          </w:p>
        </w:tc>
        <w:tc>
          <w:tcPr>
            <w:tcW w:type="dxa" w:w="147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Histogram GB</w:t>
            </w:r>
          </w:p>
        </w:tc>
      </w:tr>
      <w:tr>
        <w:tc>
          <w:tcPr>
            <w:tcW w:type="dxa" w:w="20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16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3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.685</w:t>
            </w:r>
          </w:p>
        </w:tc>
        <w:tc>
          <w:tcPr>
            <w:tcW w:type="dxa" w:w="20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.436</w:t>
            </w:r>
          </w:p>
        </w:tc>
        <w:tc>
          <w:tcPr>
            <w:tcW w:type="dxa" w:w="7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.462</w:t>
            </w:r>
          </w:p>
        </w:tc>
      </w:tr>
      <w:tr>
        <w:tc>
          <w:tcPr>
            <w:tcW w:type="dxa" w:w="20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16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.685</w:t>
            </w:r>
          </w:p>
        </w:tc>
        <w:tc>
          <w:tcPr>
            <w:tcW w:type="dxa" w:w="13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20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.592</w:t>
            </w:r>
          </w:p>
        </w:tc>
        <w:tc>
          <w:tcPr>
            <w:tcW w:type="dxa" w:w="7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.768</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.629</w:t>
            </w:r>
          </w:p>
        </w:tc>
      </w:tr>
      <w:tr>
        <w:tc>
          <w:tcPr>
            <w:tcW w:type="dxa" w:w="20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16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.436</w:t>
            </w:r>
          </w:p>
        </w:tc>
        <w:tc>
          <w:tcPr>
            <w:tcW w:type="dxa" w:w="13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.592</w:t>
            </w:r>
          </w:p>
        </w:tc>
        <w:tc>
          <w:tcPr>
            <w:tcW w:type="dxa" w:w="20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7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.567</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.914</w:t>
            </w:r>
          </w:p>
        </w:tc>
      </w:tr>
      <w:tr>
        <w:tc>
          <w:tcPr>
            <w:tcW w:type="dxa" w:w="20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16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.885</w:t>
            </w:r>
          </w:p>
        </w:tc>
        <w:tc>
          <w:tcPr>
            <w:tcW w:type="dxa" w:w="13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.768</w:t>
            </w:r>
          </w:p>
        </w:tc>
        <w:tc>
          <w:tcPr>
            <w:tcW w:type="dxa" w:w="20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.567</w:t>
            </w:r>
          </w:p>
        </w:tc>
        <w:tc>
          <w:tcPr>
            <w:tcW w:type="dxa" w:w="7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.604</w:t>
            </w:r>
          </w:p>
        </w:tc>
      </w:tr>
      <w:tr>
        <w:tc>
          <w:tcPr>
            <w:tcW w:type="dxa" w:w="209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160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.462</w:t>
            </w:r>
          </w:p>
        </w:tc>
        <w:tc>
          <w:tcPr>
            <w:tcW w:type="dxa" w:w="13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.629</w:t>
            </w:r>
          </w:p>
        </w:tc>
        <w:tc>
          <w:tcPr>
            <w:tcW w:type="dxa" w:w="209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.914</w:t>
            </w:r>
          </w:p>
        </w:tc>
        <w:tc>
          <w:tcPr>
            <w:tcW w:type="dxa" w:w="7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.604</w:t>
            </w:r>
          </w:p>
        </w:tc>
        <w:tc>
          <w:tcPr>
            <w:tcW w:type="dxa" w:w="147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two-sided p values for the null hypothesis that the row and column models have equal forecast accuracy on the test partition. The test is paired on the absolute errors of the same sequences.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41</w:t>
      </w:r>
    </w:p>
    <w:p>
      <w:pPr>
        <w:spacing w:after="160"/>
      </w:pPr>
      <w:r>
        <w:rPr>
          <w:rFonts w:ascii="Times New Roman" w:hAnsi="Times New Roman" w:eastAsia="Times New Roman"/>
          <w:b w:val="0"/>
          <w:i/>
          <w:color w:val="000000"/>
          <w:sz w:val="24"/>
        </w:rPr>
        <w:t>Regression Performance Across the Three Partitions for the Two Headline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264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 and partition</w:t>
            </w:r>
          </w:p>
        </w:tc>
        <w:tc>
          <w:tcPr>
            <w:tcW w:type="dxa" w:w="6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6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MSE</w:t>
            </w:r>
          </w:p>
        </w:tc>
        <w:tc>
          <w:tcPr>
            <w:tcW w:type="dxa" w:w="6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RMSE</w:t>
            </w:r>
          </w:p>
        </w:tc>
        <w:tc>
          <w:tcPr>
            <w:tcW w:type="dxa" w:w="6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MAE</w:t>
            </w:r>
          </w:p>
        </w:tc>
        <w:tc>
          <w:tcPr>
            <w:tcW w:type="dxa" w:w="8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MAPE (%)</w:t>
            </w:r>
          </w:p>
        </w:tc>
        <w:tc>
          <w:tcPr>
            <w:tcW w:type="dxa" w:w="6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R²</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Bias (ME)</w:t>
            </w:r>
          </w:p>
        </w:tc>
        <w:tc>
          <w:tcPr>
            <w:tcW w:type="dxa" w:w="11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 |error|</w:t>
            </w:r>
          </w:p>
        </w:tc>
        <w:tc>
          <w:tcPr>
            <w:tcW w:type="dxa" w:w="13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±0.3</w:t>
            </w:r>
          </w:p>
        </w:tc>
        <w:tc>
          <w:tcPr>
            <w:tcW w:type="dxa" w:w="13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±0.5</w:t>
            </w:r>
          </w:p>
        </w:tc>
        <w:tc>
          <w:tcPr>
            <w:tcW w:type="dxa" w:w="15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95% CI for RMSE</w:t>
            </w:r>
          </w:p>
        </w:tc>
      </w:tr>
      <w:tr>
        <w:tc>
          <w:tcPr>
            <w:tcW w:type="dxa" w:w="26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training</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0.035</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0.188</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0.148</w:t>
            </w:r>
          </w:p>
        </w:tc>
        <w:tc>
          <w:tcPr>
            <w:tcW w:type="dxa" w:w="8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2.705</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0.771</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-1.175e-04</w:t>
            </w:r>
          </w:p>
        </w:tc>
        <w:tc>
          <w:tcPr>
            <w:tcW w:type="dxa" w:w="11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0.825</w:t>
            </w:r>
          </w:p>
        </w:tc>
        <w:tc>
          <w:tcPr>
            <w:tcW w:type="dxa" w:w="13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91.277</w:t>
            </w:r>
          </w:p>
        </w:tc>
        <w:tc>
          <w:tcPr>
            <w:tcW w:type="dxa" w:w="13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97.508</w:t>
            </w:r>
          </w:p>
        </w:tc>
        <w:tc>
          <w:tcPr>
            <w:tcW w:type="dxa" w:w="1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[0.168, 0.209]</w:t>
            </w:r>
          </w:p>
        </w:tc>
      </w:tr>
      <w:tr>
        <w:tc>
          <w:tcPr>
            <w:tcW w:type="dxa" w:w="26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validation</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0.147</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0.383</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0.298</w:t>
            </w:r>
          </w:p>
        </w:tc>
        <w:tc>
          <w:tcPr>
            <w:tcW w:type="dxa" w:w="8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5.349</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0.314</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1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1.059</w:t>
            </w:r>
          </w:p>
        </w:tc>
        <w:tc>
          <w:tcPr>
            <w:tcW w:type="dxa" w:w="13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59.813</w:t>
            </w:r>
          </w:p>
        </w:tc>
        <w:tc>
          <w:tcPr>
            <w:tcW w:type="dxa" w:w="13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84.112</w:t>
            </w:r>
          </w:p>
        </w:tc>
        <w:tc>
          <w:tcPr>
            <w:tcW w:type="dxa" w:w="1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[0.329, 0.437]</w:t>
            </w:r>
          </w:p>
        </w:tc>
      </w:tr>
      <w:tr>
        <w:tc>
          <w:tcPr>
            <w:tcW w:type="dxa" w:w="26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test</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0.252</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0.502</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0.388</w:t>
            </w:r>
          </w:p>
        </w:tc>
        <w:tc>
          <w:tcPr>
            <w:tcW w:type="dxa" w:w="8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6.809</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0.114</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0.004</w:t>
            </w:r>
          </w:p>
        </w:tc>
        <w:tc>
          <w:tcPr>
            <w:tcW w:type="dxa" w:w="11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1.688</w:t>
            </w:r>
          </w:p>
        </w:tc>
        <w:tc>
          <w:tcPr>
            <w:tcW w:type="dxa" w:w="13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48.598</w:t>
            </w:r>
          </w:p>
        </w:tc>
        <w:tc>
          <w:tcPr>
            <w:tcW w:type="dxa" w:w="13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71.963</w:t>
            </w:r>
          </w:p>
        </w:tc>
        <w:tc>
          <w:tcPr>
            <w:tcW w:type="dxa" w:w="1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[0.419, 0.582]</w:t>
            </w:r>
          </w:p>
        </w:tc>
      </w:tr>
      <w:tr>
        <w:tc>
          <w:tcPr>
            <w:tcW w:type="dxa" w:w="26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training</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0.143</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0.378</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0.286</w:t>
            </w:r>
          </w:p>
        </w:tc>
        <w:tc>
          <w:tcPr>
            <w:tcW w:type="dxa" w:w="8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5.219</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0.078</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11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1.842</w:t>
            </w:r>
          </w:p>
        </w:tc>
        <w:tc>
          <w:tcPr>
            <w:tcW w:type="dxa" w:w="13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66.044</w:t>
            </w:r>
          </w:p>
        </w:tc>
        <w:tc>
          <w:tcPr>
            <w:tcW w:type="dxa" w:w="13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91.277</w:t>
            </w:r>
          </w:p>
        </w:tc>
        <w:tc>
          <w:tcPr>
            <w:tcW w:type="dxa" w:w="1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[0.325, 0.431]</w:t>
            </w:r>
          </w:p>
        </w:tc>
      </w:tr>
      <w:tr>
        <w:tc>
          <w:tcPr>
            <w:tcW w:type="dxa" w:w="26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validation</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0.251</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0.501</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0.382</w:t>
            </w:r>
          </w:p>
        </w:tc>
        <w:tc>
          <w:tcPr>
            <w:tcW w:type="dxa" w:w="8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6.846</w:t>
            </w:r>
          </w:p>
        </w:tc>
        <w:tc>
          <w:tcPr>
            <w:tcW w:type="dxa" w:w="6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-0.173</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0.029</w:t>
            </w:r>
          </w:p>
        </w:tc>
        <w:tc>
          <w:tcPr>
            <w:tcW w:type="dxa" w:w="11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2.084</w:t>
            </w:r>
          </w:p>
        </w:tc>
        <w:tc>
          <w:tcPr>
            <w:tcW w:type="dxa" w:w="13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42.991</w:t>
            </w:r>
          </w:p>
        </w:tc>
        <w:tc>
          <w:tcPr>
            <w:tcW w:type="dxa" w:w="13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76.636</w:t>
            </w:r>
          </w:p>
        </w:tc>
        <w:tc>
          <w:tcPr>
            <w:tcW w:type="dxa" w:w="1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[0.392, 0.622]</w:t>
            </w:r>
          </w:p>
        </w:tc>
      </w:tr>
      <w:tr>
        <w:tc>
          <w:tcPr>
            <w:tcW w:type="dxa" w:w="264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LSTM — test</w:t>
            </w:r>
          </w:p>
        </w:tc>
        <w:tc>
          <w:tcPr>
            <w:tcW w:type="dxa" w:w="6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0.299</w:t>
            </w:r>
          </w:p>
        </w:tc>
        <w:tc>
          <w:tcPr>
            <w:tcW w:type="dxa" w:w="6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0.547</w:t>
            </w:r>
          </w:p>
        </w:tc>
        <w:tc>
          <w:tcPr>
            <w:tcW w:type="dxa" w:w="6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0.411</w:t>
            </w:r>
          </w:p>
        </w:tc>
        <w:tc>
          <w:tcPr>
            <w:tcW w:type="dxa" w:w="8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7.088</w:t>
            </w:r>
          </w:p>
        </w:tc>
        <w:tc>
          <w:tcPr>
            <w:tcW w:type="dxa" w:w="6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1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1.758</w:t>
            </w:r>
          </w:p>
        </w:tc>
        <w:tc>
          <w:tcPr>
            <w:tcW w:type="dxa" w:w="13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44.860</w:t>
            </w:r>
          </w:p>
        </w:tc>
        <w:tc>
          <w:tcPr>
            <w:tcW w:type="dxa" w:w="13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78.505</w:t>
            </w:r>
          </w:p>
        </w:tc>
        <w:tc>
          <w:tcPr>
            <w:tcW w:type="dxa" w:w="15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[0.447, 0.646]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Both models here are fitted on the training partition alone, so the gap between training and test error is each model's optimism; a large gap indicates overfitting. Confidence intervals are percentile bootstrap intervals over 2,000 resamples. MSE, RMSE and MAE are in magnitude units.</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42</w:t>
      </w:r>
    </w:p>
    <w:p>
      <w:pPr>
        <w:spacing w:after="160"/>
      </w:pPr>
      <w:r>
        <w:rPr>
          <w:rFonts w:ascii="Times New Roman" w:hAnsi="Times New Roman" w:eastAsia="Times New Roman"/>
          <w:b w:val="0"/>
          <w:i/>
          <w:color w:val="000000"/>
          <w:sz w:val="24"/>
        </w:rPr>
        <w:t>Training Outcome of the Three Sequence Networks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04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Setting</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21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Deep-learning backend in use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Architecture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 filters, kernel 3</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Trainable parameters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4,897</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3,681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409</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Epochs run (of 300 max)</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64</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Best validation MSE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0.1930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0.1832</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0.3694</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Optimiser</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Early stopping</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r>
      <w:tr>
        <w:tc>
          <w:tcPr>
            <w:tcW w:type="dxa" w:w="30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Input</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1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All three networks share the optimiser, the early-stopping rule and the input tensor, so the comparison isolates the architecture. The GRU carries roughly a quarter fewer parameters than the LSTM; the convolutional net has no recurrence at all, and including it tests whether the task actually requires a memory of the sequence.</w:t>
      </w:r>
    </w:p>
    <w:p>
      <w:r>
        <w:br w:type="page"/>
      </w:r>
    </w:p>
    <w:p>
      <w:pPr>
        <w:spacing w:after="0"/>
      </w:pPr>
      <w:r>
        <w:rPr>
          <w:rFonts w:ascii="Times New Roman" w:hAnsi="Times New Roman" w:eastAsia="Times New Roman"/>
          <w:b/>
          <w:i w:val="0"/>
          <w:color w:val="000000"/>
          <w:sz w:val="24"/>
        </w:rPr>
        <w:t>Table 43</w:t>
      </w:r>
    </w:p>
    <w:p>
      <w:pPr>
        <w:spacing w:after="160"/>
      </w:pPr>
      <w:r>
        <w:rPr>
          <w:rFonts w:ascii="Times New Roman" w:hAnsi="Times New Roman" w:eastAsia="Times New Roman"/>
          <w:b w:val="0"/>
          <w:i/>
          <w:color w:val="000000"/>
          <w:sz w:val="24"/>
        </w:rPr>
        <w:t>Statistical Comparison of the Two Headline Models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33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c>
          <w:tcPr>
            <w:tcW w:type="dxa" w:w="6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vs. LSTM</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|error| difference</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-0.0117</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positive favours LSTM</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Paired t</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.698</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Wilcoxon signed-rank W</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2,825.0000</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.842</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Diebold–Mariano DM</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.698</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Cohen's d (paired errors)</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-0.0328</w:t>
            </w:r>
          </w:p>
        </w:tc>
        <w:tc>
          <w:tcPr>
            <w:tcW w:type="dxa" w:w="64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 significant difference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Tests are paired on the absolute errors of the same test sequences. Diebold–Mariano is the standard forecast-comparison test; the Wilcoxon signed-rank test is reported because the loss differentials are not normal.</w:t>
      </w:r>
    </w:p>
    <w:p>
      <w:r>
        <w:br w:type="page"/>
      </w:r>
    </w:p>
    <w:p>
      <w:pPr>
        <w:spacing w:after="0"/>
      </w:pPr>
      <w:r>
        <w:rPr>
          <w:rFonts w:ascii="Times New Roman" w:hAnsi="Times New Roman" w:eastAsia="Times New Roman"/>
          <w:b/>
          <w:i w:val="0"/>
          <w:color w:val="000000"/>
          <w:sz w:val="24"/>
        </w:rPr>
        <w:t>Table 44</w:t>
      </w:r>
    </w:p>
    <w:p>
      <w:pPr>
        <w:spacing w:after="160"/>
      </w:pPr>
      <w:r>
        <w:rPr>
          <w:rFonts w:ascii="Times New Roman" w:hAnsi="Times New Roman" w:eastAsia="Times New Roman"/>
          <w:b w:val="0"/>
          <w:i/>
          <w:color w:val="000000"/>
          <w:sz w:val="24"/>
        </w:rPr>
        <w:t>Random Forest Feature Importance for Mainshock Magnitude</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9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188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Impurity importance</w:t>
            </w:r>
          </w:p>
        </w:tc>
        <w:tc>
          <w:tcPr>
            <w:tcW w:type="dxa" w:w="217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Permutation importance</w:t>
            </w:r>
          </w:p>
        </w:tc>
        <w:tc>
          <w:tcPr>
            <w:tcW w:type="dxa" w:w="15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(permutation)</w:t>
            </w:r>
          </w:p>
        </w:tc>
        <w:tc>
          <w:tcPr>
            <w:tcW w:type="dxa" w:w="2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Cumulative impurity %</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0.1806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0.0530</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0.0374</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18.0632</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0.0834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0.0269</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0.0142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26.4059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0.0389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0.0185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0.0094</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30.2982</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0.0492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0.0180</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0.0183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35.2190</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0.0524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0.0121</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40.4634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0.0096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44.7711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0.0358</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48.3501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0.0441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52.7593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0.0327</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0.0044</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56.0314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0.0010</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0.0066</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59.0433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0.0522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0.0009</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64.2643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66.8041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0.0609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0.0051</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72.8983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0.0307</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0.0074</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75.9651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0.0523</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0.0117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81.1963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0.0157</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-0.0022</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82.7689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84.6748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0.0365</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88.3260</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0.0329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91.6158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0.0046</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94.5105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0.0328</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97.7919</w:t>
            </w:r>
          </w:p>
        </w:tc>
      </w:tr>
      <w:tr>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188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0.0221</w:t>
            </w:r>
          </w:p>
        </w:tc>
        <w:tc>
          <w:tcPr>
            <w:tcW w:type="dxa" w:w="217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-0.0105</w:t>
            </w:r>
          </w:p>
        </w:tc>
        <w:tc>
          <w:tcPr>
            <w:tcW w:type="dxa" w:w="15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0.0055</w:t>
            </w:r>
          </w:p>
        </w:tc>
        <w:tc>
          <w:tcPr>
            <w:tcW w:type="dxa" w:w="2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100.0000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Impurity importance is the model's built-in metric and is biased toward high-cardinality continuous features. Permutation importance is measured on the held-out test partition and is the more trustworthy ranking; it reports the increase in error when a feature is randomly shuffled.</w:t>
      </w:r>
    </w:p>
    <w:p>
      <w:r>
        <w:br w:type="page"/>
      </w:r>
    </w:p>
    <w:p>
      <w:pPr>
        <w:spacing w:after="0"/>
      </w:pPr>
      <w:r>
        <w:rPr>
          <w:rFonts w:ascii="Times New Roman" w:hAnsi="Times New Roman" w:eastAsia="Times New Roman"/>
          <w:b/>
          <w:i w:val="0"/>
          <w:color w:val="000000"/>
          <w:sz w:val="24"/>
        </w:rPr>
        <w:t>Table 45</w:t>
      </w:r>
    </w:p>
    <w:p>
      <w:pPr>
        <w:spacing w:after="160"/>
      </w:pPr>
      <w:r>
        <w:rPr>
          <w:rFonts w:ascii="Times New Roman" w:hAnsi="Times New Roman" w:eastAsia="Times New Roman"/>
          <w:b w:val="0"/>
          <w:i/>
          <w:color w:val="000000"/>
          <w:sz w:val="24"/>
        </w:rPr>
        <w:t>Confusion Matrix for Magnitude-Class Forecasts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1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Actual class</w:t>
            </w:r>
          </w:p>
        </w:tc>
        <w:tc>
          <w:tcPr>
            <w:tcW w:type="dxa" w:w="21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Moderate (5.0-5.9)</w:t>
            </w:r>
          </w:p>
        </w:tc>
        <w:tc>
          <w:tcPr>
            <w:tcW w:type="dxa" w:w="19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Strong (6.0-6.9)</w:t>
            </w:r>
          </w:p>
        </w:tc>
        <w:tc>
          <w:tcPr>
            <w:tcW w:type="dxa" w:w="15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Major (&gt;=7.0)</w:t>
            </w:r>
          </w:p>
        </w:tc>
        <w:tc>
          <w:tcPr>
            <w:tcW w:type="dxa" w:w="14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 actual</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85 (97.7%)</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(2.3%)</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 (88.2%)</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(11.8%)</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 (66.7%)</w:t>
            </w:r>
          </w:p>
        </w:tc>
        <w:tc>
          <w:tcPr>
            <w:tcW w:type="dxa" w:w="194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5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 (33.3%)</w:t>
            </w:r>
          </w:p>
        </w:tc>
        <w:tc>
          <w:tcPr>
            <w:tcW w:type="dxa" w:w="14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Rows are observed classes, columns are forecast classes. Cell entries are counts with row percentages in parentheses; the diagonal holds the correct forecasts. An empty column means the classifier never issued that forecast: under this degree of class imbalance the majority vote of the forest is the common class for every sequence, even with balanced class weights. Tables 48 and 49 assess the same forecasts without relying on that vote.</w:t>
      </w:r>
    </w:p>
    <w:p>
      <w:r>
        <w:br w:type="page"/>
      </w:r>
    </w:p>
    <w:p>
      <w:pPr>
        <w:spacing w:after="0"/>
      </w:pPr>
      <w:r>
        <w:rPr>
          <w:rFonts w:ascii="Times New Roman" w:hAnsi="Times New Roman" w:eastAsia="Times New Roman"/>
          <w:b/>
          <w:i w:val="0"/>
          <w:color w:val="000000"/>
          <w:sz w:val="24"/>
        </w:rPr>
        <w:t>Table 46</w:t>
      </w:r>
    </w:p>
    <w:p>
      <w:pPr>
        <w:spacing w:after="160"/>
      </w:pPr>
      <w:r>
        <w:rPr>
          <w:rFonts w:ascii="Times New Roman" w:hAnsi="Times New Roman" w:eastAsia="Times New Roman"/>
          <w:b w:val="0"/>
          <w:i/>
          <w:color w:val="000000"/>
          <w:sz w:val="24"/>
        </w:rPr>
        <w:t>Per-Class Precision, Recall and F1-Score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35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Precision</w:t>
            </w:r>
          </w:p>
        </w:tc>
        <w:tc>
          <w:tcPr>
            <w:tcW w:type="dxa" w:w="1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Recall</w:t>
            </w:r>
          </w:p>
        </w:tc>
        <w:tc>
          <w:tcPr>
            <w:tcW w:type="dxa" w:w="15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F1-score</w:t>
            </w:r>
          </w:p>
        </w:tc>
        <w:tc>
          <w:tcPr>
            <w:tcW w:type="dxa" w:w="13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Support</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.833</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.977</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.899</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.190</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.333</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average</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.778</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.476</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.530</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r>
      <w:tr>
        <w:tc>
          <w:tcPr>
            <w:tcW w:type="dxa" w:w="35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Weighted average</w:t>
            </w:r>
          </w:p>
        </w:tc>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.785</w:t>
            </w:r>
          </w:p>
        </w:tc>
        <w:tc>
          <w:tcPr>
            <w:tcW w:type="dxa" w:w="1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.822</w:t>
            </w:r>
          </w:p>
        </w:tc>
        <w:tc>
          <w:tcPr>
            <w:tcW w:type="dxa" w:w="15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.776</w:t>
            </w:r>
          </w:p>
        </w:tc>
        <w:tc>
          <w:tcPr>
            <w:tcW w:type="dxa" w:w="13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Support is the number of test sequences observed in each class. The macro average weights every class equally and is the fairer summary under imbalance.</w:t>
      </w:r>
    </w:p>
    <w:p>
      <w:r>
        <w:br w:type="page"/>
      </w:r>
    </w:p>
    <w:p>
      <w:pPr>
        <w:spacing w:after="0"/>
      </w:pPr>
      <w:r>
        <w:rPr>
          <w:rFonts w:ascii="Times New Roman" w:hAnsi="Times New Roman" w:eastAsia="Times New Roman"/>
          <w:b/>
          <w:i w:val="0"/>
          <w:color w:val="000000"/>
          <w:sz w:val="24"/>
        </w:rPr>
        <w:t>Table 47</w:t>
      </w:r>
    </w:p>
    <w:p>
      <w:pPr>
        <w:spacing w:after="160"/>
      </w:pPr>
      <w:r>
        <w:rPr>
          <w:rFonts w:ascii="Times New Roman" w:hAnsi="Times New Roman" w:eastAsia="Times New Roman"/>
          <w:b w:val="0"/>
          <w:i/>
          <w:color w:val="000000"/>
          <w:sz w:val="24"/>
        </w:rPr>
        <w:t>Overall Classification Agreement, Including Cohen's Weighted Kappa</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Metric</w:t>
            </w:r>
          </w:p>
        </w:tc>
        <w:tc>
          <w:tcPr>
            <w:tcW w:type="dxa" w:w="7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Estimate</w:t>
            </w:r>
          </w:p>
        </w:tc>
        <w:tc>
          <w:tcPr>
            <w:tcW w:type="dxa" w:w="149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95% CI</w:t>
            </w:r>
          </w:p>
        </w:tc>
        <w:tc>
          <w:tcPr>
            <w:tcW w:type="dxa" w:w="318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Accuracy</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.822</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[0.748, 0.897]</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F1</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.530</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[0.301, 0.729]</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κ</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.188</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[-0.033, 0.398]</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Weighted κ (quadratic)</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.274</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[-0.030, 0.562]</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Fair</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Test sequences (N)</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Majority-class rate (no-skill accuracy)</w:t>
            </w:r>
          </w:p>
        </w:tc>
        <w:tc>
          <w:tcPr>
            <w:tcW w:type="dxa" w:w="79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.813</w:t>
            </w:r>
          </w:p>
        </w:tc>
        <w:tc>
          <w:tcPr>
            <w:tcW w:type="dxa" w:w="149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Reference for the accuracy above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Quadratic weighting penalises a forecast that misses by two classes far more than one that misses by one, as the study methodology requires. Interpretation follows the Landis and Koch benchmarks. Compare the accuracy against the majority-class rate in the final row before reading it as skill.</w:t>
      </w:r>
    </w:p>
    <w:p>
      <w:r>
        <w:br w:type="page"/>
      </w:r>
    </w:p>
    <w:p>
      <w:pPr>
        <w:spacing w:after="0"/>
      </w:pPr>
      <w:r>
        <w:rPr>
          <w:rFonts w:ascii="Times New Roman" w:hAnsi="Times New Roman" w:eastAsia="Times New Roman"/>
          <w:b/>
          <w:i w:val="0"/>
          <w:color w:val="000000"/>
          <w:sz w:val="24"/>
        </w:rPr>
        <w:t>Table 48</w:t>
      </w:r>
    </w:p>
    <w:p>
      <w:pPr>
        <w:spacing w:after="160"/>
      </w:pPr>
      <w:r>
        <w:rPr>
          <w:rFonts w:ascii="Times New Roman" w:hAnsi="Times New Roman" w:eastAsia="Times New Roman"/>
          <w:b w:val="0"/>
          <w:i/>
          <w:color w:val="000000"/>
          <w:sz w:val="24"/>
        </w:rPr>
        <w:t>Threshold-Free Probabilistic Skill for the M ≥ 6.0 Forecast</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359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Probability source</w:t>
            </w:r>
          </w:p>
        </w:tc>
        <w:tc>
          <w:tcPr>
            <w:tcW w:type="dxa" w:w="6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ROC AUC</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Average precision</w:t>
            </w:r>
          </w:p>
        </w:tc>
        <w:tc>
          <w:tcPr>
            <w:tcW w:type="dxa" w:w="10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score</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skill score</w:t>
            </w:r>
          </w:p>
        </w:tc>
        <w:tc>
          <w:tcPr>
            <w:tcW w:type="dxa" w:w="8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Base rate</w:t>
            </w:r>
          </w:p>
        </w:tc>
      </w:tr>
      <w:tr>
        <w:tc>
          <w:tcPr>
            <w:tcW w:type="dxa" w:w="359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classifier P(M ≥ 6.0)</w:t>
            </w:r>
          </w:p>
        </w:tc>
        <w:tc>
          <w:tcPr>
            <w:tcW w:type="dxa" w:w="6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.714</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.484</w:t>
            </w:r>
          </w:p>
        </w:tc>
        <w:tc>
          <w:tcPr>
            <w:tcW w:type="dxa" w:w="10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.134</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.120</w:t>
            </w:r>
          </w:p>
        </w:tc>
        <w:tc>
          <w:tcPr>
            <w:tcW w:type="dxa" w:w="8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.187</w:t>
            </w:r>
          </w:p>
        </w:tc>
      </w:tr>
      <w:tr>
        <w:tc>
          <w:tcPr>
            <w:tcW w:type="dxa" w:w="359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Random Forest regression, Platt-scaled</w:t>
            </w:r>
          </w:p>
        </w:tc>
        <w:tc>
          <w:tcPr>
            <w:tcW w:type="dxa" w:w="6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.717</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.470</w:t>
            </w:r>
          </w:p>
        </w:tc>
        <w:tc>
          <w:tcPr>
            <w:tcW w:type="dxa" w:w="10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.161</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-.056</w:t>
            </w:r>
          </w:p>
        </w:tc>
        <w:tc>
          <w:tcPr>
            <w:tcW w:type="dxa" w:w="8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ROC AUC above .50 and a positive Brier skill score indicate discrimination beyond the base rate. This is the evidence for whether the model carries any usable signal about strong events, independent of where the decision threshold is placed — a classifier whose argmax is degenerate can still rank correctly. The regression forecast is converted to a probability by Platt scaling fitted on the training and validation partitions alone.</w:t>
      </w:r>
    </w:p>
    <w:p>
      <w:r>
        <w:br w:type="page"/>
      </w:r>
    </w:p>
    <w:p>
      <w:pPr>
        <w:spacing w:after="0"/>
      </w:pPr>
      <w:r>
        <w:rPr>
          <w:rFonts w:ascii="Times New Roman" w:hAnsi="Times New Roman" w:eastAsia="Times New Roman"/>
          <w:b/>
          <w:i w:val="0"/>
          <w:color w:val="000000"/>
          <w:sz w:val="24"/>
        </w:rPr>
        <w:t>Table 49</w:t>
      </w:r>
    </w:p>
    <w:p>
      <w:pPr>
        <w:spacing w:after="160"/>
      </w:pPr>
      <w:r>
        <w:rPr>
          <w:rFonts w:ascii="Times New Roman" w:hAnsi="Times New Roman" w:eastAsia="Times New Roman"/>
          <w:b w:val="0"/>
          <w:i/>
          <w:color w:val="000000"/>
          <w:sz w:val="24"/>
        </w:rPr>
        <w:t>Operational Skill of the Forecast Treated as an M ≥ 6.0 Alarm</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828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positives (forecast and observed M ≥ 6.0)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positives (false alarms)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negatives (missed events)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negatives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detection (POD / recall)</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0.350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False-alarm ratio (FAR)</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0.462</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false detection (POFD)</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0.069</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Critical success index (CSI)</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0.269</w:t>
            </w:r>
          </w:p>
        </w:tc>
      </w:tr>
      <w:tr>
        <w:tc>
          <w:tcPr>
            <w:tcW w:type="dxa" w:w="82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Hanssen–Kuipers skill score (POD − POFD)</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0.281</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Derived from the regression forecasts by thresholding at M 6.0. POD and FAR answer the question a disaster-management reader has, which class accuracy does not: how many strong events are caught, and at what cost in false alarms.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50</w:t>
      </w:r>
    </w:p>
    <w:p>
      <w:pPr>
        <w:spacing w:after="160"/>
      </w:pPr>
      <w:r>
        <w:rPr>
          <w:rFonts w:ascii="Times New Roman" w:hAnsi="Times New Roman" w:eastAsia="Times New Roman"/>
          <w:b w:val="0"/>
          <w:i/>
          <w:color w:val="000000"/>
          <w:sz w:val="24"/>
        </w:rPr>
        <w:t>Residual Diagnostics for the Three Leading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190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w:t>
            </w:r>
          </w:p>
        </w:tc>
        <w:tc>
          <w:tcPr>
            <w:tcW w:type="dxa" w:w="63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10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Mean residual</w:t>
            </w:r>
          </w:p>
        </w:tc>
        <w:tc>
          <w:tcPr>
            <w:tcW w:type="dxa" w:w="63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9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 (mean = 0)</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(bias)</w:t>
            </w:r>
          </w:p>
        </w:tc>
        <w:tc>
          <w:tcPr>
            <w:tcW w:type="dxa" w:w="111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Shapiro–Wilk W</w:t>
            </w:r>
          </w:p>
        </w:tc>
        <w:tc>
          <w:tcPr>
            <w:tcW w:type="dxa" w:w="10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(normality)</w:t>
            </w:r>
          </w:p>
        </w:tc>
        <w:tc>
          <w:tcPr>
            <w:tcW w:type="dxa" w:w="190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Heteroscedasticity slope</w:t>
            </w:r>
          </w:p>
        </w:tc>
        <w:tc>
          <w:tcPr>
            <w:tcW w:type="dxa" w:w="11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(heterosced.)</w:t>
            </w:r>
          </w:p>
        </w:tc>
        <w:tc>
          <w:tcPr>
            <w:tcW w:type="dxa" w:w="87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Ljung–Box Q</w:t>
            </w:r>
          </w:p>
        </w:tc>
        <w:tc>
          <w:tcPr>
            <w:tcW w:type="dxa" w:w="10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(autocorr.)</w:t>
            </w:r>
          </w:p>
        </w:tc>
      </w:tr>
      <w:tr>
        <w:tc>
          <w:tcPr>
            <w:tcW w:type="dxa" w:w="190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(test)</w:t>
            </w:r>
          </w:p>
        </w:tc>
        <w:tc>
          <w:tcPr>
            <w:tcW w:type="dxa" w:w="63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0.022</w:t>
            </w:r>
          </w:p>
        </w:tc>
        <w:tc>
          <w:tcPr>
            <w:tcW w:type="dxa" w:w="63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0.501</w:t>
            </w:r>
          </w:p>
        </w:tc>
        <w:tc>
          <w:tcPr>
            <w:tcW w:type="dxa" w:w="9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0.464</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.644</w:t>
            </w:r>
          </w:p>
        </w:tc>
        <w:tc>
          <w:tcPr>
            <w:tcW w:type="dxa" w:w="111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0.940</w:t>
            </w:r>
          </w:p>
        </w:tc>
        <w:tc>
          <w:tcPr>
            <w:tcW w:type="dxa" w:w="10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0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0.251</w:t>
            </w:r>
          </w:p>
        </w:tc>
        <w:tc>
          <w:tcPr>
            <w:tcW w:type="dxa" w:w="11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.072</w:t>
            </w:r>
          </w:p>
        </w:tc>
        <w:tc>
          <w:tcPr>
            <w:tcW w:type="dxa" w:w="87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4.279</w:t>
            </w:r>
          </w:p>
        </w:tc>
        <w:tc>
          <w:tcPr>
            <w:tcW w:type="dxa" w:w="10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.934</w:t>
            </w:r>
          </w:p>
        </w:tc>
      </w:tr>
      <w:tr>
        <w:tc>
          <w:tcPr>
            <w:tcW w:type="dxa" w:w="190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Extra Trees (test)</w:t>
            </w:r>
          </w:p>
        </w:tc>
        <w:tc>
          <w:tcPr>
            <w:tcW w:type="dxa" w:w="63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0.048</w:t>
            </w:r>
          </w:p>
        </w:tc>
        <w:tc>
          <w:tcPr>
            <w:tcW w:type="dxa" w:w="63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0.501</w:t>
            </w:r>
          </w:p>
        </w:tc>
        <w:tc>
          <w:tcPr>
            <w:tcW w:type="dxa" w:w="9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0.988</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.326</w:t>
            </w:r>
          </w:p>
        </w:tc>
        <w:tc>
          <w:tcPr>
            <w:tcW w:type="dxa" w:w="111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0.949</w:t>
            </w:r>
          </w:p>
        </w:tc>
        <w:tc>
          <w:tcPr>
            <w:tcW w:type="dxa" w:w="10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0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0.361</w:t>
            </w:r>
          </w:p>
        </w:tc>
        <w:tc>
          <w:tcPr>
            <w:tcW w:type="dxa" w:w="11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.004</w:t>
            </w:r>
          </w:p>
        </w:tc>
        <w:tc>
          <w:tcPr>
            <w:tcW w:type="dxa" w:w="87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6.533</w:t>
            </w:r>
          </w:p>
        </w:tc>
        <w:tc>
          <w:tcPr>
            <w:tcW w:type="dxa" w:w="10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.769</w:t>
            </w:r>
          </w:p>
        </w:tc>
      </w:tr>
      <w:tr>
        <w:tc>
          <w:tcPr>
            <w:tcW w:type="dxa" w:w="190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Gradient Boosting (test)</w:t>
            </w:r>
          </w:p>
        </w:tc>
        <w:tc>
          <w:tcPr>
            <w:tcW w:type="dxa" w:w="63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0.069</w:t>
            </w:r>
          </w:p>
        </w:tc>
        <w:tc>
          <w:tcPr>
            <w:tcW w:type="dxa" w:w="63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0.500</w:t>
            </w:r>
          </w:p>
        </w:tc>
        <w:tc>
          <w:tcPr>
            <w:tcW w:type="dxa" w:w="9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1.428</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.156</w:t>
            </w:r>
          </w:p>
        </w:tc>
        <w:tc>
          <w:tcPr>
            <w:tcW w:type="dxa" w:w="111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0.960</w:t>
            </w:r>
          </w:p>
        </w:tc>
        <w:tc>
          <w:tcPr>
            <w:tcW w:type="dxa" w:w="10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.002</w:t>
            </w:r>
          </w:p>
        </w:tc>
        <w:tc>
          <w:tcPr>
            <w:tcW w:type="dxa" w:w="190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0.293</w:t>
            </w:r>
          </w:p>
        </w:tc>
        <w:tc>
          <w:tcPr>
            <w:tcW w:type="dxa" w:w="11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.015</w:t>
            </w:r>
          </w:p>
        </w:tc>
        <w:tc>
          <w:tcPr>
            <w:tcW w:type="dxa" w:w="87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5.204</w:t>
            </w:r>
          </w:p>
        </w:tc>
        <w:tc>
          <w:tcPr>
            <w:tcW w:type="dxa" w:w="10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.877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significant mean residual indicates systematic bias; a significant heteroscedasticity slope indicates error that grows with the forecast magnitude; a significant Ljung–Box Q indicates residuals that remain autocorrelated in time.</w:t>
      </w:r>
    </w:p>
    <w:p>
      <w:pPr>
        <w:sectPr>
          <w:pgSz w:w="15840" w:h="12240" w:orient="landscape"/>
          <w:pgMar w:top="1440" w:right="1440" w:bottom="1440" w:left="1440" w:header="720" w:footer="720" w:gutter="0"/>
          <w:cols w:space="720"/>
          <w:docGrid w:linePitch="360"/>
        </w:sectPr>
      </w:pPr>
    </w:p>
    <w:p>
      <w:pPr>
        <w:spacing w:before="360" w:after="120"/>
        <w:jc w:val="center"/>
      </w:pPr>
      <w:r>
        <w:rPr>
          <w:rFonts w:ascii="Times New Roman" w:hAnsi="Times New Roman" w:eastAsia="Times New Roman"/>
          <w:b/>
          <w:i w:val="0"/>
          <w:color w:val="000000"/>
          <w:sz w:val="24"/>
        </w:rPr>
        <w:t>Section G. Figures</w:t>
      </w:r>
    </w:p>
    <w:p>
      <w:r>
        <w:br w:type="page"/>
      </w:r>
    </w:p>
    <w:p>
      <w:pPr>
        <w:spacing w:after="0"/>
      </w:pPr>
      <w:r>
        <w:rPr>
          <w:rFonts w:ascii="Times New Roman" w:hAnsi="Times New Roman" w:eastAsia="Times New Roman"/>
          <w:b/>
          <w:i w:val="0"/>
          <w:color w:val="000000"/>
          <w:sz w:val="24"/>
        </w:rPr>
        <w:t>Figure 1</w:t>
      </w:r>
    </w:p>
    <w:p>
      <w:pPr>
        <w:spacing w:after="160"/>
      </w:pPr>
      <w:r>
        <w:rPr>
          <w:rFonts w:ascii="Times New Roman" w:hAnsi="Times New Roman" w:eastAsia="Times New Roman"/>
          <w:b w:val="0"/>
          <w:i/>
          <w:color w:val="000000"/>
          <w:sz w:val="24"/>
        </w:rPr>
        <w:t>Distribution of Magnitude and Focal Depth in the Cleaned Catalogue</w:t>
      </w:r>
    </w:p>
    <w:p>
      <w:pPr>
        <w:jc w:val="center"/>
      </w:pPr>
      <w:r>
        <w:drawing>
          <wp:inline xmlns:a="http://schemas.openxmlformats.org/drawingml/2006/main" xmlns:pic="http://schemas.openxmlformats.org/drawingml/2006/picture">
            <wp:extent cx="5852160" cy="2387028"/>
            <wp:docPr id="1" name="Picture 1"/>
            <wp:cNvGraphicFramePr>
              <a:graphicFrameLocks noChangeAspect="1"/>
            </wp:cNvGraphicFramePr>
            <a:graphic>
              <a:graphicData uri="http://schemas.openxmlformats.org/drawingml/2006/picture">
                <pic:pic>
                  <pic:nvPicPr>
                    <pic:cNvPr id="0" name="fig_distributions.png"/>
                    <pic:cNvPicPr/>
                  </pic:nvPicPr>
                  <pic:blipFill>
                    <a:blip r:embed="rId9"/>
                    <a:stretch>
                      <a:fillRect/>
                    </a:stretch>
                  </pic:blipFill>
                  <pic:spPr>
                    <a:xfrm>
                      <a:off x="0" y="0"/>
                      <a:ext cx="5852160" cy="2387028"/>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events.</w:t>
      </w:r>
    </w:p>
    <w:p>
      <w:r>
        <w:br w:type="page"/>
      </w:r>
    </w:p>
    <w:p>
      <w:pPr>
        <w:spacing w:after="0"/>
      </w:pPr>
      <w:r>
        <w:rPr>
          <w:rFonts w:ascii="Times New Roman" w:hAnsi="Times New Roman" w:eastAsia="Times New Roman"/>
          <w:b/>
          <w:i w:val="0"/>
          <w:color w:val="000000"/>
          <w:sz w:val="24"/>
        </w:rPr>
        <w:t>Figure 2</w:t>
      </w:r>
    </w:p>
    <w:p>
      <w:pPr>
        <w:spacing w:after="160"/>
      </w:pPr>
      <w:r>
        <w:rPr>
          <w:rFonts w:ascii="Times New Roman" w:hAnsi="Times New Roman" w:eastAsia="Times New Roman"/>
          <w:b w:val="0"/>
          <w:i/>
          <w:color w:val="000000"/>
          <w:sz w:val="24"/>
        </w:rPr>
        <w:t>Epicentral Distribution of Catalogued Earthquakes</w:t>
      </w:r>
    </w:p>
    <w:p>
      <w:pPr>
        <w:jc w:val="center"/>
      </w:pPr>
      <w:r>
        <w:drawing>
          <wp:inline xmlns:a="http://schemas.openxmlformats.org/drawingml/2006/main" xmlns:pic="http://schemas.openxmlformats.org/drawingml/2006/picture">
            <wp:extent cx="3840480" cy="4389539"/>
            <wp:docPr id="2" name="Picture 2"/>
            <wp:cNvGraphicFramePr>
              <a:graphicFrameLocks noChangeAspect="1"/>
            </wp:cNvGraphicFramePr>
            <a:graphic>
              <a:graphicData uri="http://schemas.openxmlformats.org/drawingml/2006/picture">
                <pic:pic>
                  <pic:nvPicPr>
                    <pic:cNvPr id="0" name="fig_epicentres.png"/>
                    <pic:cNvPicPr/>
                  </pic:nvPicPr>
                  <pic:blipFill>
                    <a:blip r:embed="rId10"/>
                    <a:stretch>
                      <a:fillRect/>
                    </a:stretch>
                  </pic:blipFill>
                  <pic:spPr>
                    <a:xfrm>
                      <a:off x="0" y="0"/>
                      <a:ext cx="3840480" cy="4389539"/>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Open circles mark events of M ≥ 6.0.</w:t>
      </w:r>
    </w:p>
    <w:p>
      <w:r>
        <w:br w:type="page"/>
      </w:r>
    </w:p>
    <w:p>
      <w:pPr>
        <w:spacing w:after="0"/>
      </w:pPr>
      <w:r>
        <w:rPr>
          <w:rFonts w:ascii="Times New Roman" w:hAnsi="Times New Roman" w:eastAsia="Times New Roman"/>
          <w:b/>
          <w:i w:val="0"/>
          <w:color w:val="000000"/>
          <w:sz w:val="24"/>
        </w:rPr>
        <w:t>Figure 3</w:t>
      </w:r>
    </w:p>
    <w:p>
      <w:pPr>
        <w:spacing w:after="160"/>
      </w:pPr>
      <w:r>
        <w:rPr>
          <w:rFonts w:ascii="Times New Roman" w:hAnsi="Times New Roman" w:eastAsia="Times New Roman"/>
          <w:b w:val="0"/>
          <w:i/>
          <w:color w:val="000000"/>
          <w:sz w:val="24"/>
        </w:rPr>
        <w:t>Frequency–Magnitude Distribution and the Gutenberg–Richter Fit</w:t>
      </w:r>
    </w:p>
    <w:p>
      <w:pPr>
        <w:jc w:val="center"/>
      </w:pPr>
      <w:r>
        <w:drawing>
          <wp:inline xmlns:a="http://schemas.openxmlformats.org/drawingml/2006/main" xmlns:pic="http://schemas.openxmlformats.org/drawingml/2006/picture">
            <wp:extent cx="4023360" cy="2959748"/>
            <wp:docPr id="3" name="Picture 3"/>
            <wp:cNvGraphicFramePr>
              <a:graphicFrameLocks noChangeAspect="1"/>
            </wp:cNvGraphicFramePr>
            <a:graphic>
              <a:graphicData uri="http://schemas.openxmlformats.org/drawingml/2006/picture">
                <pic:pic>
                  <pic:nvPicPr>
                    <pic:cNvPr id="0" name="fig_gutenberg_richter.png"/>
                    <pic:cNvPicPr/>
                  </pic:nvPicPr>
                  <pic:blipFill>
                    <a:blip r:embed="rId11"/>
                    <a:stretch>
                      <a:fillRect/>
                    </a:stretch>
                  </pic:blipFill>
                  <pic:spPr>
                    <a:xfrm>
                      <a:off x="0" y="0"/>
                      <a:ext cx="4023360" cy="2959748"/>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fitted line uses the Aki–Utsu maximum-likelihood b-value above Mc.</w:t>
      </w:r>
    </w:p>
    <w:p>
      <w:r>
        <w:br w:type="page"/>
      </w:r>
    </w:p>
    <w:p>
      <w:pPr>
        <w:spacing w:after="0"/>
      </w:pPr>
      <w:r>
        <w:rPr>
          <w:rFonts w:ascii="Times New Roman" w:hAnsi="Times New Roman" w:eastAsia="Times New Roman"/>
          <w:b/>
          <w:i w:val="0"/>
          <w:color w:val="000000"/>
          <w:sz w:val="24"/>
        </w:rPr>
        <w:t>Figure 4</w:t>
      </w:r>
    </w:p>
    <w:p>
      <w:pPr>
        <w:spacing w:after="160"/>
      </w:pPr>
      <w:r>
        <w:rPr>
          <w:rFonts w:ascii="Times New Roman" w:hAnsi="Times New Roman" w:eastAsia="Times New Roman"/>
          <w:b w:val="0"/>
          <w:i/>
          <w:color w:val="000000"/>
          <w:sz w:val="24"/>
        </w:rPr>
        <w:t>Annual Recorded Seismicity and Annual Maximum Magnitude</w:t>
      </w:r>
    </w:p>
    <w:p>
      <w:pPr>
        <w:jc w:val="center"/>
      </w:pPr>
      <w:r>
        <w:drawing>
          <wp:inline xmlns:a="http://schemas.openxmlformats.org/drawingml/2006/main" xmlns:pic="http://schemas.openxmlformats.org/drawingml/2006/picture">
            <wp:extent cx="5852160" cy="2387028"/>
            <wp:docPr id="4" name="Picture 4"/>
            <wp:cNvGraphicFramePr>
              <a:graphicFrameLocks noChangeAspect="1"/>
            </wp:cNvGraphicFramePr>
            <a:graphic>
              <a:graphicData uri="http://schemas.openxmlformats.org/drawingml/2006/picture">
                <pic:pic>
                  <pic:nvPicPr>
                    <pic:cNvPr id="0" name="fig_temporal.png"/>
                    <pic:cNvPicPr/>
                  </pic:nvPicPr>
                  <pic:blipFill>
                    <a:blip r:embed="rId12"/>
                    <a:stretch>
                      <a:fillRect/>
                    </a:stretch>
                  </pic:blipFill>
                  <pic:spPr>
                    <a:xfrm>
                      <a:off x="0" y="0"/>
                      <a:ext cx="5852160" cy="2387028"/>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Bars are event counts (left axis); the line is the annual maximum magnitude (right axis).</w:t>
      </w:r>
    </w:p>
    <w:p>
      <w:r>
        <w:br w:type="page"/>
      </w:r>
    </w:p>
    <w:p>
      <w:pPr>
        <w:spacing w:after="0"/>
      </w:pPr>
      <w:r>
        <w:rPr>
          <w:rFonts w:ascii="Times New Roman" w:hAnsi="Times New Roman" w:eastAsia="Times New Roman"/>
          <w:b/>
          <w:i w:val="0"/>
          <w:color w:val="000000"/>
          <w:sz w:val="24"/>
        </w:rPr>
        <w:t>Figure 5</w:t>
      </w:r>
    </w:p>
    <w:p>
      <w:pPr>
        <w:spacing w:after="160"/>
      </w:pPr>
      <w:r>
        <w:rPr>
          <w:rFonts w:ascii="Times New Roman" w:hAnsi="Times New Roman" w:eastAsia="Times New Roman"/>
          <w:b w:val="0"/>
          <w:i/>
          <w:color w:val="000000"/>
          <w:sz w:val="24"/>
        </w:rPr>
        <w:t>Distribution of Validation RMSE Across Rolling-Origin Folds</w:t>
      </w:r>
    </w:p>
    <w:p>
      <w:pPr>
        <w:jc w:val="center"/>
      </w:pPr>
      <w:r>
        <w:drawing>
          <wp:inline xmlns:a="http://schemas.openxmlformats.org/drawingml/2006/main" xmlns:pic="http://schemas.openxmlformats.org/drawingml/2006/picture">
            <wp:extent cx="5669280" cy="4886673"/>
            <wp:docPr id="5" name="Picture 5"/>
            <wp:cNvGraphicFramePr>
              <a:graphicFrameLocks noChangeAspect="1"/>
            </wp:cNvGraphicFramePr>
            <a:graphic>
              <a:graphicData uri="http://schemas.openxmlformats.org/drawingml/2006/picture">
                <pic:pic>
                  <pic:nvPicPr>
                    <pic:cNvPr id="0" name="fig_cv_distribution.png"/>
                    <pic:cNvPicPr/>
                  </pic:nvPicPr>
                  <pic:blipFill>
                    <a:blip r:embed="rId13"/>
                    <a:stretch>
                      <a:fillRect/>
                    </a:stretch>
                  </pic:blipFill>
                  <pic:spPr>
                    <a:xfrm>
                      <a:off x="0" y="0"/>
                      <a:ext cx="5669280" cy="4886673"/>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Models ordered by mean RMSE. The width of each box is the model's instability across folds, which a single test score cannot show.</w:t>
      </w:r>
    </w:p>
    <w:p>
      <w:r>
        <w:br w:type="page"/>
      </w:r>
    </w:p>
    <w:p>
      <w:pPr>
        <w:spacing w:after="0"/>
      </w:pPr>
      <w:r>
        <w:rPr>
          <w:rFonts w:ascii="Times New Roman" w:hAnsi="Times New Roman" w:eastAsia="Times New Roman"/>
          <w:b/>
          <w:i w:val="0"/>
          <w:color w:val="000000"/>
          <w:sz w:val="24"/>
        </w:rPr>
        <w:t>Figure 6</w:t>
      </w:r>
    </w:p>
    <w:p>
      <w:pPr>
        <w:spacing w:after="160"/>
      </w:pPr>
      <w:r>
        <w:rPr>
          <w:rFonts w:ascii="Times New Roman" w:hAnsi="Times New Roman" w:eastAsia="Times New Roman"/>
          <w:b w:val="0"/>
          <w:i/>
          <w:color w:val="000000"/>
          <w:sz w:val="24"/>
        </w:rPr>
        <w:t>Test-Partition RMSE for All 16 Models</w:t>
      </w:r>
    </w:p>
    <w:p>
      <w:pPr>
        <w:jc w:val="center"/>
      </w:pPr>
      <w:r>
        <w:drawing>
          <wp:inline xmlns:a="http://schemas.openxmlformats.org/drawingml/2006/main" xmlns:pic="http://schemas.openxmlformats.org/drawingml/2006/picture">
            <wp:extent cx="5669280" cy="4892413"/>
            <wp:docPr id="6" name="Picture 6"/>
            <wp:cNvGraphicFramePr>
              <a:graphicFrameLocks noChangeAspect="1"/>
            </wp:cNvGraphicFramePr>
            <a:graphic>
              <a:graphicData uri="http://schemas.openxmlformats.org/drawingml/2006/picture">
                <pic:pic>
                  <pic:nvPicPr>
                    <pic:cNvPr id="0" name="fig_leaderboard.png"/>
                    <pic:cNvPicPr/>
                  </pic:nvPicPr>
                  <pic:blipFill>
                    <a:blip r:embed="rId14"/>
                    <a:stretch>
                      <a:fillRect/>
                    </a:stretch>
                  </pic:blipFill>
                  <pic:spPr>
                    <a:xfrm>
                      <a:off x="0" y="0"/>
                      <a:ext cx="5669280" cy="4892413"/>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marks the climatology baseline; any bar to its right is a model that fails to beat the historical average.</w:t>
      </w:r>
    </w:p>
    <w:p>
      <w:r>
        <w:br w:type="page"/>
      </w:r>
    </w:p>
    <w:p>
      <w:pPr>
        <w:spacing w:after="0"/>
      </w:pPr>
      <w:r>
        <w:rPr>
          <w:rFonts w:ascii="Times New Roman" w:hAnsi="Times New Roman" w:eastAsia="Times New Roman"/>
          <w:b/>
          <w:i w:val="0"/>
          <w:color w:val="000000"/>
          <w:sz w:val="24"/>
        </w:rPr>
        <w:t>Figure 7</w:t>
      </w:r>
    </w:p>
    <w:p>
      <w:pPr>
        <w:spacing w:after="160"/>
      </w:pPr>
      <w:r>
        <w:rPr>
          <w:rFonts w:ascii="Times New Roman" w:hAnsi="Times New Roman" w:eastAsia="Times New Roman"/>
          <w:b w:val="0"/>
          <w:i/>
          <w:color w:val="000000"/>
          <w:sz w:val="24"/>
        </w:rPr>
        <w:t>Validation Learning Curves for the Three Sequence Networks</w:t>
      </w:r>
    </w:p>
    <w:p>
      <w:pPr>
        <w:jc w:val="center"/>
      </w:pPr>
      <w:r>
        <w:drawing>
          <wp:inline xmlns:a="http://schemas.openxmlformats.org/drawingml/2006/main" xmlns:pic="http://schemas.openxmlformats.org/drawingml/2006/picture">
            <wp:extent cx="4754880" cy="2901126"/>
            <wp:docPr id="7" name="Picture 7"/>
            <wp:cNvGraphicFramePr>
              <a:graphicFrameLocks noChangeAspect="1"/>
            </wp:cNvGraphicFramePr>
            <a:graphic>
              <a:graphicData uri="http://schemas.openxmlformats.org/drawingml/2006/picture">
                <pic:pic>
                  <pic:nvPicPr>
                    <pic:cNvPr id="0" name="fig_learning_curves.png"/>
                    <pic:cNvPicPr/>
                  </pic:nvPicPr>
                  <pic:blipFill>
                    <a:blip r:embed="rId15"/>
                    <a:stretch>
                      <a:fillRect/>
                    </a:stretch>
                  </pic:blipFill>
                  <pic:spPr>
                    <a:xfrm>
                      <a:off x="0" y="0"/>
                      <a:ext cx="4754880" cy="2901126"/>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Early stopping restores the weights at each curve's minimum.</w:t>
      </w:r>
    </w:p>
    <w:p>
      <w:r>
        <w:br w:type="page"/>
      </w:r>
    </w:p>
    <w:p>
      <w:pPr>
        <w:spacing w:after="0"/>
      </w:pPr>
      <w:r>
        <w:rPr>
          <w:rFonts w:ascii="Times New Roman" w:hAnsi="Times New Roman" w:eastAsia="Times New Roman"/>
          <w:b/>
          <w:i w:val="0"/>
          <w:color w:val="000000"/>
          <w:sz w:val="24"/>
        </w:rPr>
        <w:t>Figure 8</w:t>
      </w:r>
    </w:p>
    <w:p>
      <w:pPr>
        <w:spacing w:after="160"/>
      </w:pPr>
      <w:r>
        <w:rPr>
          <w:rFonts w:ascii="Times New Roman" w:hAnsi="Times New Roman" w:eastAsia="Times New Roman"/>
          <w:b w:val="0"/>
          <w:i/>
          <w:color w:val="000000"/>
          <w:sz w:val="24"/>
        </w:rPr>
        <w:t>Permutation Feature Importance for the Random Forest Model</w:t>
      </w:r>
    </w:p>
    <w:p>
      <w:pPr>
        <w:jc w:val="center"/>
      </w:pPr>
      <w:r>
        <w:drawing>
          <wp:inline xmlns:a="http://schemas.openxmlformats.org/drawingml/2006/main" xmlns:pic="http://schemas.openxmlformats.org/drawingml/2006/picture">
            <wp:extent cx="4572000" cy="3461480"/>
            <wp:docPr id="8" name="Picture 8"/>
            <wp:cNvGraphicFramePr>
              <a:graphicFrameLocks noChangeAspect="1"/>
            </wp:cNvGraphicFramePr>
            <a:graphic>
              <a:graphicData uri="http://schemas.openxmlformats.org/drawingml/2006/picture">
                <pic:pic>
                  <pic:nvPicPr>
                    <pic:cNvPr id="0" name="fig_importance.png"/>
                    <pic:cNvPicPr/>
                  </pic:nvPicPr>
                  <pic:blipFill>
                    <a:blip r:embed="rId16"/>
                    <a:stretch>
                      <a:fillRect/>
                    </a:stretch>
                  </pic:blipFill>
                  <pic:spPr>
                    <a:xfrm>
                      <a:off x="0" y="0"/>
                      <a:ext cx="4572000" cy="3461480"/>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Error bars are ±1 SD over 20 permutation repeats on the test partition.</w:t>
      </w:r>
    </w:p>
    <w:p>
      <w:r>
        <w:br w:type="page"/>
      </w:r>
    </w:p>
    <w:p>
      <w:pPr>
        <w:spacing w:after="0"/>
      </w:pPr>
      <w:r>
        <w:rPr>
          <w:rFonts w:ascii="Times New Roman" w:hAnsi="Times New Roman" w:eastAsia="Times New Roman"/>
          <w:b/>
          <w:i w:val="0"/>
          <w:color w:val="000000"/>
          <w:sz w:val="24"/>
        </w:rPr>
        <w:t>Figure 9</w:t>
      </w:r>
    </w:p>
    <w:p>
      <w:pPr>
        <w:spacing w:after="160"/>
      </w:pPr>
      <w:r>
        <w:rPr>
          <w:rFonts w:ascii="Times New Roman" w:hAnsi="Times New Roman" w:eastAsia="Times New Roman"/>
          <w:b w:val="0"/>
          <w:i/>
          <w:color w:val="000000"/>
          <w:sz w:val="24"/>
        </w:rPr>
        <w:t>Forecast Versus Observed Mainshock Magnitude for the Three Leading Models</w:t>
      </w:r>
    </w:p>
    <w:p>
      <w:pPr>
        <w:jc w:val="center"/>
      </w:pPr>
      <w:r>
        <w:drawing>
          <wp:inline xmlns:a="http://schemas.openxmlformats.org/drawingml/2006/main" xmlns:pic="http://schemas.openxmlformats.org/drawingml/2006/picture">
            <wp:extent cx="5852160" cy="2055113"/>
            <wp:docPr id="9" name="Picture 9"/>
            <wp:cNvGraphicFramePr>
              <a:graphicFrameLocks noChangeAspect="1"/>
            </wp:cNvGraphicFramePr>
            <a:graphic>
              <a:graphicData uri="http://schemas.openxmlformats.org/drawingml/2006/picture">
                <pic:pic>
                  <pic:nvPicPr>
                    <pic:cNvPr id="0" name="fig_predictions.png"/>
                    <pic:cNvPicPr/>
                  </pic:nvPicPr>
                  <pic:blipFill>
                    <a:blip r:embed="rId17"/>
                    <a:stretch>
                      <a:fillRect/>
                    </a:stretch>
                  </pic:blipFill>
                  <pic:spPr>
                    <a:xfrm>
                      <a:off x="0" y="0"/>
                      <a:ext cx="5852160" cy="2055113"/>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is perfect agreement.</w:t>
      </w:r>
    </w:p>
    <w:p>
      <w:r>
        <w:br w:type="page"/>
      </w:r>
    </w:p>
    <w:p>
      <w:pPr>
        <w:spacing w:after="0"/>
      </w:pPr>
      <w:r>
        <w:rPr>
          <w:rFonts w:ascii="Times New Roman" w:hAnsi="Times New Roman" w:eastAsia="Times New Roman"/>
          <w:b/>
          <w:i w:val="0"/>
          <w:color w:val="000000"/>
          <w:sz w:val="24"/>
        </w:rPr>
        <w:t>Figure 10</w:t>
      </w:r>
    </w:p>
    <w:p>
      <w:pPr>
        <w:spacing w:after="160"/>
      </w:pPr>
      <w:r>
        <w:rPr>
          <w:rFonts w:ascii="Times New Roman" w:hAnsi="Times New Roman" w:eastAsia="Times New Roman"/>
          <w:b w:val="0"/>
          <w:i/>
          <w:color w:val="000000"/>
          <w:sz w:val="24"/>
        </w:rPr>
        <w:t>Residuals Against Forecast Magnitude</w:t>
      </w:r>
    </w:p>
    <w:p>
      <w:pPr>
        <w:jc w:val="center"/>
      </w:pPr>
      <w:r>
        <w:drawing>
          <wp:inline xmlns:a="http://schemas.openxmlformats.org/drawingml/2006/main" xmlns:pic="http://schemas.openxmlformats.org/drawingml/2006/picture">
            <wp:extent cx="4572000" cy="2902710"/>
            <wp:docPr id="10" name="Picture 10"/>
            <wp:cNvGraphicFramePr>
              <a:graphicFrameLocks noChangeAspect="1"/>
            </wp:cNvGraphicFramePr>
            <a:graphic>
              <a:graphicData uri="http://schemas.openxmlformats.org/drawingml/2006/picture">
                <pic:pic>
                  <pic:nvPicPr>
                    <pic:cNvPr id="0" name="fig_residuals.png"/>
                    <pic:cNvPicPr/>
                  </pic:nvPicPr>
                  <pic:blipFill>
                    <a:blip r:embed="rId18"/>
                    <a:stretch>
                      <a:fillRect/>
                    </a:stretch>
                  </pic:blipFill>
                  <pic:spPr>
                    <a:xfrm>
                      <a:off x="0" y="0"/>
                      <a:ext cx="4572000" cy="2902710"/>
                    </a:xfrm>
                    <a:prstGeom prst="rect"/>
                  </pic:spPr>
                </pic:pic>
              </a:graphicData>
            </a:graphic>
          </wp:inline>
        </w:drawing>
      </w:r>
    </w:p>
    <w:p>
      <w:r>
        <w:br w:type="page"/>
      </w:r>
    </w:p>
    <w:p>
      <w:pPr>
        <w:spacing w:after="0"/>
      </w:pPr>
      <w:r>
        <w:rPr>
          <w:rFonts w:ascii="Times New Roman" w:hAnsi="Times New Roman" w:eastAsia="Times New Roman"/>
          <w:b/>
          <w:i w:val="0"/>
          <w:color w:val="000000"/>
          <w:sz w:val="24"/>
        </w:rPr>
        <w:t>Figure 11</w:t>
      </w:r>
    </w:p>
    <w:p>
      <w:pPr>
        <w:spacing w:after="160"/>
      </w:pPr>
      <w:r>
        <w:rPr>
          <w:rFonts w:ascii="Times New Roman" w:hAnsi="Times New Roman" w:eastAsia="Times New Roman"/>
          <w:b w:val="0"/>
          <w:i/>
          <w:color w:val="000000"/>
          <w:sz w:val="24"/>
        </w:rPr>
        <w:t>Confusion Matrix for Magnitude-Class Forecasts</w:t>
      </w:r>
    </w:p>
    <w:p>
      <w:pPr>
        <w:jc w:val="center"/>
      </w:pPr>
      <w:r>
        <w:drawing>
          <wp:inline xmlns:a="http://schemas.openxmlformats.org/drawingml/2006/main" xmlns:pic="http://schemas.openxmlformats.org/drawingml/2006/picture">
            <wp:extent cx="4023360" cy="3493036"/>
            <wp:docPr id="11" name="Picture 11"/>
            <wp:cNvGraphicFramePr>
              <a:graphicFrameLocks noChangeAspect="1"/>
            </wp:cNvGraphicFramePr>
            <a:graphic>
              <a:graphicData uri="http://schemas.openxmlformats.org/drawingml/2006/picture">
                <pic:pic>
                  <pic:nvPicPr>
                    <pic:cNvPr id="0" name="fig_confusion.png"/>
                    <pic:cNvPicPr/>
                  </pic:nvPicPr>
                  <pic:blipFill>
                    <a:blip r:embed="rId19"/>
                    <a:stretch>
                      <a:fillRect/>
                    </a:stretch>
                  </pic:blipFill>
                  <pic:spPr>
                    <a:xfrm>
                      <a:off x="0" y="0"/>
                      <a:ext cx="4023360" cy="3493036"/>
                    </a:xfrm>
                    <a:prstGeom prst="rect"/>
                  </pic:spPr>
                </pic:pic>
              </a:graphicData>
            </a:graphic>
          </wp:inline>
        </w:drawing>
      </w:r>
    </w:p>
    <w:p>
      <w:pPr>
        <w:spacing w:before="360" w:after="120"/>
        <w:jc w:val="center"/>
      </w:pPr>
      <w:r>
        <w:rPr>
          <w:rFonts w:ascii="Times New Roman" w:hAnsi="Times New Roman" w:eastAsia="Times New Roman"/>
          <w:b/>
          <w:i w:val="0"/>
          <w:color w:val="000000"/>
          <w:sz w:val="24"/>
        </w:rPr>
        <w:t>List of Tables</w:t>
      </w:r>
    </w:p>
    <w:p>
      <w:pPr>
        <w:spacing w:after="120" w:line="360" w:lineRule="auto"/>
      </w:pPr>
      <w:r>
        <w:rPr>
          <w:rFonts w:ascii="Times New Roman" w:hAnsi="Times New Roman" w:eastAsia="Times New Roman"/>
          <w:b w:val="0"/>
          <w:i w:val="0"/>
          <w:color w:val="000000"/>
          <w:sz w:val="22"/>
        </w:rPr>
        <w:t>Table 1. Profile of the PHIVOLCS Earthquake Catalogue After Cleaning</w:t>
      </w:r>
    </w:p>
    <w:p>
      <w:pPr>
        <w:spacing w:after="120" w:line="360" w:lineRule="auto"/>
      </w:pPr>
      <w:r>
        <w:rPr>
          <w:rFonts w:ascii="Times New Roman" w:hAnsi="Times New Roman" w:eastAsia="Times New Roman"/>
          <w:b w:val="0"/>
          <w:i w:val="0"/>
          <w:color w:val="000000"/>
          <w:sz w:val="22"/>
        </w:rPr>
        <w:t>Table 2. Data-Cleaning Audit Trail</w:t>
      </w:r>
    </w:p>
    <w:p>
      <w:pPr>
        <w:spacing w:after="120" w:line="360" w:lineRule="auto"/>
      </w:pPr>
      <w:r>
        <w:rPr>
          <w:rFonts w:ascii="Times New Roman" w:hAnsi="Times New Roman" w:eastAsia="Times New Roman"/>
          <w:b w:val="0"/>
          <w:i w:val="0"/>
          <w:color w:val="000000"/>
          <w:sz w:val="22"/>
        </w:rPr>
        <w:t>Table 3. Availability and Distribution of the Four Reported Magnitude Scales</w:t>
      </w:r>
    </w:p>
    <w:p>
      <w:pPr>
        <w:spacing w:after="120" w:line="360" w:lineRule="auto"/>
      </w:pPr>
      <w:r>
        <w:rPr>
          <w:rFonts w:ascii="Times New Roman" w:hAnsi="Times New Roman" w:eastAsia="Times New Roman"/>
          <w:b w:val="0"/>
          <w:i w:val="0"/>
          <w:color w:val="000000"/>
          <w:sz w:val="22"/>
        </w:rPr>
        <w:t>Table 4. Co-Reporting of Magnitude Scales Within the Catalogue</w:t>
      </w:r>
    </w:p>
    <w:p>
      <w:pPr>
        <w:spacing w:after="120" w:line="360" w:lineRule="auto"/>
      </w:pPr>
      <w:r>
        <w:rPr>
          <w:rFonts w:ascii="Times New Roman" w:hAnsi="Times New Roman" w:eastAsia="Times New Roman"/>
          <w:b w:val="0"/>
          <w:i w:val="0"/>
          <w:color w:val="000000"/>
          <w:sz w:val="22"/>
        </w:rPr>
        <w:t>Table 5. Orthogonal Regression Relations Between Magnitude Scales</w:t>
      </w:r>
    </w:p>
    <w:p>
      <w:pPr>
        <w:spacing w:after="120" w:line="360" w:lineRule="auto"/>
      </w:pPr>
      <w:r>
        <w:rPr>
          <w:rFonts w:ascii="Times New Roman" w:hAnsi="Times New Roman" w:eastAsia="Times New Roman"/>
          <w:b w:val="0"/>
          <w:i w:val="0"/>
          <w:color w:val="000000"/>
          <w:sz w:val="22"/>
        </w:rPr>
        <w:t>Table 6. Descriptive Statistics for the Principal Seismic Parameters</w:t>
      </w:r>
    </w:p>
    <w:p>
      <w:pPr>
        <w:spacing w:after="120" w:line="360" w:lineRule="auto"/>
      </w:pPr>
      <w:r>
        <w:rPr>
          <w:rFonts w:ascii="Times New Roman" w:hAnsi="Times New Roman" w:eastAsia="Times New Roman"/>
          <w:b w:val="0"/>
          <w:i w:val="0"/>
          <w:color w:val="000000"/>
          <w:sz w:val="22"/>
        </w:rPr>
        <w:t>Table 7. Frequency Distribution of Events by Magnitude Class</w:t>
      </w:r>
    </w:p>
    <w:p>
      <w:pPr>
        <w:spacing w:after="120" w:line="360" w:lineRule="auto"/>
      </w:pPr>
      <w:r>
        <w:rPr>
          <w:rFonts w:ascii="Times New Roman" w:hAnsi="Times New Roman" w:eastAsia="Times New Roman"/>
          <w:b w:val="0"/>
          <w:i w:val="0"/>
          <w:color w:val="000000"/>
          <w:sz w:val="22"/>
        </w:rPr>
        <w:t>Table 8. Recorded Seismicity by Decade</w:t>
      </w:r>
    </w:p>
    <w:p>
      <w:pPr>
        <w:spacing w:after="120" w:line="360" w:lineRule="auto"/>
      </w:pPr>
      <w:r>
        <w:rPr>
          <w:rFonts w:ascii="Times New Roman" w:hAnsi="Times New Roman" w:eastAsia="Times New Roman"/>
          <w:b w:val="0"/>
          <w:i w:val="0"/>
          <w:color w:val="000000"/>
          <w:sz w:val="22"/>
        </w:rPr>
        <w:t>Table 9. Frequency Distribution of Events by Hypocentral Depth Class</w:t>
      </w:r>
    </w:p>
    <w:p>
      <w:pPr>
        <w:spacing w:after="120" w:line="360" w:lineRule="auto"/>
      </w:pPr>
      <w:r>
        <w:rPr>
          <w:rFonts w:ascii="Times New Roman" w:hAnsi="Times New Roman" w:eastAsia="Times New Roman"/>
          <w:b w:val="0"/>
          <w:i w:val="0"/>
          <w:color w:val="000000"/>
          <w:sz w:val="22"/>
        </w:rPr>
        <w:t>Table 10. Cross-Tabulation of Magnitude Class by Hypocentral Depth Class</w:t>
      </w:r>
    </w:p>
    <w:p>
      <w:pPr>
        <w:spacing w:after="120" w:line="360" w:lineRule="auto"/>
      </w:pPr>
      <w:r>
        <w:rPr>
          <w:rFonts w:ascii="Times New Roman" w:hAnsi="Times New Roman" w:eastAsia="Times New Roman"/>
          <w:b w:val="0"/>
          <w:i w:val="0"/>
          <w:color w:val="000000"/>
          <w:sz w:val="22"/>
        </w:rPr>
        <w:t>Table 11. Tests of Normality for the Seismic Parameters</w:t>
      </w:r>
    </w:p>
    <w:p>
      <w:pPr>
        <w:spacing w:after="120" w:line="360" w:lineRule="auto"/>
      </w:pPr>
      <w:r>
        <w:rPr>
          <w:rFonts w:ascii="Times New Roman" w:hAnsi="Times New Roman" w:eastAsia="Times New Roman"/>
          <w:b w:val="0"/>
          <w:i w:val="0"/>
          <w:color w:val="000000"/>
          <w:sz w:val="22"/>
        </w:rPr>
        <w:t>Table 12. Pearson Correlation Matrix for the Seismic Parameters</w:t>
      </w:r>
    </w:p>
    <w:p>
      <w:pPr>
        <w:spacing w:after="120" w:line="360" w:lineRule="auto"/>
      </w:pPr>
      <w:r>
        <w:rPr>
          <w:rFonts w:ascii="Times New Roman" w:hAnsi="Times New Roman" w:eastAsia="Times New Roman"/>
          <w:b w:val="0"/>
          <w:i w:val="0"/>
          <w:color w:val="000000"/>
          <w:sz w:val="22"/>
        </w:rPr>
        <w:t>Table 13. Pairwise Associations Among the Seismic Parameters</w:t>
      </w:r>
    </w:p>
    <w:p>
      <w:pPr>
        <w:spacing w:after="120" w:line="360" w:lineRule="auto"/>
      </w:pPr>
      <w:r>
        <w:rPr>
          <w:rFonts w:ascii="Times New Roman" w:hAnsi="Times New Roman" w:eastAsia="Times New Roman"/>
          <w:b w:val="0"/>
          <w:i w:val="0"/>
          <w:color w:val="000000"/>
          <w:sz w:val="22"/>
        </w:rPr>
        <w:t>Table 14. Magnitude by Depth Class: Group Descriptive Statistics</w:t>
      </w:r>
    </w:p>
    <w:p>
      <w:pPr>
        <w:spacing w:after="120" w:line="360" w:lineRule="auto"/>
      </w:pPr>
      <w:r>
        <w:rPr>
          <w:rFonts w:ascii="Times New Roman" w:hAnsi="Times New Roman" w:eastAsia="Times New Roman"/>
          <w:b w:val="0"/>
          <w:i w:val="0"/>
          <w:color w:val="000000"/>
          <w:sz w:val="22"/>
        </w:rPr>
        <w:t>Table 15. Omnibus Tests of Magnitude Differences Across Depth Classes</w:t>
      </w:r>
    </w:p>
    <w:p>
      <w:pPr>
        <w:spacing w:after="120" w:line="360" w:lineRule="auto"/>
      </w:pPr>
      <w:r>
        <w:rPr>
          <w:rFonts w:ascii="Times New Roman" w:hAnsi="Times New Roman" w:eastAsia="Times New Roman"/>
          <w:b w:val="0"/>
          <w:i w:val="0"/>
          <w:color w:val="000000"/>
          <w:sz w:val="22"/>
        </w:rPr>
        <w:t>Table 16. Dunn's Post Hoc Comparisons of Magnitude Across Depth Classes</w:t>
      </w:r>
    </w:p>
    <w:p>
      <w:pPr>
        <w:spacing w:after="120" w:line="360" w:lineRule="auto"/>
      </w:pPr>
      <w:r>
        <w:rPr>
          <w:rFonts w:ascii="Times New Roman" w:hAnsi="Times New Roman" w:eastAsia="Times New Roman"/>
          <w:b w:val="0"/>
          <w:i w:val="0"/>
          <w:color w:val="000000"/>
          <w:sz w:val="22"/>
        </w:rPr>
        <w:t>Table 17. Chi-Square Test of Independence: Magnitude Class by Depth Class</w:t>
      </w:r>
    </w:p>
    <w:p>
      <w:pPr>
        <w:spacing w:after="120" w:line="360" w:lineRule="auto"/>
      </w:pPr>
      <w:r>
        <w:rPr>
          <w:rFonts w:ascii="Times New Roman" w:hAnsi="Times New Roman" w:eastAsia="Times New Roman"/>
          <w:b w:val="0"/>
          <w:i w:val="0"/>
          <w:color w:val="000000"/>
          <w:sz w:val="22"/>
        </w:rPr>
        <w:t>Table 18. Standardised Residuals for the Magnitude-by-Depth Cross-Tabulation</w:t>
      </w:r>
    </w:p>
    <w:p>
      <w:pPr>
        <w:spacing w:after="120" w:line="360" w:lineRule="auto"/>
      </w:pPr>
      <w:r>
        <w:rPr>
          <w:rFonts w:ascii="Times New Roman" w:hAnsi="Times New Roman" w:eastAsia="Times New Roman"/>
          <w:b w:val="0"/>
          <w:i w:val="0"/>
          <w:color w:val="000000"/>
          <w:sz w:val="22"/>
        </w:rPr>
        <w:t>Table 19. Mann–Kendall Trend Tests on the Annual Seismicity Series</w:t>
      </w:r>
    </w:p>
    <w:p>
      <w:pPr>
        <w:spacing w:after="120" w:line="360" w:lineRule="auto"/>
      </w:pPr>
      <w:r>
        <w:rPr>
          <w:rFonts w:ascii="Times New Roman" w:hAnsi="Times New Roman" w:eastAsia="Times New Roman"/>
          <w:b w:val="0"/>
          <w:i w:val="0"/>
          <w:color w:val="000000"/>
          <w:sz w:val="22"/>
        </w:rPr>
        <w:t>Table 20. Comparison of Recorded Magnitudes Before and After 1980</w:t>
      </w:r>
    </w:p>
    <w:p>
      <w:pPr>
        <w:spacing w:after="120" w:line="360" w:lineRule="auto"/>
      </w:pPr>
      <w:r>
        <w:rPr>
          <w:rFonts w:ascii="Times New Roman" w:hAnsi="Times New Roman" w:eastAsia="Times New Roman"/>
          <w:b w:val="0"/>
          <w:i w:val="0"/>
          <w:color w:val="000000"/>
          <w:sz w:val="22"/>
        </w:rPr>
        <w:t>Table 21. Completeness Magnitude and Gutenberg–Richter Parameters for the Full Catalogue</w:t>
      </w:r>
    </w:p>
    <w:p>
      <w:pPr>
        <w:spacing w:after="120" w:line="360" w:lineRule="auto"/>
      </w:pPr>
      <w:r>
        <w:rPr>
          <w:rFonts w:ascii="Times New Roman" w:hAnsi="Times New Roman" w:eastAsia="Times New Roman"/>
          <w:b w:val="0"/>
          <w:i w:val="0"/>
          <w:color w:val="000000"/>
          <w:sz w:val="22"/>
        </w:rPr>
        <w:t>Table 22. Gutenberg–Richter Parameters by Decade, 1980 to Present</w:t>
      </w:r>
    </w:p>
    <w:p>
      <w:pPr>
        <w:spacing w:after="120" w:line="360" w:lineRule="auto"/>
      </w:pPr>
      <w:r>
        <w:rPr>
          <w:rFonts w:ascii="Times New Roman" w:hAnsi="Times New Roman" w:eastAsia="Times New Roman"/>
          <w:b w:val="0"/>
          <w:i w:val="0"/>
          <w:color w:val="000000"/>
          <w:sz w:val="22"/>
        </w:rPr>
        <w:t>Table 23. Gutenberg–Richter Parameters by Hypocentral Depth Class</w:t>
      </w:r>
    </w:p>
    <w:p>
      <w:pPr>
        <w:spacing w:after="120" w:line="360" w:lineRule="auto"/>
      </w:pPr>
      <w:r>
        <w:rPr>
          <w:rFonts w:ascii="Times New Roman" w:hAnsi="Times New Roman" w:eastAsia="Times New Roman"/>
          <w:b w:val="0"/>
          <w:i w:val="0"/>
          <w:color w:val="000000"/>
          <w:sz w:val="22"/>
        </w:rPr>
        <w:t>Table 24. Space–Time Windows Implied by Maeda's Method</w:t>
      </w:r>
    </w:p>
    <w:p>
      <w:pPr>
        <w:spacing w:after="120" w:line="360" w:lineRule="auto"/>
      </w:pPr>
      <w:r>
        <w:rPr>
          <w:rFonts w:ascii="Times New Roman" w:hAnsi="Times New Roman" w:eastAsia="Times New Roman"/>
          <w:b w:val="0"/>
          <w:i w:val="0"/>
          <w:color w:val="000000"/>
          <w:sz w:val="22"/>
        </w:rPr>
        <w:t>Table 25. Outcome of Maeda's Declustering Procedure</w:t>
      </w:r>
    </w:p>
    <w:p>
      <w:pPr>
        <w:spacing w:after="120" w:line="360" w:lineRule="auto"/>
      </w:pPr>
      <w:r>
        <w:rPr>
          <w:rFonts w:ascii="Times New Roman" w:hAnsi="Times New Roman" w:eastAsia="Times New Roman"/>
          <w:b w:val="0"/>
          <w:i w:val="0"/>
          <w:color w:val="000000"/>
          <w:sz w:val="22"/>
        </w:rPr>
        <w:t>Table 26. Catalogue Descriptive Statistics Before and After Declustering</w:t>
      </w:r>
    </w:p>
    <w:p>
      <w:pPr>
        <w:spacing w:after="120" w:line="360" w:lineRule="auto"/>
      </w:pPr>
      <w:r>
        <w:rPr>
          <w:rFonts w:ascii="Times New Roman" w:hAnsi="Times New Roman" w:eastAsia="Times New Roman"/>
          <w:b w:val="0"/>
          <w:i w:val="0"/>
          <w:color w:val="000000"/>
          <w:sz w:val="22"/>
        </w:rPr>
        <w:t>Table 27. Gutenberg–Richter Parameters for the Declustered Catalogue</w:t>
      </w:r>
    </w:p>
    <w:p>
      <w:pPr>
        <w:spacing w:after="120" w:line="360" w:lineRule="auto"/>
      </w:pPr>
      <w:r>
        <w:rPr>
          <w:rFonts w:ascii="Times New Roman" w:hAnsi="Times New Roman" w:eastAsia="Times New Roman"/>
          <w:b w:val="0"/>
          <w:i w:val="0"/>
          <w:color w:val="000000"/>
          <w:sz w:val="22"/>
        </w:rPr>
        <w:t>Table 28. The 22 Engineered Seismic Features</w:t>
      </w:r>
    </w:p>
    <w:p>
      <w:pPr>
        <w:spacing w:after="120" w:line="360" w:lineRule="auto"/>
      </w:pPr>
      <w:r>
        <w:rPr>
          <w:rFonts w:ascii="Times New Roman" w:hAnsi="Times New Roman" w:eastAsia="Times New Roman"/>
          <w:b w:val="0"/>
          <w:i w:val="0"/>
          <w:color w:val="000000"/>
          <w:sz w:val="22"/>
        </w:rPr>
        <w:t>Table 29. Construction of the Forecast Sequence Data Set</w:t>
      </w:r>
    </w:p>
    <w:p>
      <w:pPr>
        <w:spacing w:after="120" w:line="360" w:lineRule="auto"/>
      </w:pPr>
      <w:r>
        <w:rPr>
          <w:rFonts w:ascii="Times New Roman" w:hAnsi="Times New Roman" w:eastAsia="Times New Roman"/>
          <w:b w:val="0"/>
          <w:i w:val="0"/>
          <w:color w:val="000000"/>
          <w:sz w:val="22"/>
        </w:rPr>
        <w:t>Table 30. Descriptive Statistics for the 22 Engineered Features</w:t>
      </w:r>
    </w:p>
    <w:p>
      <w:pPr>
        <w:spacing w:after="120" w:line="360" w:lineRule="auto"/>
      </w:pPr>
      <w:r>
        <w:rPr>
          <w:rFonts w:ascii="Times New Roman" w:hAnsi="Times New Roman" w:eastAsia="Times New Roman"/>
          <w:b w:val="0"/>
          <w:i w:val="0"/>
          <w:color w:val="000000"/>
          <w:sz w:val="22"/>
        </w:rPr>
        <w:t>Table 31. Correlations Between Each Engineered Feature and the Mainshock Magnitude</w:t>
      </w:r>
    </w:p>
    <w:p>
      <w:pPr>
        <w:spacing w:after="120" w:line="360" w:lineRule="auto"/>
      </w:pPr>
      <w:r>
        <w:rPr>
          <w:rFonts w:ascii="Times New Roman" w:hAnsi="Times New Roman" w:eastAsia="Times New Roman"/>
          <w:b w:val="0"/>
          <w:i w:val="0"/>
          <w:color w:val="000000"/>
          <w:sz w:val="22"/>
        </w:rPr>
        <w:t>Table 32. Chronological 60:20:20 Partitioning of the Sequence Data Set</w:t>
      </w:r>
    </w:p>
    <w:p>
      <w:pPr>
        <w:spacing w:after="120" w:line="360" w:lineRule="auto"/>
      </w:pPr>
      <w:r>
        <w:rPr>
          <w:rFonts w:ascii="Times New Roman" w:hAnsi="Times New Roman" w:eastAsia="Times New Roman"/>
          <w:b w:val="0"/>
          <w:i w:val="0"/>
          <w:color w:val="000000"/>
          <w:sz w:val="22"/>
        </w:rPr>
        <w:t>Table 33. Magnitude-Class Distribution Across the Three Partitions</w:t>
      </w:r>
    </w:p>
    <w:p>
      <w:pPr>
        <w:spacing w:after="120" w:line="360" w:lineRule="auto"/>
      </w:pPr>
      <w:r>
        <w:rPr>
          <w:rFonts w:ascii="Times New Roman" w:hAnsi="Times New Roman" w:eastAsia="Times New Roman"/>
          <w:b w:val="0"/>
          <w:i w:val="0"/>
          <w:color w:val="000000"/>
          <w:sz w:val="22"/>
        </w:rPr>
        <w:t>Table 34. Random Forest Hyperparameter Search (Top 12 Configurations)</w:t>
      </w:r>
    </w:p>
    <w:p>
      <w:pPr>
        <w:spacing w:after="120" w:line="360" w:lineRule="auto"/>
      </w:pPr>
      <w:r>
        <w:rPr>
          <w:rFonts w:ascii="Times New Roman" w:hAnsi="Times New Roman" w:eastAsia="Times New Roman"/>
          <w:b w:val="0"/>
          <w:i w:val="0"/>
          <w:color w:val="000000"/>
          <w:sz w:val="22"/>
        </w:rPr>
        <w:t>Table 35. Inventory of the Forecasting Models Compared</w:t>
      </w:r>
    </w:p>
    <w:p>
      <w:pPr>
        <w:spacing w:after="120" w:line="360" w:lineRule="auto"/>
      </w:pPr>
      <w:r>
        <w:rPr>
          <w:rFonts w:ascii="Times New Roman" w:hAnsi="Times New Roman" w:eastAsia="Times New Roman"/>
          <w:b w:val="0"/>
          <w:i w:val="0"/>
          <w:color w:val="000000"/>
          <w:sz w:val="22"/>
        </w:rPr>
        <w:t>Table 36. Rolling-Origin Cross-Validation Results Across All Models</w:t>
      </w:r>
    </w:p>
    <w:p>
      <w:pPr>
        <w:spacing w:after="120" w:line="360" w:lineRule="auto"/>
      </w:pPr>
      <w:r>
        <w:rPr>
          <w:rFonts w:ascii="Times New Roman" w:hAnsi="Times New Roman" w:eastAsia="Times New Roman"/>
          <w:b w:val="0"/>
          <w:i w:val="0"/>
          <w:color w:val="000000"/>
          <w:sz w:val="22"/>
        </w:rPr>
        <w:t>Table 37. Friedman Test for Differences Among the Models</w:t>
      </w:r>
    </w:p>
    <w:p>
      <w:pPr>
        <w:spacing w:after="120" w:line="360" w:lineRule="auto"/>
      </w:pPr>
      <w:r>
        <w:rPr>
          <w:rFonts w:ascii="Times New Roman" w:hAnsi="Times New Roman" w:eastAsia="Times New Roman"/>
          <w:b w:val="0"/>
          <w:i w:val="0"/>
          <w:color w:val="000000"/>
          <w:sz w:val="22"/>
        </w:rPr>
        <w:t>Table 38. Mean Ranks and Nemenyi Post Hoc Comparison Against the Leading Model</w:t>
      </w:r>
    </w:p>
    <w:p>
      <w:pPr>
        <w:spacing w:after="120" w:line="360" w:lineRule="auto"/>
      </w:pPr>
      <w:r>
        <w:rPr>
          <w:rFonts w:ascii="Times New Roman" w:hAnsi="Times New Roman" w:eastAsia="Times New Roman"/>
          <w:b w:val="0"/>
          <w:i w:val="0"/>
          <w:color w:val="000000"/>
          <w:sz w:val="22"/>
        </w:rPr>
        <w:t>Table 39. Test-Partition Leaderboard for All 16 Models</w:t>
      </w:r>
    </w:p>
    <w:p>
      <w:pPr>
        <w:spacing w:after="120" w:line="360" w:lineRule="auto"/>
      </w:pPr>
      <w:r>
        <w:rPr>
          <w:rFonts w:ascii="Times New Roman" w:hAnsi="Times New Roman" w:eastAsia="Times New Roman"/>
          <w:b w:val="0"/>
          <w:i w:val="0"/>
          <w:color w:val="000000"/>
          <w:sz w:val="22"/>
        </w:rPr>
        <w:t>Table 40. Diebold–Mariano Comparisons Among the Five Leading Models</w:t>
      </w:r>
    </w:p>
    <w:p>
      <w:pPr>
        <w:spacing w:after="120" w:line="360" w:lineRule="auto"/>
      </w:pPr>
      <w:r>
        <w:rPr>
          <w:rFonts w:ascii="Times New Roman" w:hAnsi="Times New Roman" w:eastAsia="Times New Roman"/>
          <w:b w:val="0"/>
          <w:i w:val="0"/>
          <w:color w:val="000000"/>
          <w:sz w:val="22"/>
        </w:rPr>
        <w:t>Table 41. Regression Performance Across the Three Partitions for the Two Headline Models</w:t>
      </w:r>
    </w:p>
    <w:p>
      <w:pPr>
        <w:spacing w:after="120" w:line="360" w:lineRule="auto"/>
      </w:pPr>
      <w:r>
        <w:rPr>
          <w:rFonts w:ascii="Times New Roman" w:hAnsi="Times New Roman" w:eastAsia="Times New Roman"/>
          <w:b w:val="0"/>
          <w:i w:val="0"/>
          <w:color w:val="000000"/>
          <w:sz w:val="22"/>
        </w:rPr>
        <w:t>Table 42. Training Outcome of the Three Sequence Networks</w:t>
      </w:r>
    </w:p>
    <w:p>
      <w:pPr>
        <w:spacing w:after="120" w:line="360" w:lineRule="auto"/>
      </w:pPr>
      <w:r>
        <w:rPr>
          <w:rFonts w:ascii="Times New Roman" w:hAnsi="Times New Roman" w:eastAsia="Times New Roman"/>
          <w:b w:val="0"/>
          <w:i w:val="0"/>
          <w:color w:val="000000"/>
          <w:sz w:val="22"/>
        </w:rPr>
        <w:t>Table 43. Statistical Comparison of the Two Headline Models on the Test Partition</w:t>
      </w:r>
    </w:p>
    <w:p>
      <w:pPr>
        <w:spacing w:after="120" w:line="360" w:lineRule="auto"/>
      </w:pPr>
      <w:r>
        <w:rPr>
          <w:rFonts w:ascii="Times New Roman" w:hAnsi="Times New Roman" w:eastAsia="Times New Roman"/>
          <w:b w:val="0"/>
          <w:i w:val="0"/>
          <w:color w:val="000000"/>
          <w:sz w:val="22"/>
        </w:rPr>
        <w:t>Table 44. Random Forest Feature Importance for Mainshock Magnitude</w:t>
      </w:r>
    </w:p>
    <w:p>
      <w:pPr>
        <w:spacing w:after="120" w:line="360" w:lineRule="auto"/>
      </w:pPr>
      <w:r>
        <w:rPr>
          <w:rFonts w:ascii="Times New Roman" w:hAnsi="Times New Roman" w:eastAsia="Times New Roman"/>
          <w:b w:val="0"/>
          <w:i w:val="0"/>
          <w:color w:val="000000"/>
          <w:sz w:val="22"/>
        </w:rPr>
        <w:t>Table 45. Confusion Matrix for Magnitude-Class Forecasts on the Test Partition</w:t>
      </w:r>
    </w:p>
    <w:p>
      <w:pPr>
        <w:spacing w:after="120" w:line="360" w:lineRule="auto"/>
      </w:pPr>
      <w:r>
        <w:rPr>
          <w:rFonts w:ascii="Times New Roman" w:hAnsi="Times New Roman" w:eastAsia="Times New Roman"/>
          <w:b w:val="0"/>
          <w:i w:val="0"/>
          <w:color w:val="000000"/>
          <w:sz w:val="22"/>
        </w:rPr>
        <w:t>Table 46. Per-Class Precision, Recall and F1-Score on the Test Partition</w:t>
      </w:r>
    </w:p>
    <w:p>
      <w:pPr>
        <w:spacing w:after="120" w:line="360" w:lineRule="auto"/>
      </w:pPr>
      <w:r>
        <w:rPr>
          <w:rFonts w:ascii="Times New Roman" w:hAnsi="Times New Roman" w:eastAsia="Times New Roman"/>
          <w:b w:val="0"/>
          <w:i w:val="0"/>
          <w:color w:val="000000"/>
          <w:sz w:val="22"/>
        </w:rPr>
        <w:t>Table 47. Overall Classification Agreement, Including Cohen's Weighted Kappa</w:t>
      </w:r>
    </w:p>
    <w:p>
      <w:pPr>
        <w:spacing w:after="120" w:line="360" w:lineRule="auto"/>
      </w:pPr>
      <w:r>
        <w:rPr>
          <w:rFonts w:ascii="Times New Roman" w:hAnsi="Times New Roman" w:eastAsia="Times New Roman"/>
          <w:b w:val="0"/>
          <w:i w:val="0"/>
          <w:color w:val="000000"/>
          <w:sz w:val="22"/>
        </w:rPr>
        <w:t>Table 48. Threshold-Free Probabilistic Skill for the M ≥ 6.0 Forecast</w:t>
      </w:r>
    </w:p>
    <w:p>
      <w:pPr>
        <w:spacing w:after="120" w:line="360" w:lineRule="auto"/>
      </w:pPr>
      <w:r>
        <w:rPr>
          <w:rFonts w:ascii="Times New Roman" w:hAnsi="Times New Roman" w:eastAsia="Times New Roman"/>
          <w:b w:val="0"/>
          <w:i w:val="0"/>
          <w:color w:val="000000"/>
          <w:sz w:val="22"/>
        </w:rPr>
        <w:t>Table 49. Operational Skill of the Forecast Treated as an M ≥ 6.0 Alarm</w:t>
      </w:r>
    </w:p>
    <w:p>
      <w:pPr>
        <w:spacing w:after="120" w:line="360" w:lineRule="auto"/>
      </w:pPr>
      <w:r>
        <w:rPr>
          <w:rFonts w:ascii="Times New Roman" w:hAnsi="Times New Roman" w:eastAsia="Times New Roman"/>
          <w:b w:val="0"/>
          <w:i w:val="0"/>
          <w:color w:val="000000"/>
          <w:sz w:val="22"/>
        </w:rPr>
        <w:t>Table 50. Residual Diagnostics for the Three Leading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