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38.242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61.045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65.030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36.244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3.723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349.895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15.526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13.527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37.478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354.330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2.433</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190.179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4,053.208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-370.418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93,688.621</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23.074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pPr>
        <w:spacing w:before="360" w:after="120"/>
        <w:jc w:val="center"/>
      </w:pPr>
      <w:r>
        <w:rPr>
          <w:rFonts w:ascii="Times New Roman" w:hAnsi="Times New Roman" w:eastAsia="Times New Roman"/>
          <w:b/>
          <w:i w:val="0"/>
          <w:color w:val="000000"/>
          <w:sz w:val="24"/>
        </w:rPr>
        <w:t>Section F. Probability of Occurrence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Construction of the Occurrence Data Set</w:t>
      </w:r>
    </w:p>
    <w:tbl>
      <w:tblPr>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gridCol w:w="1296"/>
        <w:gridCol w:w="1296"/>
        <w:gridCol w:w="1296"/>
      </w:tblGrid>
      <w:tr>
        <w:trPr>
          <w:tblHeader w:val="true"/>
        </w:trPr>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Thinned out</w:t>
            </w:r>
          </w:p>
        </w:tc>
        <w:tc>
          <w:tcPr>
            <w:tcW w:type="dxa" w:w="16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Period</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5)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5)</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6)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6)</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7)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7)</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1,481</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Aug 1965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2,098</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r>
      <w:tr>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2,904</w:t>
            </w:r>
          </w:p>
        </w:tc>
        <w:tc>
          <w:tcPr>
            <w:tcW w:type="dxa" w:w="16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35.9</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anchor is a moment and a place with at least 3 catalogued events in the preceding 14 days, labelled by whether an independent earthquake of the stated size followed within the next 14 days. This is the reverse of the magnitude model's window, which looks backward. Anchors within a day and half a radius of one already kept are dropped, because a single swarm would otherwise contribute dozens of near-identical rows.</w:t>
      </w:r>
    </w:p>
    <w:p>
      <w:r>
        <w:br w:type="page"/>
      </w: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Does the Model Beat the Historical Rate? Rolling-Origin Scores</w:t>
      </w:r>
    </w:p>
    <w:tbl>
      <w:tblPr>
        <w:tblW w:type="auto" w:w="0"/>
        <w:jc w:val="center"/>
        <w:tblLayout w:type="fixed"/>
        <w:tblLook w:firstColumn="1" w:firstRow="1" w:lastColumn="0" w:lastRow="0" w:noHBand="0" w:noVBand="1" w:val="04A0"/>
        <w:tblLayout w:type="fixed"/>
      </w:tblPr>
      <w:tblGrid>
        <w:gridCol w:w="1178"/>
        <w:gridCol w:w="1178"/>
        <w:gridCol w:w="1178"/>
        <w:gridCol w:w="1178"/>
        <w:gridCol w:w="1178"/>
        <w:gridCol w:w="1178"/>
        <w:gridCol w:w="1178"/>
        <w:gridCol w:w="1178"/>
        <w:gridCol w:w="1178"/>
        <w:gridCol w:w="1178"/>
        <w:gridCol w:w="1178"/>
      </w:tblGrid>
      <w:tr>
        <w:trPr>
          <w:tblHeader w:val="true"/>
        </w:trPr>
        <w:tc>
          <w:tcPr>
            <w:tcW w:type="dxa" w:w="9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8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Positives</w:t>
            </w:r>
          </w:p>
        </w:tc>
        <w:tc>
          <w:tcPr>
            <w:tcW w:type="dxa" w:w="17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Historical rate (%)</w:t>
            </w:r>
          </w:p>
        </w:tc>
        <w:tc>
          <w:tcPr>
            <w:tcW w:type="dxa" w:w="108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Folds scored</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ROC AUC</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AUC</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Brier skill (%)</w:t>
            </w:r>
          </w:p>
        </w:tc>
        <w:tc>
          <w:tcPr>
            <w:tcW w:type="dxa" w:w="12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Brier skill</w:t>
            </w:r>
          </w:p>
        </w:tc>
        <w:tc>
          <w:tcPr>
            <w:tcW w:type="dxa" w:w="26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Verdict</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25.441</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0.584</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3.412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6.157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5.758</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-16.463</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23.543</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0.470</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29.477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-0.554</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5.797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4.556</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0.592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-69.394</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117.691</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35.855</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0.525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-6.792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14.082</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5.333</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0.520</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17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0.436</w:t>
            </w:r>
          </w:p>
        </w:tc>
        <w:tc>
          <w:tcPr>
            <w:tcW w:type="dxa" w:w="108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Scored across expanding-window folds rather than one split: with four to thirty positives in a test block, a single split returns an AUC anywhere between .13 and .80 for the same cell. A cell counts as modelled only if the calibrated probability beats quoting the base rate, meaning a positive mean Brier skill score and a mean AUC above .55. The historical rate column is a real conditional frequency and remains a defensible answer wherever the model does not clear that bar.</w:t>
      </w:r>
    </w:p>
    <w:p>
      <w:pPr>
        <w:spacing w:before="360" w:after="120"/>
        <w:jc w:val="center"/>
      </w:pPr>
      <w:r>
        <w:rPr>
          <w:rFonts w:ascii="Times New Roman" w:hAnsi="Times New Roman" w:eastAsia="Times New Roman"/>
          <w:b/>
          <w:i w:val="0"/>
          <w:color w:val="000000"/>
          <w:sz w:val="24"/>
        </w:rPr>
        <w:t>Section F. Model Construction and Comparison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0.3815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0.3909</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0.3910</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0.3910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0.733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41.929</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[0.409, 0.575]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23.586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[0.415, 0.579]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21.631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[0.422, 0.603]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16.556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[0.426, 0.617]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13.352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12.786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[0.441, 0.605]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51.402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12.424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[0.476, 0.697]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48.598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3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5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6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c>
          <w:tcPr>
            <w:tcW w:type="dxa" w:w="231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.725</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.488</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.639</w:t>
            </w:r>
          </w:p>
        </w:tc>
      </w:tr>
      <w:tr>
        <w:tc>
          <w:tcPr>
            <w:tcW w:type="dxa" w:w="23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.725</w:t>
            </w:r>
          </w:p>
        </w:tc>
        <w:tc>
          <w:tcPr>
            <w:tcW w:type="dxa" w:w="15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.488</w:t>
            </w:r>
          </w:p>
        </w:tc>
        <w:tc>
          <w:tcPr>
            <w:tcW w:type="dxa" w:w="6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.486</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.639</w:t>
            </w:r>
          </w:p>
        </w:tc>
        <w:tc>
          <w:tcPr>
            <w:tcW w:type="dxa" w:w="231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2.679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2.317e-04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90.966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97.819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0.320</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1.055</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85.047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[0.327, 0.436]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0.126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50.467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[0.414, 0.579]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-0.0133</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.646</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2,773.0000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.645</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-0.0370</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0.1720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17.2024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0.0219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20.2195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24.1081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29.1103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31.9721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36.6169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40.1186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0.0666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46.7774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49.6207</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54.0773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56.8905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60.9496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63.2571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64.7386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67.0478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69.5891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70.8053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73.3008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79.7951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81.3371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83.6420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85.9869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88.4269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0.0472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93.1486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95.4055</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0.0459</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0.0081</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84 (96.6%)</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(3.4%)</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 (94.1%)</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(5.9%)</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3 (100.0%)</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.966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.884</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.355</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[0.720, 0.869]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[0.283,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[-0.080, 0.198]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[-0.076, 0.145]</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.699</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.697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.162</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52</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0.417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53</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6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2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0.492</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1.043</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.299</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0.934</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0.317</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5.473</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.857</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0.545</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.587</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0.932</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.955</w:t>
            </w:r>
          </w:p>
        </w:tc>
      </w:tr>
      <w:tr>
        <w:tc>
          <w:tcPr>
            <w:tcW w:type="dxa" w:w="16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ARIMAX (test)</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0.511</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-0.581</w:t>
            </w:r>
          </w:p>
        </w:tc>
        <w:tc>
          <w:tcPr>
            <w:tcW w:type="dxa" w:w="6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.562</w:t>
            </w:r>
          </w:p>
        </w:tc>
        <w:tc>
          <w:tcPr>
            <w:tcW w:type="dxa" w:w="11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0.887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0.216</w:t>
            </w:r>
          </w:p>
        </w:tc>
        <w:tc>
          <w:tcPr>
            <w:tcW w:type="dxa" w:w="12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.379</w:t>
            </w:r>
          </w:p>
        </w:tc>
        <w:tc>
          <w:tcPr>
            <w:tcW w:type="dxa" w:w="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5.269</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7028"/>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89539"/>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89539"/>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9748"/>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974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7028"/>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89330"/>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89330"/>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92413"/>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924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901126"/>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90112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9140"/>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9140"/>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55113"/>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551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902710"/>
            <wp:docPr id="10" name="Picture 10"/>
            <wp:cNvGraphicFramePr>
              <a:graphicFrameLocks noChangeAspect="1"/>
            </wp:cNvGraphicFramePr>
            <a:graphic>
              <a:graphicData uri="http://schemas.openxmlformats.org/drawingml/2006/picture">
                <pic:pic>
                  <pic:nvPicPr>
                    <pic:cNvPr id="0" name="fig_residuals.png"/>
                    <pic:cNvPicPr/>
                  </pic:nvPicPr>
                  <pic:blipFill>
                    <a:blip r:embed="rId18"/>
                    <a:stretch>
                      <a:fillRect/>
                    </a:stretch>
                  </pic:blipFill>
                  <pic:spPr>
                    <a:xfrm>
                      <a:off x="0" y="0"/>
                      <a:ext cx="4572000" cy="2902710"/>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93036"/>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19"/>
                    <a:stretch>
                      <a:fillRect/>
                    </a:stretch>
                  </pic:blipFill>
                  <pic:spPr>
                    <a:xfrm>
                      <a:off x="0" y="0"/>
                      <a:ext cx="4023360" cy="3493036"/>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Construction of the Occurrence Data Set</w:t>
      </w:r>
    </w:p>
    <w:p>
      <w:pPr>
        <w:spacing w:after="120" w:line="360" w:lineRule="auto"/>
      </w:pPr>
      <w:r>
        <w:rPr>
          <w:rFonts w:ascii="Times New Roman" w:hAnsi="Times New Roman" w:eastAsia="Times New Roman"/>
          <w:b w:val="0"/>
          <w:i w:val="0"/>
          <w:color w:val="000000"/>
          <w:sz w:val="22"/>
        </w:rPr>
        <w:t>Table 34. Does the Model Beat the Historical Rate? Rolling-Origin Scores</w:t>
      </w:r>
    </w:p>
    <w:p>
      <w:pPr>
        <w:spacing w:after="120" w:line="360" w:lineRule="auto"/>
      </w:pPr>
      <w:r>
        <w:rPr>
          <w:rFonts w:ascii="Times New Roman" w:hAnsi="Times New Roman" w:eastAsia="Times New Roman"/>
          <w:b w:val="0"/>
          <w:i w:val="0"/>
          <w:color w:val="000000"/>
          <w:sz w:val="22"/>
        </w:rPr>
        <w:t>Table 35. Chronological 60:20:20 Partitioning of the Sequence Data Set</w:t>
      </w:r>
    </w:p>
    <w:p>
      <w:pPr>
        <w:spacing w:after="120" w:line="360" w:lineRule="auto"/>
      </w:pPr>
      <w:r>
        <w:rPr>
          <w:rFonts w:ascii="Times New Roman" w:hAnsi="Times New Roman" w:eastAsia="Times New Roman"/>
          <w:b w:val="0"/>
          <w:i w:val="0"/>
          <w:color w:val="000000"/>
          <w:sz w:val="22"/>
        </w:rPr>
        <w:t>Table 36. Magnitude-Class Distribution Across the Three Partitions</w:t>
      </w:r>
    </w:p>
    <w:p>
      <w:pPr>
        <w:spacing w:after="120" w:line="360" w:lineRule="auto"/>
      </w:pPr>
      <w:r>
        <w:rPr>
          <w:rFonts w:ascii="Times New Roman" w:hAnsi="Times New Roman" w:eastAsia="Times New Roman"/>
          <w:b w:val="0"/>
          <w:i w:val="0"/>
          <w:color w:val="000000"/>
          <w:sz w:val="22"/>
        </w:rPr>
        <w:t>Table 37. Random Forest Hyperparameter Search (Top 12 Configurations)</w:t>
      </w:r>
    </w:p>
    <w:p>
      <w:pPr>
        <w:spacing w:after="120" w:line="360" w:lineRule="auto"/>
      </w:pPr>
      <w:r>
        <w:rPr>
          <w:rFonts w:ascii="Times New Roman" w:hAnsi="Times New Roman" w:eastAsia="Times New Roman"/>
          <w:b w:val="0"/>
          <w:i w:val="0"/>
          <w:color w:val="000000"/>
          <w:sz w:val="22"/>
        </w:rPr>
        <w:t>Table 38. Inventory of the Forecasting Models Compared</w:t>
      </w:r>
    </w:p>
    <w:p>
      <w:pPr>
        <w:spacing w:after="120" w:line="360" w:lineRule="auto"/>
      </w:pPr>
      <w:r>
        <w:rPr>
          <w:rFonts w:ascii="Times New Roman" w:hAnsi="Times New Roman" w:eastAsia="Times New Roman"/>
          <w:b w:val="0"/>
          <w:i w:val="0"/>
          <w:color w:val="000000"/>
          <w:sz w:val="22"/>
        </w:rPr>
        <w:t>Table 39. Rolling-Origin Cross-Validation Results Across All Models</w:t>
      </w:r>
    </w:p>
    <w:p>
      <w:pPr>
        <w:spacing w:after="120" w:line="360" w:lineRule="auto"/>
      </w:pPr>
      <w:r>
        <w:rPr>
          <w:rFonts w:ascii="Times New Roman" w:hAnsi="Times New Roman" w:eastAsia="Times New Roman"/>
          <w:b w:val="0"/>
          <w:i w:val="0"/>
          <w:color w:val="000000"/>
          <w:sz w:val="22"/>
        </w:rPr>
        <w:t>Table 40. Friedman Test for Differences Among the Models</w:t>
      </w:r>
    </w:p>
    <w:p>
      <w:pPr>
        <w:spacing w:after="120" w:line="360" w:lineRule="auto"/>
      </w:pPr>
      <w:r>
        <w:rPr>
          <w:rFonts w:ascii="Times New Roman" w:hAnsi="Times New Roman" w:eastAsia="Times New Roman"/>
          <w:b w:val="0"/>
          <w:i w:val="0"/>
          <w:color w:val="000000"/>
          <w:sz w:val="22"/>
        </w:rPr>
        <w:t>Table 41. Mean Ranks and Nemenyi Post Hoc Comparison Against the Leading Model</w:t>
      </w:r>
    </w:p>
    <w:p>
      <w:pPr>
        <w:spacing w:after="120" w:line="360" w:lineRule="auto"/>
      </w:pPr>
      <w:r>
        <w:rPr>
          <w:rFonts w:ascii="Times New Roman" w:hAnsi="Times New Roman" w:eastAsia="Times New Roman"/>
          <w:b w:val="0"/>
          <w:i w:val="0"/>
          <w:color w:val="000000"/>
          <w:sz w:val="22"/>
        </w:rPr>
        <w:t>Table 42. Test-Partition Leaderboard for All 16 Models</w:t>
      </w:r>
    </w:p>
    <w:p>
      <w:pPr>
        <w:spacing w:after="120" w:line="360" w:lineRule="auto"/>
      </w:pPr>
      <w:r>
        <w:rPr>
          <w:rFonts w:ascii="Times New Roman" w:hAnsi="Times New Roman" w:eastAsia="Times New Roman"/>
          <w:b w:val="0"/>
          <w:i w:val="0"/>
          <w:color w:val="000000"/>
          <w:sz w:val="22"/>
        </w:rPr>
        <w:t>Table 43. Diebold–Mariano Comparisons Among the Five Leading Models</w:t>
      </w:r>
    </w:p>
    <w:p>
      <w:pPr>
        <w:spacing w:after="120" w:line="360" w:lineRule="auto"/>
      </w:pPr>
      <w:r>
        <w:rPr>
          <w:rFonts w:ascii="Times New Roman" w:hAnsi="Times New Roman" w:eastAsia="Times New Roman"/>
          <w:b w:val="0"/>
          <w:i w:val="0"/>
          <w:color w:val="000000"/>
          <w:sz w:val="22"/>
        </w:rPr>
        <w:t>Table 44.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45. Training Outcome of the Three Sequence Networks</w:t>
      </w:r>
    </w:p>
    <w:p>
      <w:pPr>
        <w:spacing w:after="120" w:line="360" w:lineRule="auto"/>
      </w:pPr>
      <w:r>
        <w:rPr>
          <w:rFonts w:ascii="Times New Roman" w:hAnsi="Times New Roman" w:eastAsia="Times New Roman"/>
          <w:b w:val="0"/>
          <w:i w:val="0"/>
          <w:color w:val="000000"/>
          <w:sz w:val="22"/>
        </w:rPr>
        <w:t>Table 46.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47. Random Forest Feature Importance for Mainshock Magnitude</w:t>
      </w:r>
    </w:p>
    <w:p>
      <w:pPr>
        <w:spacing w:after="120" w:line="360" w:lineRule="auto"/>
      </w:pPr>
      <w:r>
        <w:rPr>
          <w:rFonts w:ascii="Times New Roman" w:hAnsi="Times New Roman" w:eastAsia="Times New Roman"/>
          <w:b w:val="0"/>
          <w:i w:val="0"/>
          <w:color w:val="000000"/>
          <w:sz w:val="22"/>
        </w:rPr>
        <w:t>Table 48. Confusion Matrix for Magnitude-Class Forecasts on the Test Partition</w:t>
      </w:r>
    </w:p>
    <w:p>
      <w:pPr>
        <w:spacing w:after="120" w:line="360" w:lineRule="auto"/>
      </w:pPr>
      <w:r>
        <w:rPr>
          <w:rFonts w:ascii="Times New Roman" w:hAnsi="Times New Roman" w:eastAsia="Times New Roman"/>
          <w:b w:val="0"/>
          <w:i w:val="0"/>
          <w:color w:val="000000"/>
          <w:sz w:val="22"/>
        </w:rPr>
        <w:t>Table 49. Per-Class Precision, Recall and F1-Score on the Test Partition</w:t>
      </w:r>
    </w:p>
    <w:p>
      <w:pPr>
        <w:spacing w:after="120" w:line="360" w:lineRule="auto"/>
      </w:pPr>
      <w:r>
        <w:rPr>
          <w:rFonts w:ascii="Times New Roman" w:hAnsi="Times New Roman" w:eastAsia="Times New Roman"/>
          <w:b w:val="0"/>
          <w:i w:val="0"/>
          <w:color w:val="000000"/>
          <w:sz w:val="22"/>
        </w:rPr>
        <w:t>Table 50. Overall Classification Agreement, Including Cohen's Weighted Kappa</w:t>
      </w:r>
    </w:p>
    <w:p>
      <w:pPr>
        <w:spacing w:after="120" w:line="360" w:lineRule="auto"/>
      </w:pPr>
      <w:r>
        <w:rPr>
          <w:rFonts w:ascii="Times New Roman" w:hAnsi="Times New Roman" w:eastAsia="Times New Roman"/>
          <w:b w:val="0"/>
          <w:i w:val="0"/>
          <w:color w:val="000000"/>
          <w:sz w:val="22"/>
        </w:rPr>
        <w:t>Table 51. Threshold-Free Probabilistic Skill for the M ≥ 6.0 Forecast</w:t>
      </w:r>
    </w:p>
    <w:p>
      <w:pPr>
        <w:spacing w:after="120" w:line="360" w:lineRule="auto"/>
      </w:pPr>
      <w:r>
        <w:rPr>
          <w:rFonts w:ascii="Times New Roman" w:hAnsi="Times New Roman" w:eastAsia="Times New Roman"/>
          <w:b w:val="0"/>
          <w:i w:val="0"/>
          <w:color w:val="000000"/>
          <w:sz w:val="22"/>
        </w:rPr>
        <w:t>Table 52. Operational Skill of the Forecast Treated as an M ≥ 6.0 Alarm</w:t>
      </w:r>
    </w:p>
    <w:p>
      <w:pPr>
        <w:spacing w:after="120" w:line="360" w:lineRule="auto"/>
      </w:pPr>
      <w:r>
        <w:rPr>
          <w:rFonts w:ascii="Times New Roman" w:hAnsi="Times New Roman" w:eastAsia="Times New Roman"/>
          <w:b w:val="0"/>
          <w:i w:val="0"/>
          <w:color w:val="000000"/>
          <w:sz w:val="22"/>
        </w:rPr>
        <w:t>Table 53.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