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Times New Roman" w:hAnsi="Times New Roman" w:eastAsia="Times New Roman"/>
          <w:b/>
          <w:i w:val="0"/>
          <w:color w:val="000000"/>
          <w:sz w:val="24"/>
        </w:rPr>
        <w:t>Statistical Analysis Tables</w:t>
      </w:r>
    </w:p>
    <w:p>
      <w:pPr>
        <w:spacing w:after="120" w:line="360" w:lineRule="auto"/>
      </w:pPr>
      <w:r>
        <w:rPr>
          <w:rFonts w:ascii="Times New Roman" w:hAnsi="Times New Roman" w:eastAsia="Times New Roman"/>
          <w:b w:val="0"/>
          <w:i/>
          <w:color w:val="000000"/>
          <w:sz w:val="24"/>
        </w:rPr>
        <w:t>A Machine Learning Model for Forecasting Mainshock Magnitudes Using PHIVOLCS Foreshock Data</w:t>
      </w:r>
    </w:p>
    <w:p>
      <w:pPr>
        <w:spacing w:after="120" w:line="360" w:lineRule="auto"/>
      </w:pPr>
      <w:r>
        <w:rPr>
          <w:rFonts w:ascii="Times New Roman" w:hAnsi="Times New Roman" w:eastAsia="Times New Roman"/>
          <w:b w:val="0"/>
          <w:i w:val="0"/>
          <w:color w:val="000000"/>
          <w:sz w:val="24"/>
        </w:rPr>
        <w:t>All tables follow APA 7th-edition format: a bold table number, an italic title in title case, horizontal rules only, and a note beneath the table where interpretation is needed. Every table in this document was generated directly from the source catalogue by the accompanying Python script; no value was entered by hand.</w:t>
      </w:r>
    </w:p>
    <w:p>
      <w:pPr>
        <w:spacing w:after="120" w:line="360" w:lineRule="auto"/>
      </w:pPr>
      <w:r>
        <w:rPr>
          <w:rFonts w:ascii="Times New Roman" w:hAnsi="Times New Roman" w:eastAsia="Times New Roman"/>
          <w:b w:val="0"/>
          <w:i w:val="0"/>
          <w:color w:val="000000"/>
          <w:sz w:val="24"/>
        </w:rPr>
        <w:t>Source data: Earthquake Data Sets NEW.xlsx. Analysis seed: 42. Significance level: α = 0.05.</w:t>
      </w:r>
    </w:p>
    <w:p>
      <w:pPr>
        <w:spacing w:before="360" w:after="120"/>
        <w:jc w:val="center"/>
      </w:pPr>
      <w:r>
        <w:rPr>
          <w:rFonts w:ascii="Times New Roman" w:hAnsi="Times New Roman" w:eastAsia="Times New Roman"/>
          <w:b/>
          <w:i w:val="0"/>
          <w:color w:val="000000"/>
          <w:sz w:val="24"/>
        </w:rPr>
        <w:t>Section A. Data Preparation and Catalogue Description</w:t>
      </w:r>
    </w:p>
    <w:p>
      <w:r>
        <w:br w:type="page"/>
      </w:r>
    </w:p>
    <w:p>
      <w:pPr>
        <w:spacing w:after="0"/>
      </w:pPr>
      <w:r>
        <w:rPr>
          <w:rFonts w:ascii="Times New Roman" w:hAnsi="Times New Roman" w:eastAsia="Times New Roman"/>
          <w:b/>
          <w:i w:val="0"/>
          <w:color w:val="000000"/>
          <w:sz w:val="24"/>
        </w:rPr>
        <w:t>Table 1</w:t>
      </w:r>
    </w:p>
    <w:p>
      <w:pPr>
        <w:spacing w:after="160"/>
      </w:pPr>
      <w:r>
        <w:rPr>
          <w:rFonts w:ascii="Times New Roman" w:hAnsi="Times New Roman" w:eastAsia="Times New Roman"/>
          <w:b w:val="0"/>
          <w:i/>
          <w:color w:val="000000"/>
          <w:sz w:val="24"/>
        </w:rPr>
        <w:t>Profile of the PHIVOLCS Earthquake Catalogue After Cleaning</w:t>
      </w:r>
    </w:p>
    <w:tbl>
      <w:tblPr>
        <w:tblW w:type="auto" w:w="0"/>
        <w:jc w:val="center"/>
        <w:tblLayout w:type="fixed"/>
        <w:tblLook w:firstColumn="1" w:firstRow="1" w:lastColumn="0" w:lastRow="0" w:noHBand="0" w:noVBand="1" w:val="04A0"/>
        <w:tblLayout w:type="fixed"/>
      </w:tblPr>
      <w:tblGrid>
        <w:gridCol w:w="4680"/>
        <w:gridCol w:w="4680"/>
      </w:tblGrid>
      <w:tr>
        <w:trPr>
          <w:tblHeader w:val="true"/>
        </w:trPr>
        <w:tc>
          <w:tcPr>
            <w:tcW w:type="dxa" w:w="561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Catalogue attribute</w:t>
            </w:r>
          </w:p>
        </w:tc>
        <w:tc>
          <w:tcPr>
            <w:tcW w:type="dxa" w:w="374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Value</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Records in source workbook</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18,338</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Events retained after cleaning</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17,667</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Retention rate</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96.3%</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First event</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29 Mar 1907 20:46:30</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Last event</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08 Jun 2026 00:55:12</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Temporal span</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119.2 years</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Mean annual event rate</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148.2 events/year</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Latitude range (°N)</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2.00 to 22.00</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Longitude range (°E)</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116.30 to 133.00</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Depth range (km)</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0.0 to 700.0</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Working magnitude range</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4.0 to 8.3</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Events M ≥ 5.0</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3,607</w:t>
            </w:r>
          </w:p>
        </w:tc>
      </w:tr>
      <w:tr>
        <w:tc>
          <w:tcPr>
            <w:tcW w:type="dxa" w:w="56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Events M ≥ 6.0</w:t>
            </w:r>
          </w:p>
        </w:tc>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445</w:t>
            </w:r>
          </w:p>
        </w:tc>
      </w:tr>
      <w:tr>
        <w:tc>
          <w:tcPr>
            <w:tcW w:type="dxa" w:w="561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Events M ≥ 7.0</w:t>
            </w:r>
          </w:p>
        </w:tc>
        <w:tc>
          <w:tcPr>
            <w:tcW w:type="dxa" w:w="374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87</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Working magnitude is the first available scale in the order Mw &gt; Ms &gt; Mb &gt; Ml. The catalogue is an event list, not a uniformly complete record; detection capability improves markedly after the 1970s (see Table 8).</w:t>
      </w:r>
    </w:p>
    <w:p>
      <w:r>
        <w:br w:type="page"/>
      </w:r>
    </w:p>
    <w:p>
      <w:pPr>
        <w:spacing w:after="0"/>
      </w:pPr>
      <w:r>
        <w:rPr>
          <w:rFonts w:ascii="Times New Roman" w:hAnsi="Times New Roman" w:eastAsia="Times New Roman"/>
          <w:b/>
          <w:i w:val="0"/>
          <w:color w:val="000000"/>
          <w:sz w:val="24"/>
        </w:rPr>
        <w:t>Table 2</w:t>
      </w:r>
    </w:p>
    <w:p>
      <w:pPr>
        <w:spacing w:after="160"/>
      </w:pPr>
      <w:r>
        <w:rPr>
          <w:rFonts w:ascii="Times New Roman" w:hAnsi="Times New Roman" w:eastAsia="Times New Roman"/>
          <w:b w:val="0"/>
          <w:i/>
          <w:color w:val="000000"/>
          <w:sz w:val="24"/>
        </w:rPr>
        <w:t>Data-Cleaning Audit Trail</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252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Step</w:t>
            </w:r>
          </w:p>
        </w:tc>
        <w:tc>
          <w:tcPr>
            <w:tcW w:type="dxa" w:w="114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Records before</w:t>
            </w:r>
          </w:p>
        </w:tc>
        <w:tc>
          <w:tcPr>
            <w:tcW w:type="dxa" w:w="64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Removed</w:t>
            </w:r>
          </w:p>
        </w:tc>
        <w:tc>
          <w:tcPr>
            <w:tcW w:type="dxa" w:w="130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Records retained</w:t>
            </w:r>
          </w:p>
        </w:tc>
        <w:tc>
          <w:tcPr>
            <w:tcW w:type="dxa" w:w="374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Note</w:t>
            </w:r>
          </w:p>
        </w:tc>
      </w:tr>
      <w:tr>
        <w:tc>
          <w:tcPr>
            <w:tcW w:type="dxa" w:w="2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Records extracted from workbook</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130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37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Banner and repeated header rows removed</w:t>
            </w:r>
          </w:p>
        </w:tc>
      </w:tr>
      <w:tr>
        <w:tc>
          <w:tcPr>
            <w:tcW w:type="dxa" w:w="2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Valid origin date/time</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130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37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Year/month/day must form a real calendar date</w:t>
            </w:r>
          </w:p>
        </w:tc>
      </w:tr>
      <w:tr>
        <w:tc>
          <w:tcPr>
            <w:tcW w:type="dxa" w:w="2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Epicentre inside study region</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130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37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lat 0.0-25.0, lon 110.0-140.0</w:t>
            </w:r>
          </w:p>
        </w:tc>
      </w:tr>
      <w:tr>
        <w:tc>
          <w:tcPr>
            <w:tcW w:type="dxa" w:w="2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Hypocentral depth in range</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130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37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0-750 km</w:t>
            </w:r>
          </w:p>
        </w:tc>
      </w:tr>
      <w:tr>
        <w:tc>
          <w:tcPr>
            <w:tcW w:type="dxa" w:w="2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At least one reported magnitude</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130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37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 mb, Ms or Mw present</w:t>
            </w:r>
          </w:p>
        </w:tc>
      </w:tr>
      <w:tr>
        <w:tc>
          <w:tcPr>
            <w:tcW w:type="dxa" w:w="2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Working magnitude in range</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130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37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policy = 'hierarchy', preference Mw &gt; Ms &gt; Mb &gt; Ml</w:t>
            </w:r>
          </w:p>
        </w:tc>
      </w:tr>
      <w:tr>
        <w:tc>
          <w:tcPr>
            <w:tcW w:type="dxa" w:w="2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Nearest active fault recorded</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130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37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Source coordinates and distance present and non-negative</w:t>
            </w:r>
          </w:p>
        </w:tc>
      </w:tr>
      <w:tr>
        <w:tc>
          <w:tcPr>
            <w:tcW w:type="dxa" w:w="252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Duplicate origins collapsed</w:t>
            </w:r>
          </w:p>
        </w:tc>
        <w:tc>
          <w:tcPr>
            <w:tcW w:type="dxa" w:w="114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18,338</w:t>
            </w:r>
          </w:p>
        </w:tc>
        <w:tc>
          <w:tcPr>
            <w:tcW w:type="dxa" w:w="64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671</w:t>
            </w:r>
          </w:p>
        </w:tc>
        <w:tc>
          <w:tcPr>
            <w:tcW w:type="dxa" w:w="130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374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within 1 s and 1 km</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Rules were applied in the order shown. A record removed by an earlier rule is not re-tested by a later one, so the counts sum to the retained total.</w:t>
      </w:r>
    </w:p>
    <w:p>
      <w:r>
        <w:br w:type="page"/>
      </w:r>
    </w:p>
    <w:p>
      <w:pPr>
        <w:spacing w:after="0"/>
      </w:pPr>
      <w:r>
        <w:rPr>
          <w:rFonts w:ascii="Times New Roman" w:hAnsi="Times New Roman" w:eastAsia="Times New Roman"/>
          <w:b/>
          <w:i w:val="0"/>
          <w:color w:val="000000"/>
          <w:sz w:val="24"/>
        </w:rPr>
        <w:t>Table 3</w:t>
      </w:r>
    </w:p>
    <w:p>
      <w:pPr>
        <w:spacing w:after="160"/>
      </w:pPr>
      <w:r>
        <w:rPr>
          <w:rFonts w:ascii="Times New Roman" w:hAnsi="Times New Roman" w:eastAsia="Times New Roman"/>
          <w:b w:val="0"/>
          <w:i/>
          <w:color w:val="000000"/>
          <w:sz w:val="24"/>
        </w:rPr>
        <w:t>Availability and Distribution of the Four Reported Magnitude Scales</w:t>
      </w:r>
    </w:p>
    <w:tbl>
      <w:tblPr>
        <w:tblW w:type="auto" w:w="0"/>
        <w:jc w:val="center"/>
        <w:tblLayout w:type="fixed"/>
        <w:tblLook w:firstColumn="1" w:firstRow="1" w:lastColumn="0" w:lastRow="0" w:noHBand="0" w:noVBand="1" w:val="04A0"/>
        <w:tblLayout w:type="fixed"/>
      </w:tblPr>
      <w:tblGrid>
        <w:gridCol w:w="851"/>
        <w:gridCol w:w="851"/>
        <w:gridCol w:w="851"/>
        <w:gridCol w:w="851"/>
        <w:gridCol w:w="851"/>
        <w:gridCol w:w="851"/>
        <w:gridCol w:w="851"/>
        <w:gridCol w:w="851"/>
        <w:gridCol w:w="851"/>
        <w:gridCol w:w="851"/>
        <w:gridCol w:w="851"/>
      </w:tblGrid>
      <w:tr>
        <w:trPr>
          <w:tblHeader w:val="true"/>
        </w:trPr>
        <w:tc>
          <w:tcPr>
            <w:tcW w:type="dxa" w:w="120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Magnitude scale</w:t>
            </w:r>
          </w:p>
        </w:tc>
        <w:tc>
          <w:tcPr>
            <w:tcW w:type="dxa" w:w="80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 reported</w:t>
            </w:r>
          </w:p>
        </w:tc>
        <w:tc>
          <w:tcPr>
            <w:tcW w:type="dxa" w:w="112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 of catalogue</w:t>
            </w:r>
          </w:p>
        </w:tc>
        <w:tc>
          <w:tcPr>
            <w:tcW w:type="dxa" w:w="208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 adopted as working scale</w:t>
            </w:r>
          </w:p>
        </w:tc>
        <w:tc>
          <w:tcPr>
            <w:tcW w:type="dxa" w:w="5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w:t>
            </w:r>
          </w:p>
        </w:tc>
        <w:tc>
          <w:tcPr>
            <w:tcW w:type="dxa" w:w="5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SD</w:t>
            </w:r>
          </w:p>
        </w:tc>
        <w:tc>
          <w:tcPr>
            <w:tcW w:type="dxa" w:w="5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Mdn</w:t>
            </w:r>
          </w:p>
        </w:tc>
        <w:tc>
          <w:tcPr>
            <w:tcW w:type="dxa" w:w="5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Min</w:t>
            </w:r>
          </w:p>
        </w:tc>
        <w:tc>
          <w:tcPr>
            <w:tcW w:type="dxa" w:w="5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Max</w:t>
            </w:r>
          </w:p>
        </w:tc>
        <w:tc>
          <w:tcPr>
            <w:tcW w:type="dxa" w:w="5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Skew</w:t>
            </w:r>
          </w:p>
        </w:tc>
        <w:tc>
          <w:tcPr>
            <w:tcW w:type="dxa" w:w="5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Kurt</w:t>
            </w:r>
          </w:p>
        </w:tc>
      </w:tr>
      <w:tr>
        <w:tc>
          <w:tcPr>
            <w:tcW w:type="dxa" w:w="12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w:t>
            </w:r>
          </w:p>
        </w:tc>
        <w:tc>
          <w:tcPr>
            <w:tcW w:type="dxa" w:w="80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8,288</w:t>
            </w:r>
          </w:p>
        </w:tc>
        <w:tc>
          <w:tcPr>
            <w:tcW w:type="dxa" w:w="11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46.9</w:t>
            </w:r>
          </w:p>
        </w:tc>
        <w:tc>
          <w:tcPr>
            <w:tcW w:type="dxa" w:w="208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3,202</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4.35</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4.30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6.50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0.89</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2.57</w:t>
            </w:r>
          </w:p>
        </w:tc>
      </w:tr>
      <w:tr>
        <w:tc>
          <w:tcPr>
            <w:tcW w:type="dxa" w:w="12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Mb</w:t>
            </w:r>
          </w:p>
        </w:tc>
        <w:tc>
          <w:tcPr>
            <w:tcW w:type="dxa" w:w="80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6,824</w:t>
            </w:r>
          </w:p>
        </w:tc>
        <w:tc>
          <w:tcPr>
            <w:tcW w:type="dxa" w:w="11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38.6</w:t>
            </w:r>
          </w:p>
        </w:tc>
        <w:tc>
          <w:tcPr>
            <w:tcW w:type="dxa" w:w="208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1,730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5.23</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0.39</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5.20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2.50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7.80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-0.19</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6.09</w:t>
            </w:r>
          </w:p>
        </w:tc>
      </w:tr>
      <w:tr>
        <w:tc>
          <w:tcPr>
            <w:tcW w:type="dxa" w:w="12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Ms</w:t>
            </w:r>
          </w:p>
        </w:tc>
        <w:tc>
          <w:tcPr>
            <w:tcW w:type="dxa" w:w="80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11,899</w:t>
            </w:r>
          </w:p>
        </w:tc>
        <w:tc>
          <w:tcPr>
            <w:tcW w:type="dxa" w:w="11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67.4</w:t>
            </w:r>
          </w:p>
        </w:tc>
        <w:tc>
          <w:tcPr>
            <w:tcW w:type="dxa" w:w="208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11,830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4.50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0.54</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4.30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8.30</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2.12</w:t>
            </w:r>
          </w:p>
        </w:tc>
        <w:tc>
          <w:tcPr>
            <w:tcW w:type="dxa" w:w="5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6.29</w:t>
            </w:r>
          </w:p>
        </w:tc>
      </w:tr>
      <w:tr>
        <w:tc>
          <w:tcPr>
            <w:tcW w:type="dxa" w:w="120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Mw</w:t>
            </w:r>
          </w:p>
        </w:tc>
        <w:tc>
          <w:tcPr>
            <w:tcW w:type="dxa" w:w="80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905</w:t>
            </w:r>
          </w:p>
        </w:tc>
        <w:tc>
          <w:tcPr>
            <w:tcW w:type="dxa" w:w="112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5.1</w:t>
            </w:r>
          </w:p>
        </w:tc>
        <w:tc>
          <w:tcPr>
            <w:tcW w:type="dxa" w:w="208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905</w:t>
            </w:r>
          </w:p>
        </w:tc>
        <w:tc>
          <w:tcPr>
            <w:tcW w:type="dxa" w:w="5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5.00</w:t>
            </w:r>
          </w:p>
        </w:tc>
        <w:tc>
          <w:tcPr>
            <w:tcW w:type="dxa" w:w="5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0.60</w:t>
            </w:r>
          </w:p>
        </w:tc>
        <w:tc>
          <w:tcPr>
            <w:tcW w:type="dxa" w:w="5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5.00</w:t>
            </w:r>
          </w:p>
        </w:tc>
        <w:tc>
          <w:tcPr>
            <w:tcW w:type="dxa" w:w="5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4.00</w:t>
            </w:r>
          </w:p>
        </w:tc>
        <w:tc>
          <w:tcPr>
            <w:tcW w:type="dxa" w:w="5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7.80</w:t>
            </w:r>
          </w:p>
        </w:tc>
        <w:tc>
          <w:tcPr>
            <w:tcW w:type="dxa" w:w="5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1.01</w:t>
            </w:r>
          </w:p>
        </w:tc>
        <w:tc>
          <w:tcPr>
            <w:tcW w:type="dxa" w:w="5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1.46</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n reported counts events for which the scale is populated; n adopted counts events for which it became the working magnitude. Ml saturates near M 6.5 and mb near M 6.0, which is why Mw and Ms take precedence.</w:t>
      </w:r>
    </w:p>
    <w:p>
      <w:r>
        <w:br w:type="page"/>
      </w:r>
    </w:p>
    <w:p>
      <w:pPr>
        <w:spacing w:after="0"/>
      </w:pPr>
      <w:r>
        <w:rPr>
          <w:rFonts w:ascii="Times New Roman" w:hAnsi="Times New Roman" w:eastAsia="Times New Roman"/>
          <w:b/>
          <w:i w:val="0"/>
          <w:color w:val="000000"/>
          <w:sz w:val="24"/>
        </w:rPr>
        <w:t>Table 4</w:t>
      </w:r>
    </w:p>
    <w:p>
      <w:pPr>
        <w:spacing w:after="160"/>
      </w:pPr>
      <w:r>
        <w:rPr>
          <w:rFonts w:ascii="Times New Roman" w:hAnsi="Times New Roman" w:eastAsia="Times New Roman"/>
          <w:b w:val="0"/>
          <w:i/>
          <w:color w:val="000000"/>
          <w:sz w:val="24"/>
        </w:rPr>
        <w:t>Co-Reporting of Magnitude Scales Within the Catalogue</w:t>
      </w:r>
    </w:p>
    <w:tbl>
      <w:tblPr>
        <w:tblW w:type="auto" w:w="0"/>
        <w:jc w:val="center"/>
        <w:tblLayout w:type="fixed"/>
        <w:tblLook w:firstColumn="1" w:firstRow="1" w:lastColumn="0" w:lastRow="0" w:noHBand="0" w:noVBand="1" w:val="04A0"/>
        <w:tblLayout w:type="fixed"/>
      </w:tblPr>
      <w:tblGrid>
        <w:gridCol w:w="3120"/>
        <w:gridCol w:w="3120"/>
        <w:gridCol w:w="3120"/>
      </w:tblGrid>
      <w:tr>
        <w:trPr>
          <w:tblHeader w:val="true"/>
        </w:trPr>
        <w:tc>
          <w:tcPr>
            <w:tcW w:type="dxa" w:w="488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Scales reported together</w:t>
            </w:r>
          </w:p>
        </w:tc>
        <w:tc>
          <w:tcPr>
            <w:tcW w:type="dxa" w:w="162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 events</w:t>
            </w:r>
          </w:p>
        </w:tc>
        <w:tc>
          <w:tcPr>
            <w:tcW w:type="dxa" w:w="284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 of catalogue</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Ms</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6,725</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38.1</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 + Mb + Ms</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5,073</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28.7</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3,202</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18.1</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Mb</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1,729</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9.8</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Mw</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835</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4.7</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Ms + Mw</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69</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Mb + Ms</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21</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 + Ms</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6.23e-02</w:t>
            </w:r>
          </w:p>
        </w:tc>
      </w:tr>
      <w:tr>
        <w:tc>
          <w:tcPr>
            <w:tcW w:type="dxa" w:w="4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 + Mb</w:t>
            </w:r>
          </w:p>
        </w:tc>
        <w:tc>
          <w:tcPr>
            <w:tcW w:type="dxa" w:w="16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28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5.66e-03</w:t>
            </w:r>
          </w:p>
        </w:tc>
      </w:tr>
      <w:tr>
        <w:tc>
          <w:tcPr>
            <w:tcW w:type="dxa" w:w="488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Ml + Mw</w:t>
            </w:r>
          </w:p>
        </w:tc>
        <w:tc>
          <w:tcPr>
            <w:tcW w:type="dxa" w:w="162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284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5.66e-03</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Mw is co-reported with another scale for very few events, which is the reason no catalogue-wide conversion to Mw was attempted (see Table 5).</w:t>
      </w:r>
    </w:p>
    <w:p>
      <w:r>
        <w:br w:type="page"/>
      </w:r>
    </w:p>
    <w:p>
      <w:pPr>
        <w:spacing w:after="0"/>
      </w:pPr>
      <w:r>
        <w:rPr>
          <w:rFonts w:ascii="Times New Roman" w:hAnsi="Times New Roman" w:eastAsia="Times New Roman"/>
          <w:b/>
          <w:i w:val="0"/>
          <w:color w:val="000000"/>
          <w:sz w:val="24"/>
        </w:rPr>
        <w:t>Table 5</w:t>
      </w:r>
    </w:p>
    <w:p>
      <w:pPr>
        <w:spacing w:after="160"/>
      </w:pPr>
      <w:r>
        <w:rPr>
          <w:rFonts w:ascii="Times New Roman" w:hAnsi="Times New Roman" w:eastAsia="Times New Roman"/>
          <w:b w:val="0"/>
          <w:i/>
          <w:color w:val="000000"/>
          <w:sz w:val="24"/>
        </w:rPr>
        <w:t>Orthogonal Regression Relations Between Magnitude Scales</w:t>
      </w:r>
    </w:p>
    <w:tbl>
      <w:tblPr>
        <w:tblW w:type="auto" w:w="0"/>
        <w:jc w:val="center"/>
        <w:tblLayout w:type="fixed"/>
        <w:tblLook w:firstColumn="1" w:firstRow="1" w:lastColumn="0" w:lastRow="0" w:noHBand="0" w:noVBand="1" w:val="04A0"/>
        <w:tblLayout w:type="fixed"/>
      </w:tblPr>
      <w:tblGrid>
        <w:gridCol w:w="1170"/>
        <w:gridCol w:w="1170"/>
        <w:gridCol w:w="1170"/>
        <w:gridCol w:w="1170"/>
        <w:gridCol w:w="1170"/>
        <w:gridCol w:w="1170"/>
        <w:gridCol w:w="1170"/>
        <w:gridCol w:w="1170"/>
      </w:tblGrid>
      <w:tr>
        <w:trPr>
          <w:tblHeader w:val="true"/>
        </w:trPr>
        <w:tc>
          <w:tcPr>
            <w:tcW w:type="dxa" w:w="138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Predictor</w:t>
            </w:r>
          </w:p>
        </w:tc>
        <w:tc>
          <w:tcPr>
            <w:tcW w:type="dxa" w:w="122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Response</w:t>
            </w:r>
          </w:p>
        </w:tc>
        <w:tc>
          <w:tcPr>
            <w:tcW w:type="dxa" w:w="92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w:t>
            </w:r>
          </w:p>
        </w:tc>
        <w:tc>
          <w:tcPr>
            <w:tcW w:type="dxa" w:w="92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Slope</w:t>
            </w:r>
          </w:p>
        </w:tc>
        <w:tc>
          <w:tcPr>
            <w:tcW w:type="dxa" w:w="138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Intercept</w:t>
            </w:r>
          </w:p>
        </w:tc>
        <w:tc>
          <w:tcPr>
            <w:tcW w:type="dxa" w:w="92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w:t>
            </w:r>
          </w:p>
        </w:tc>
        <w:tc>
          <w:tcPr>
            <w:tcW w:type="dxa" w:w="92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SEE</w:t>
            </w:r>
          </w:p>
        </w:tc>
        <w:tc>
          <w:tcPr>
            <w:tcW w:type="dxa" w:w="168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Usable</w:t>
            </w:r>
          </w:p>
        </w:tc>
      </w:tr>
      <w:tr>
        <w:tc>
          <w:tcPr>
            <w:tcW w:type="dxa" w:w="1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w:t>
            </w:r>
          </w:p>
        </w:tc>
        <w:tc>
          <w:tcPr>
            <w:tcW w:type="dxa" w:w="122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Mb</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5,102</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0.971</w:t>
            </w:r>
          </w:p>
        </w:tc>
        <w:tc>
          <w:tcPr>
            <w:tcW w:type="dxa" w:w="138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1.134</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0.898</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0.162</w:t>
            </w:r>
          </w:p>
        </w:tc>
        <w:tc>
          <w:tcPr>
            <w:tcW w:type="dxa" w:w="16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Yes</w:t>
            </w:r>
          </w:p>
        </w:tc>
      </w:tr>
      <w:tr>
        <w:tc>
          <w:tcPr>
            <w:tcW w:type="dxa" w:w="1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w:t>
            </w:r>
          </w:p>
        </w:tc>
        <w:tc>
          <w:tcPr>
            <w:tcW w:type="dxa" w:w="122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Ms</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5,112</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1.338</w:t>
            </w:r>
          </w:p>
        </w:tc>
        <w:tc>
          <w:tcPr>
            <w:tcW w:type="dxa" w:w="138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-1.224</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0.908</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0.213</w:t>
            </w:r>
          </w:p>
        </w:tc>
        <w:tc>
          <w:tcPr>
            <w:tcW w:type="dxa" w:w="16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Yes</w:t>
            </w:r>
          </w:p>
        </w:tc>
      </w:tr>
      <w:tr>
        <w:tc>
          <w:tcPr>
            <w:tcW w:type="dxa" w:w="1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Ml</w:t>
            </w:r>
          </w:p>
        </w:tc>
        <w:tc>
          <w:tcPr>
            <w:tcW w:type="dxa" w:w="122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Mw</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138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16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 (n &lt; 10)</w:t>
            </w:r>
          </w:p>
        </w:tc>
      </w:tr>
      <w:tr>
        <w:tc>
          <w:tcPr>
            <w:tcW w:type="dxa" w:w="1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Mb</w:t>
            </w:r>
          </w:p>
        </w:tc>
        <w:tc>
          <w:tcPr>
            <w:tcW w:type="dxa" w:w="122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Ms</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5,122</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1.468</w:t>
            </w:r>
          </w:p>
        </w:tc>
        <w:tc>
          <w:tcPr>
            <w:tcW w:type="dxa" w:w="138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-3.261</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0.830</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0.302</w:t>
            </w:r>
          </w:p>
        </w:tc>
        <w:tc>
          <w:tcPr>
            <w:tcW w:type="dxa" w:w="16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Yes</w:t>
            </w:r>
          </w:p>
        </w:tc>
      </w:tr>
      <w:tr>
        <w:tc>
          <w:tcPr>
            <w:tcW w:type="dxa" w:w="1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Mb</w:t>
            </w:r>
          </w:p>
        </w:tc>
        <w:tc>
          <w:tcPr>
            <w:tcW w:type="dxa" w:w="122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Mw</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138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9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16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 (n &lt; 10)</w:t>
            </w:r>
          </w:p>
        </w:tc>
      </w:tr>
      <w:tr>
        <w:tc>
          <w:tcPr>
            <w:tcW w:type="dxa" w:w="138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Ms</w:t>
            </w:r>
          </w:p>
        </w:tc>
        <w:tc>
          <w:tcPr>
            <w:tcW w:type="dxa" w:w="122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Mw</w:t>
            </w:r>
          </w:p>
        </w:tc>
        <w:tc>
          <w:tcPr>
            <w:tcW w:type="dxa" w:w="92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76</w:t>
            </w:r>
          </w:p>
        </w:tc>
        <w:tc>
          <w:tcPr>
            <w:tcW w:type="dxa" w:w="92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0.988</w:t>
            </w:r>
          </w:p>
        </w:tc>
        <w:tc>
          <w:tcPr>
            <w:tcW w:type="dxa" w:w="138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0.095</w:t>
            </w:r>
          </w:p>
        </w:tc>
        <w:tc>
          <w:tcPr>
            <w:tcW w:type="dxa" w:w="92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0.869</w:t>
            </w:r>
          </w:p>
        </w:tc>
        <w:tc>
          <w:tcPr>
            <w:tcW w:type="dxa" w:w="92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0.242</w:t>
            </w:r>
          </w:p>
        </w:tc>
        <w:tc>
          <w:tcPr>
            <w:tcW w:type="dxa" w:w="168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Yes</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Major-axis (orthogonal) regression of the response on the predictor, fitted on events reporting both scales. SEE = standard error of the estimate. Relations involving Mw rest on too few co-reported events to support catalogue-wide homogenisation, and were not applied.</w:t>
      </w:r>
    </w:p>
    <w:p>
      <w:r>
        <w:br w:type="page"/>
      </w:r>
    </w:p>
    <w:p>
      <w:pPr>
        <w:spacing w:after="0"/>
      </w:pPr>
      <w:r>
        <w:rPr>
          <w:rFonts w:ascii="Times New Roman" w:hAnsi="Times New Roman" w:eastAsia="Times New Roman"/>
          <w:b/>
          <w:i w:val="0"/>
          <w:color w:val="000000"/>
          <w:sz w:val="24"/>
        </w:rPr>
        <w:t>Table 6</w:t>
      </w:r>
    </w:p>
    <w:p>
      <w:pPr>
        <w:spacing w:after="160"/>
      </w:pPr>
      <w:r>
        <w:rPr>
          <w:rFonts w:ascii="Times New Roman" w:hAnsi="Times New Roman" w:eastAsia="Times New Roman"/>
          <w:b w:val="0"/>
          <w:i/>
          <w:color w:val="000000"/>
          <w:sz w:val="24"/>
        </w:rPr>
        <w:t>Distance to the Nearest Active Fault, and Its Verification</w:t>
      </w:r>
    </w:p>
    <w:tbl>
      <w:tblPr>
        <w:tblW w:type="auto" w:w="0"/>
        <w:jc w:val="center"/>
        <w:tblLayout w:type="fixed"/>
        <w:tblLook w:firstColumn="1" w:firstRow="1" w:lastColumn="0" w:lastRow="0" w:noHBand="0" w:noVBand="1" w:val="04A0"/>
        <w:tblLayout w:type="fixed"/>
      </w:tblPr>
      <w:tblGrid>
        <w:gridCol w:w="4680"/>
        <w:gridCol w:w="4680"/>
      </w:tblGrid>
      <w:tr>
        <w:trPr>
          <w:tblHeader w:val="true"/>
        </w:trPr>
        <w:tc>
          <w:tcPr>
            <w:tcW w:type="dxa" w:w="5646"/>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Quantity</w:t>
            </w:r>
          </w:p>
        </w:tc>
        <w:tc>
          <w:tcPr>
            <w:tcW w:type="dxa" w:w="371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Value</w:t>
            </w:r>
          </w:p>
        </w:tc>
      </w:tr>
      <w:tr>
        <w:tc>
          <w:tcPr>
            <w:tcW w:type="dxa" w:w="56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Events with a nearest-fault distance</w:t>
            </w:r>
          </w:p>
        </w:tc>
        <w:tc>
          <w:tcPr>
            <w:tcW w:type="dxa" w:w="371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17,667</w:t>
            </w:r>
          </w:p>
        </w:tc>
      </w:tr>
      <w:tr>
        <w:tc>
          <w:tcPr>
            <w:tcW w:type="dxa" w:w="56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Distinct fault source points</w:t>
            </w:r>
          </w:p>
        </w:tc>
        <w:tc>
          <w:tcPr>
            <w:tcW w:type="dxa" w:w="371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797</w:t>
            </w:r>
          </w:p>
        </w:tc>
      </w:tr>
      <w:tr>
        <w:tc>
          <w:tcPr>
            <w:tcW w:type="dxa" w:w="56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Distance, M (SD) in km</w:t>
            </w:r>
          </w:p>
        </w:tc>
        <w:tc>
          <w:tcPr>
            <w:tcW w:type="dxa" w:w="371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59.82 (75.26)</w:t>
            </w:r>
          </w:p>
        </w:tc>
      </w:tr>
      <w:tr>
        <w:tc>
          <w:tcPr>
            <w:tcW w:type="dxa" w:w="56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Distance, median in km</w:t>
            </w:r>
          </w:p>
        </w:tc>
        <w:tc>
          <w:tcPr>
            <w:tcW w:type="dxa" w:w="371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32.98</w:t>
            </w:r>
          </w:p>
        </w:tc>
      </w:tr>
      <w:tr>
        <w:tc>
          <w:tcPr>
            <w:tcW w:type="dxa" w:w="56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Distance range in km</w:t>
            </w:r>
          </w:p>
        </w:tc>
        <w:tc>
          <w:tcPr>
            <w:tcW w:type="dxa" w:w="371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0.18 to 617.26</w:t>
            </w:r>
          </w:p>
        </w:tc>
      </w:tr>
      <w:tr>
        <w:tc>
          <w:tcPr>
            <w:tcW w:type="dxa" w:w="56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Events within 25 km of a fault</w:t>
            </w:r>
          </w:p>
        </w:tc>
        <w:tc>
          <w:tcPr>
            <w:tcW w:type="dxa" w:w="371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7,024 (39.8%)</w:t>
            </w:r>
          </w:p>
        </w:tc>
      </w:tr>
      <w:tr>
        <w:tc>
          <w:tcPr>
            <w:tcW w:type="dxa" w:w="56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Median recomputation difference in km</w:t>
            </w:r>
          </w:p>
        </w:tc>
        <w:tc>
          <w:tcPr>
            <w:tcW w:type="dxa" w:w="371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0.0557</w:t>
            </w:r>
          </w:p>
        </w:tc>
      </w:tr>
      <w:tr>
        <w:tc>
          <w:tcPr>
            <w:tcW w:type="dxa" w:w="56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Maximum recomputation difference in km</w:t>
            </w:r>
          </w:p>
        </w:tc>
        <w:tc>
          <w:tcPr>
            <w:tcW w:type="dxa" w:w="371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5.323</w:t>
            </w:r>
          </w:p>
        </w:tc>
      </w:tr>
      <w:tr>
        <w:tc>
          <w:tcPr>
            <w:tcW w:type="dxa" w:w="564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Agreement within 1 km</w:t>
            </w:r>
          </w:p>
        </w:tc>
        <w:tc>
          <w:tcPr>
            <w:tcW w:type="dxa" w:w="371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17,354 of 17,667 (98.23%)</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Fault lines were mapped in QGIS and the distance measured with the Haversine formula on a sphere of radius 6,371 km, as the methodology specifies. The supplied value is used as given. It is recomputed here from the two coordinate pairs beside it purely as a transcription check; the residual differences are a rounding effect that grows with distance and is immaterial inside the 100 km observation radius.</w:t>
      </w:r>
    </w:p>
    <w:p>
      <w:r>
        <w:br w:type="page"/>
      </w:r>
    </w:p>
    <w:p>
      <w:pPr>
        <w:spacing w:after="0"/>
      </w:pPr>
      <w:r>
        <w:rPr>
          <w:rFonts w:ascii="Times New Roman" w:hAnsi="Times New Roman" w:eastAsia="Times New Roman"/>
          <w:b/>
          <w:i w:val="0"/>
          <w:color w:val="000000"/>
          <w:sz w:val="24"/>
        </w:rPr>
        <w:t>Table 7</w:t>
      </w:r>
    </w:p>
    <w:p>
      <w:pPr>
        <w:spacing w:after="160"/>
      </w:pPr>
      <w:r>
        <w:rPr>
          <w:rFonts w:ascii="Times New Roman" w:hAnsi="Times New Roman" w:eastAsia="Times New Roman"/>
          <w:b w:val="0"/>
          <w:i/>
          <w:color w:val="000000"/>
          <w:sz w:val="24"/>
        </w:rPr>
        <w:t>Descriptive Statistics for the Principal Seismic Parameters</w:t>
      </w:r>
    </w:p>
    <w:tbl>
      <w:tblPr>
        <w:tblW w:type="auto" w:w="0"/>
        <w:jc w:val="center"/>
        <w:tblLayout w:type="fixed"/>
        <w:tblLook w:firstColumn="1" w:firstRow="1" w:lastColumn="0" w:lastRow="0" w:noHBand="0" w:noVBand="1" w:val="04A0"/>
        <w:tblLayout w:type="fixed"/>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val="true"/>
        </w:trPr>
        <w:tc>
          <w:tcPr>
            <w:tcW w:type="dxa" w:w="167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Variable</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SD</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95% CI LL</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95% CI UL</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Mdn</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Min</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Max</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Range</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Q1</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Q3</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IQR</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Skew</w:t>
            </w:r>
          </w:p>
        </w:tc>
        <w:tc>
          <w:tcPr>
            <w:tcW w:type="dxa" w:w="5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Kurt</w:t>
            </w:r>
          </w:p>
        </w:tc>
      </w:tr>
      <w:tr>
        <w:tc>
          <w:tcPr>
            <w:tcW w:type="dxa" w:w="167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Magnitude (working scale)</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4.569</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0.548</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0.004</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4.561</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4.577</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4.400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8.300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4.300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4.100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4.900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1.612</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3.938</w:t>
            </w:r>
          </w:p>
        </w:tc>
      </w:tr>
      <w:tr>
        <w:tc>
          <w:tcPr>
            <w:tcW w:type="dxa" w:w="167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Focal depth (km)</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54.899</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86.340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0.650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53.626</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56.172</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33.000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700.000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700.000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59.000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46.000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4.205</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21.247</w:t>
            </w:r>
          </w:p>
        </w:tc>
      </w:tr>
      <w:tr>
        <w:tc>
          <w:tcPr>
            <w:tcW w:type="dxa" w:w="167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Latitude (deg N)</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9.984</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4.862</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0.037</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9.913</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10.056</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9.400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22.000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20.000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13.377</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7.377</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0.489</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-0.635</w:t>
            </w:r>
          </w:p>
        </w:tc>
      </w:tr>
      <w:tr>
        <w:tc>
          <w:tcPr>
            <w:tcW w:type="dxa" w:w="167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Longitude (deg E)</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124.652</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2.545</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0.019</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124.614</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124.689</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125.619</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116.300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133.000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16.700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122.360</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126.621</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4.261</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-0.591</w:t>
            </w:r>
          </w:p>
        </w:tc>
        <w:tc>
          <w:tcPr>
            <w:tcW w:type="dxa" w:w="5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-0.805</w:t>
            </w:r>
          </w:p>
        </w:tc>
      </w:tr>
      <w:tr>
        <w:tc>
          <w:tcPr>
            <w:tcW w:type="dxa" w:w="167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Distance to nearest fault (km)</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59.818</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75.261</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0.566</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58.708</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60.927</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32.983</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0.178</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617.260</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617.082</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15.604</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63.462</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47.858</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2.398</w:t>
            </w:r>
          </w:p>
        </w:tc>
        <w:tc>
          <w:tcPr>
            <w:tcW w:type="dxa" w:w="5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6.177</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CI = confidence interval for the mean. Skewness and kurtosis are bias-corrected; for a normal distribution both approach zero.</w:t>
      </w:r>
    </w:p>
    <w:p>
      <w:pPr>
        <w:spacing w:before="360" w:after="120"/>
        <w:jc w:val="center"/>
      </w:pPr>
      <w:r>
        <w:rPr>
          <w:rFonts w:ascii="Times New Roman" w:hAnsi="Times New Roman" w:eastAsia="Times New Roman"/>
          <w:b/>
          <w:i w:val="0"/>
          <w:color w:val="000000"/>
          <w:sz w:val="24"/>
        </w:rPr>
        <w:t>Section B. Frequency Distributions</w:t>
      </w:r>
    </w:p>
    <w:p>
      <w:r>
        <w:br w:type="page"/>
      </w:r>
    </w:p>
    <w:p>
      <w:pPr>
        <w:spacing w:after="0"/>
      </w:pPr>
      <w:r>
        <w:rPr>
          <w:rFonts w:ascii="Times New Roman" w:hAnsi="Times New Roman" w:eastAsia="Times New Roman"/>
          <w:b/>
          <w:i w:val="0"/>
          <w:color w:val="000000"/>
          <w:sz w:val="24"/>
        </w:rPr>
        <w:t>Table 8</w:t>
      </w:r>
    </w:p>
    <w:p>
      <w:pPr>
        <w:spacing w:after="160"/>
      </w:pPr>
      <w:r>
        <w:rPr>
          <w:rFonts w:ascii="Times New Roman" w:hAnsi="Times New Roman" w:eastAsia="Times New Roman"/>
          <w:b w:val="0"/>
          <w:i/>
          <w:color w:val="000000"/>
          <w:sz w:val="24"/>
        </w:rPr>
        <w:t>Frequency Distribution of Events by Magnitude Class</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2649"/>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Magnitude class</w:t>
            </w:r>
          </w:p>
        </w:tc>
        <w:tc>
          <w:tcPr>
            <w:tcW w:type="dxa" w:w="106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f</w:t>
            </w:r>
          </w:p>
        </w:tc>
        <w:tc>
          <w:tcPr>
            <w:tcW w:type="dxa" w:w="106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w:t>
            </w:r>
          </w:p>
        </w:tc>
        <w:tc>
          <w:tcPr>
            <w:tcW w:type="dxa" w:w="211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Cumulative %</w:t>
            </w:r>
          </w:p>
        </w:tc>
        <w:tc>
          <w:tcPr>
            <w:tcW w:type="dxa" w:w="247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Mdn depth (km)</w:t>
            </w:r>
          </w:p>
        </w:tc>
      </w:tr>
      <w:tr>
        <w:tc>
          <w:tcPr>
            <w:tcW w:type="dxa" w:w="264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4.0–4.4</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9,074</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51.4</w:t>
            </w:r>
          </w:p>
        </w:tc>
        <w:tc>
          <w:tcPr>
            <w:tcW w:type="dxa" w:w="211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51.4</w:t>
            </w:r>
          </w:p>
        </w:tc>
        <w:tc>
          <w:tcPr>
            <w:tcW w:type="dxa" w:w="24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27.0</w:t>
            </w:r>
          </w:p>
        </w:tc>
      </w:tr>
      <w:tr>
        <w:tc>
          <w:tcPr>
            <w:tcW w:type="dxa" w:w="264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4.5–4.9</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4,986</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28.2</w:t>
            </w:r>
          </w:p>
        </w:tc>
        <w:tc>
          <w:tcPr>
            <w:tcW w:type="dxa" w:w="211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79.6</w:t>
            </w:r>
          </w:p>
        </w:tc>
        <w:tc>
          <w:tcPr>
            <w:tcW w:type="dxa" w:w="24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w:t>
            </w:r>
          </w:p>
        </w:tc>
      </w:tr>
      <w:tr>
        <w:tc>
          <w:tcPr>
            <w:tcW w:type="dxa" w:w="264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5.0–5.4</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2,450</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13.9</w:t>
            </w:r>
          </w:p>
        </w:tc>
        <w:tc>
          <w:tcPr>
            <w:tcW w:type="dxa" w:w="211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93.5</w:t>
            </w:r>
          </w:p>
        </w:tc>
        <w:tc>
          <w:tcPr>
            <w:tcW w:type="dxa" w:w="24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38.0</w:t>
            </w:r>
          </w:p>
        </w:tc>
      </w:tr>
      <w:tr>
        <w:tc>
          <w:tcPr>
            <w:tcW w:type="dxa" w:w="264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5.5–5.9</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712</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4.0</w:t>
            </w:r>
          </w:p>
        </w:tc>
        <w:tc>
          <w:tcPr>
            <w:tcW w:type="dxa" w:w="211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97.5</w:t>
            </w:r>
          </w:p>
        </w:tc>
        <w:tc>
          <w:tcPr>
            <w:tcW w:type="dxa" w:w="24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w:t>
            </w:r>
          </w:p>
        </w:tc>
      </w:tr>
      <w:tr>
        <w:tc>
          <w:tcPr>
            <w:tcW w:type="dxa" w:w="264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6.0–6.9</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358</w:t>
            </w:r>
          </w:p>
        </w:tc>
        <w:tc>
          <w:tcPr>
            <w:tcW w:type="dxa" w:w="10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2.0</w:t>
            </w:r>
          </w:p>
        </w:tc>
        <w:tc>
          <w:tcPr>
            <w:tcW w:type="dxa" w:w="211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99.5</w:t>
            </w:r>
          </w:p>
        </w:tc>
        <w:tc>
          <w:tcPr>
            <w:tcW w:type="dxa" w:w="24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34.0</w:t>
            </w:r>
          </w:p>
        </w:tc>
      </w:tr>
      <w:tr>
        <w:tc>
          <w:tcPr>
            <w:tcW w:type="dxa" w:w="2649"/>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 7.0 (Major)</w:t>
            </w:r>
          </w:p>
        </w:tc>
        <w:tc>
          <w:tcPr>
            <w:tcW w:type="dxa" w:w="106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87</w:t>
            </w:r>
          </w:p>
        </w:tc>
        <w:tc>
          <w:tcPr>
            <w:tcW w:type="dxa" w:w="106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0.5</w:t>
            </w:r>
          </w:p>
        </w:tc>
        <w:tc>
          <w:tcPr>
            <w:tcW w:type="dxa" w:w="211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100.0</w:t>
            </w:r>
          </w:p>
        </w:tc>
        <w:tc>
          <w:tcPr>
            <w:tcW w:type="dxa" w:w="247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33.0</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Class boundaries begin at the catalogue's own reporting threshold. No event in the workbook carries a working magnitude below M 4.0, so the conventional micro and minor classes are empty by construction.</w:t>
      </w:r>
    </w:p>
    <w:p>
      <w:r>
        <w:br w:type="page"/>
      </w:r>
    </w:p>
    <w:p>
      <w:pPr>
        <w:spacing w:after="0"/>
      </w:pPr>
      <w:r>
        <w:rPr>
          <w:rFonts w:ascii="Times New Roman" w:hAnsi="Times New Roman" w:eastAsia="Times New Roman"/>
          <w:b/>
          <w:i w:val="0"/>
          <w:color w:val="000000"/>
          <w:sz w:val="24"/>
        </w:rPr>
        <w:t>Table 9</w:t>
      </w:r>
    </w:p>
    <w:p>
      <w:pPr>
        <w:spacing w:after="160"/>
      </w:pPr>
      <w:r>
        <w:rPr>
          <w:rFonts w:ascii="Times New Roman" w:hAnsi="Times New Roman" w:eastAsia="Times New Roman"/>
          <w:b w:val="0"/>
          <w:i/>
          <w:color w:val="000000"/>
          <w:sz w:val="24"/>
        </w:rPr>
        <w:t>Recorded Seismicity by Decade</w:t>
      </w:r>
    </w:p>
    <w:tbl>
      <w:tblPr>
        <w:tblW w:type="auto" w:w="0"/>
        <w:jc w:val="center"/>
        <w:tblLayout w:type="fixed"/>
        <w:tblLook w:firstColumn="1" w:firstRow="1" w:lastColumn="0" w:lastRow="0" w:noHBand="0" w:noVBand="1" w:val="04A0"/>
        <w:tblLayout w:type="fixed"/>
      </w:tblPr>
      <w:tblGrid>
        <w:gridCol w:w="1170"/>
        <w:gridCol w:w="1170"/>
        <w:gridCol w:w="1170"/>
        <w:gridCol w:w="1170"/>
        <w:gridCol w:w="1170"/>
        <w:gridCol w:w="1170"/>
        <w:gridCol w:w="1170"/>
        <w:gridCol w:w="1170"/>
      </w:tblGrid>
      <w:tr>
        <w:trPr>
          <w:tblHeader w:val="true"/>
        </w:trPr>
        <w:tc>
          <w:tcPr>
            <w:tcW w:type="dxa" w:w="802"/>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Decade</w:t>
            </w:r>
          </w:p>
        </w:tc>
        <w:tc>
          <w:tcPr>
            <w:tcW w:type="dxa" w:w="80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f</w:t>
            </w:r>
          </w:p>
        </w:tc>
        <w:tc>
          <w:tcPr>
            <w:tcW w:type="dxa" w:w="107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w:t>
            </w:r>
          </w:p>
        </w:tc>
        <w:tc>
          <w:tcPr>
            <w:tcW w:type="dxa" w:w="173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 (magnitude)</w:t>
            </w:r>
          </w:p>
        </w:tc>
        <w:tc>
          <w:tcPr>
            <w:tcW w:type="dxa" w:w="80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SD</w:t>
            </w:r>
          </w:p>
        </w:tc>
        <w:tc>
          <w:tcPr>
            <w:tcW w:type="dxa" w:w="80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Max</w:t>
            </w:r>
          </w:p>
        </w:tc>
        <w:tc>
          <w:tcPr>
            <w:tcW w:type="dxa" w:w="187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Mdn depth (km)</w:t>
            </w:r>
          </w:p>
        </w:tc>
        <w:tc>
          <w:tcPr>
            <w:tcW w:type="dxa" w:w="147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f (M ≥ 6.0)</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1900s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2.83e-02</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7.22</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0.32</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7.6</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1910s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6.79e-02</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7.14</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0.49</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7.9</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1920s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6.65</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0.62</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1930s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84</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6.23</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0.68</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7.7</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62</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1940s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25</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6.77</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0.97</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22</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1950s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76</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5.94</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0.85</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7.7</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45</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1960s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720</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4.1</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5.10</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0.40</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7.7</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65.0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21</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1970s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2,316</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13.1</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4.77</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0.49</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7.9</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28</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1980s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1,898</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10.7</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4.40</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0.40</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6.6</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50.0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1990s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2,698</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15.3</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4.53</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0.51</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7.8</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20.0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47</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2000s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2,265</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12.8</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4.49</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0.49</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7.5</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w:t>
            </w:r>
          </w:p>
        </w:tc>
      </w:tr>
      <w:tr>
        <w:tc>
          <w:tcPr>
            <w:tcW w:type="dxa" w:w="80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2010s</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3,517</w:t>
            </w:r>
          </w:p>
        </w:tc>
        <w:tc>
          <w:tcPr>
            <w:tcW w:type="dxa" w:w="10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19.9</w:t>
            </w:r>
          </w:p>
        </w:tc>
        <w:tc>
          <w:tcPr>
            <w:tcW w:type="dxa" w:w="173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4.50</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0.49</w:t>
            </w:r>
          </w:p>
        </w:tc>
        <w:tc>
          <w:tcPr>
            <w:tcW w:type="dxa" w:w="8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7.6</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22.0</w:t>
            </w:r>
          </w:p>
        </w:tc>
        <w:tc>
          <w:tcPr>
            <w:tcW w:type="dxa" w:w="14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w:t>
            </w:r>
          </w:p>
        </w:tc>
      </w:tr>
      <w:tr>
        <w:tc>
          <w:tcPr>
            <w:tcW w:type="dxa" w:w="80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2020s</w:t>
            </w:r>
          </w:p>
        </w:tc>
        <w:tc>
          <w:tcPr>
            <w:tcW w:type="dxa" w:w="80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4,016</w:t>
            </w:r>
          </w:p>
        </w:tc>
        <w:tc>
          <w:tcPr>
            <w:tcW w:type="dxa" w:w="107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22.7</w:t>
            </w:r>
          </w:p>
        </w:tc>
        <w:tc>
          <w:tcPr>
            <w:tcW w:type="dxa" w:w="173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4.46</w:t>
            </w:r>
          </w:p>
        </w:tc>
        <w:tc>
          <w:tcPr>
            <w:tcW w:type="dxa" w:w="80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0.48</w:t>
            </w:r>
          </w:p>
        </w:tc>
        <w:tc>
          <w:tcPr>
            <w:tcW w:type="dxa" w:w="80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7.8</w:t>
            </w:r>
          </w:p>
        </w:tc>
        <w:tc>
          <w:tcPr>
            <w:tcW w:type="dxa" w:w="187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19.0</w:t>
            </w:r>
          </w:p>
        </w:tc>
        <w:tc>
          <w:tcPr>
            <w:tcW w:type="dxa" w:w="147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70</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The rise in recorded events tracks the expansion of the PHIVOLCS seismic network. Decadal counts are therefore a measure of observation, and any temporal trend must be read with that in mind.</w:t>
      </w:r>
    </w:p>
    <w:p>
      <w:r>
        <w:br w:type="page"/>
      </w:r>
    </w:p>
    <w:p>
      <w:pPr>
        <w:spacing w:after="0"/>
      </w:pPr>
      <w:r>
        <w:rPr>
          <w:rFonts w:ascii="Times New Roman" w:hAnsi="Times New Roman" w:eastAsia="Times New Roman"/>
          <w:b/>
          <w:i w:val="0"/>
          <w:color w:val="000000"/>
          <w:sz w:val="24"/>
        </w:rPr>
        <w:t>Table 10</w:t>
      </w:r>
    </w:p>
    <w:p>
      <w:pPr>
        <w:spacing w:after="160"/>
      </w:pPr>
      <w:r>
        <w:rPr>
          <w:rFonts w:ascii="Times New Roman" w:hAnsi="Times New Roman" w:eastAsia="Times New Roman"/>
          <w:b w:val="0"/>
          <w:i/>
          <w:color w:val="000000"/>
          <w:sz w:val="24"/>
        </w:rPr>
        <w:t>Frequency Distribution of Events by Hypocentral Depth Class</w:t>
      </w:r>
    </w:p>
    <w:tbl>
      <w:tblPr>
        <w:tblW w:type="auto" w:w="0"/>
        <w:jc w:val="center"/>
        <w:tblLayout w:type="fixed"/>
        <w:tblLook w:firstColumn="1" w:firstRow="1" w:lastColumn="0" w:lastRow="0" w:noHBand="0" w:noVBand="1" w:val="04A0"/>
        <w:tblLayout w:type="fixed"/>
      </w:tblPr>
      <w:tblGrid>
        <w:gridCol w:w="1337"/>
        <w:gridCol w:w="1337"/>
        <w:gridCol w:w="1337"/>
        <w:gridCol w:w="1337"/>
        <w:gridCol w:w="1337"/>
        <w:gridCol w:w="1337"/>
        <w:gridCol w:w="1337"/>
      </w:tblGrid>
      <w:tr>
        <w:trPr>
          <w:tblHeader w:val="true"/>
        </w:trPr>
        <w:tc>
          <w:tcPr>
            <w:tcW w:type="dxa" w:w="3077"/>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Depth class</w:t>
            </w:r>
          </w:p>
        </w:tc>
        <w:tc>
          <w:tcPr>
            <w:tcW w:type="dxa" w:w="76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f</w:t>
            </w:r>
          </w:p>
        </w:tc>
        <w:tc>
          <w:tcPr>
            <w:tcW w:type="dxa" w:w="76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w:t>
            </w:r>
          </w:p>
        </w:tc>
        <w:tc>
          <w:tcPr>
            <w:tcW w:type="dxa" w:w="153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Cumulative %</w:t>
            </w:r>
          </w:p>
        </w:tc>
        <w:tc>
          <w:tcPr>
            <w:tcW w:type="dxa" w:w="166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 (magnitude)</w:t>
            </w:r>
          </w:p>
        </w:tc>
        <w:tc>
          <w:tcPr>
            <w:tcW w:type="dxa" w:w="76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SD</w:t>
            </w:r>
          </w:p>
        </w:tc>
        <w:tc>
          <w:tcPr>
            <w:tcW w:type="dxa" w:w="76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Max</w:t>
            </w:r>
          </w:p>
        </w:tc>
      </w:tr>
      <w:tr>
        <w:tc>
          <w:tcPr>
            <w:tcW w:type="dxa" w:w="30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Shallow (&lt;70 km)</w:t>
            </w:r>
          </w:p>
        </w:tc>
        <w:tc>
          <w:tcPr>
            <w:tcW w:type="dxa" w:w="76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13,983</w:t>
            </w:r>
          </w:p>
        </w:tc>
        <w:tc>
          <w:tcPr>
            <w:tcW w:type="dxa" w:w="76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79.1</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79.1</w:t>
            </w:r>
          </w:p>
        </w:tc>
        <w:tc>
          <w:tcPr>
            <w:tcW w:type="dxa" w:w="16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4.54</w:t>
            </w:r>
          </w:p>
        </w:tc>
        <w:tc>
          <w:tcPr>
            <w:tcW w:type="dxa" w:w="76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0.54</w:t>
            </w:r>
          </w:p>
        </w:tc>
        <w:tc>
          <w:tcPr>
            <w:tcW w:type="dxa" w:w="76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8.30</w:t>
            </w:r>
          </w:p>
        </w:tc>
      </w:tr>
      <w:tr>
        <w:tc>
          <w:tcPr>
            <w:tcW w:type="dxa" w:w="30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Intermediate (70-300 km)</w:t>
            </w:r>
          </w:p>
        </w:tc>
        <w:tc>
          <w:tcPr>
            <w:tcW w:type="dxa" w:w="76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3,267</w:t>
            </w:r>
          </w:p>
        </w:tc>
        <w:tc>
          <w:tcPr>
            <w:tcW w:type="dxa" w:w="76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18.5</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97.6</w:t>
            </w:r>
          </w:p>
        </w:tc>
        <w:tc>
          <w:tcPr>
            <w:tcW w:type="dxa" w:w="16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4.66</w:t>
            </w:r>
          </w:p>
        </w:tc>
        <w:tc>
          <w:tcPr>
            <w:tcW w:type="dxa" w:w="76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0.55</w:t>
            </w:r>
          </w:p>
        </w:tc>
        <w:tc>
          <w:tcPr>
            <w:tcW w:type="dxa" w:w="76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7.80</w:t>
            </w:r>
          </w:p>
        </w:tc>
      </w:tr>
      <w:tr>
        <w:tc>
          <w:tcPr>
            <w:tcW w:type="dxa" w:w="307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Deep (&gt;300 km)</w:t>
            </w:r>
          </w:p>
        </w:tc>
        <w:tc>
          <w:tcPr>
            <w:tcW w:type="dxa" w:w="76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417</w:t>
            </w:r>
          </w:p>
        </w:tc>
        <w:tc>
          <w:tcPr>
            <w:tcW w:type="dxa" w:w="76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2.4</w:t>
            </w:r>
          </w:p>
        </w:tc>
        <w:tc>
          <w:tcPr>
            <w:tcW w:type="dxa" w:w="153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100.0</w:t>
            </w:r>
          </w:p>
        </w:tc>
        <w:tc>
          <w:tcPr>
            <w:tcW w:type="dxa" w:w="166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4.83</w:t>
            </w:r>
          </w:p>
        </w:tc>
        <w:tc>
          <w:tcPr>
            <w:tcW w:type="dxa" w:w="76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0.68</w:t>
            </w:r>
          </w:p>
        </w:tc>
        <w:tc>
          <w:tcPr>
            <w:tcW w:type="dxa" w:w="76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7.30</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Depth classes follow the USGS convention. Shallow events dominate and carry the greatest surface hazard for a given magnitude.</w:t>
      </w:r>
    </w:p>
    <w:p>
      <w:r>
        <w:br w:type="page"/>
      </w:r>
    </w:p>
    <w:p>
      <w:pPr>
        <w:spacing w:after="0"/>
      </w:pPr>
      <w:r>
        <w:rPr>
          <w:rFonts w:ascii="Times New Roman" w:hAnsi="Times New Roman" w:eastAsia="Times New Roman"/>
          <w:b/>
          <w:i w:val="0"/>
          <w:color w:val="000000"/>
          <w:sz w:val="24"/>
        </w:rPr>
        <w:t>Table 11</w:t>
      </w:r>
    </w:p>
    <w:p>
      <w:pPr>
        <w:spacing w:after="160"/>
      </w:pPr>
      <w:r>
        <w:rPr>
          <w:rFonts w:ascii="Times New Roman" w:hAnsi="Times New Roman" w:eastAsia="Times New Roman"/>
          <w:b w:val="0"/>
          <w:i/>
          <w:color w:val="000000"/>
          <w:sz w:val="24"/>
        </w:rPr>
        <w:t>Cross-Tabulation of Magnitude Class by Hypocentral Depth Class</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1872"/>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Magnitude class</w:t>
            </w:r>
          </w:p>
        </w:tc>
        <w:tc>
          <w:tcPr>
            <w:tcW w:type="dxa" w:w="199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Shallow (&lt;70 km)</w:t>
            </w:r>
          </w:p>
        </w:tc>
        <w:tc>
          <w:tcPr>
            <w:tcW w:type="dxa" w:w="299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Intermediate (70-300 km)</w:t>
            </w:r>
          </w:p>
        </w:tc>
        <w:tc>
          <w:tcPr>
            <w:tcW w:type="dxa" w:w="174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Deep (&gt;300 km)</w:t>
            </w:r>
          </w:p>
        </w:tc>
        <w:tc>
          <w:tcPr>
            <w:tcW w:type="dxa" w:w="74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Total</w:t>
            </w:r>
          </w:p>
        </w:tc>
      </w:tr>
      <w:tr>
        <w:tc>
          <w:tcPr>
            <w:tcW w:type="dxa" w:w="187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4.0–4.4</w:t>
            </w:r>
          </w:p>
        </w:tc>
        <w:tc>
          <w:tcPr>
            <w:tcW w:type="dxa" w:w="19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7,535 (83.0%)</w:t>
            </w:r>
          </w:p>
        </w:tc>
        <w:tc>
          <w:tcPr>
            <w:tcW w:type="dxa" w:w="299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1,385 (15.3%)</w:t>
            </w:r>
          </w:p>
        </w:tc>
        <w:tc>
          <w:tcPr>
            <w:tcW w:type="dxa" w:w="17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154 (1.7%)</w:t>
            </w:r>
          </w:p>
        </w:tc>
        <w:tc>
          <w:tcPr>
            <w:tcW w:type="dxa" w:w="7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9,074</w:t>
            </w:r>
          </w:p>
        </w:tc>
      </w:tr>
      <w:tr>
        <w:tc>
          <w:tcPr>
            <w:tcW w:type="dxa" w:w="187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4.5–4.9</w:t>
            </w:r>
          </w:p>
        </w:tc>
        <w:tc>
          <w:tcPr>
            <w:tcW w:type="dxa" w:w="19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3,838 (77.0%)</w:t>
            </w:r>
          </w:p>
        </w:tc>
        <w:tc>
          <w:tcPr>
            <w:tcW w:type="dxa" w:w="299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1,032 (20.7%)</w:t>
            </w:r>
          </w:p>
        </w:tc>
        <w:tc>
          <w:tcPr>
            <w:tcW w:type="dxa" w:w="17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116 (2.3%)</w:t>
            </w:r>
          </w:p>
        </w:tc>
        <w:tc>
          <w:tcPr>
            <w:tcW w:type="dxa" w:w="7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4,986</w:t>
            </w:r>
          </w:p>
        </w:tc>
      </w:tr>
      <w:tr>
        <w:tc>
          <w:tcPr>
            <w:tcW w:type="dxa" w:w="187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5.0–5.4</w:t>
            </w:r>
          </w:p>
        </w:tc>
        <w:tc>
          <w:tcPr>
            <w:tcW w:type="dxa" w:w="19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1,770 (72.2%)</w:t>
            </w:r>
          </w:p>
        </w:tc>
        <w:tc>
          <w:tcPr>
            <w:tcW w:type="dxa" w:w="299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593 (24.2%)</w:t>
            </w:r>
          </w:p>
        </w:tc>
        <w:tc>
          <w:tcPr>
            <w:tcW w:type="dxa" w:w="17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87 (3.6%)</w:t>
            </w:r>
          </w:p>
        </w:tc>
        <w:tc>
          <w:tcPr>
            <w:tcW w:type="dxa" w:w="7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2,450</w:t>
            </w:r>
          </w:p>
        </w:tc>
      </w:tr>
      <w:tr>
        <w:tc>
          <w:tcPr>
            <w:tcW w:type="dxa" w:w="187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5.5–5.9</w:t>
            </w:r>
          </w:p>
        </w:tc>
        <w:tc>
          <w:tcPr>
            <w:tcW w:type="dxa" w:w="19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529 (74.3%)</w:t>
            </w:r>
          </w:p>
        </w:tc>
        <w:tc>
          <w:tcPr>
            <w:tcW w:type="dxa" w:w="299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157 (22.1%)</w:t>
            </w:r>
          </w:p>
        </w:tc>
        <w:tc>
          <w:tcPr>
            <w:tcW w:type="dxa" w:w="17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26 (3.7%)</w:t>
            </w:r>
          </w:p>
        </w:tc>
        <w:tc>
          <w:tcPr>
            <w:tcW w:type="dxa" w:w="7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712</w:t>
            </w:r>
          </w:p>
        </w:tc>
      </w:tr>
      <w:tr>
        <w:tc>
          <w:tcPr>
            <w:tcW w:type="dxa" w:w="187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6.0–6.9</w:t>
            </w:r>
          </w:p>
        </w:tc>
        <w:tc>
          <w:tcPr>
            <w:tcW w:type="dxa" w:w="19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241 (67.3%)</w:t>
            </w:r>
          </w:p>
        </w:tc>
        <w:tc>
          <w:tcPr>
            <w:tcW w:type="dxa" w:w="299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88 (24.6%)</w:t>
            </w:r>
          </w:p>
        </w:tc>
        <w:tc>
          <w:tcPr>
            <w:tcW w:type="dxa" w:w="17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29 (8.1%)</w:t>
            </w:r>
          </w:p>
        </w:tc>
        <w:tc>
          <w:tcPr>
            <w:tcW w:type="dxa" w:w="74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358</w:t>
            </w:r>
          </w:p>
        </w:tc>
      </w:tr>
      <w:tr>
        <w:tc>
          <w:tcPr>
            <w:tcW w:type="dxa" w:w="187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 7.0 (Major)</w:t>
            </w:r>
          </w:p>
        </w:tc>
        <w:tc>
          <w:tcPr>
            <w:tcW w:type="dxa" w:w="199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70 (80.5%)</w:t>
            </w:r>
          </w:p>
        </w:tc>
        <w:tc>
          <w:tcPr>
            <w:tcW w:type="dxa" w:w="299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12 (13.8%)</w:t>
            </w:r>
          </w:p>
        </w:tc>
        <w:tc>
          <w:tcPr>
            <w:tcW w:type="dxa" w:w="174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5 (5.7%)</w:t>
            </w:r>
          </w:p>
        </w:tc>
        <w:tc>
          <w:tcPr>
            <w:tcW w:type="dxa" w:w="74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87</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Cell entries are counts with row percentages in parentheses.</w:t>
      </w:r>
    </w:p>
    <w:p>
      <w:pPr>
        <w:spacing w:before="360" w:after="120"/>
        <w:jc w:val="center"/>
      </w:pPr>
      <w:r>
        <w:rPr>
          <w:rFonts w:ascii="Times New Roman" w:hAnsi="Times New Roman" w:eastAsia="Times New Roman"/>
          <w:b/>
          <w:i w:val="0"/>
          <w:color w:val="000000"/>
          <w:sz w:val="24"/>
        </w:rPr>
        <w:t>Section C. Inferential Statistics</w:t>
      </w:r>
    </w:p>
    <w:p>
      <w:r>
        <w:br w:type="page"/>
      </w:r>
    </w:p>
    <w:p>
      <w:pPr>
        <w:spacing w:after="0"/>
      </w:pPr>
      <w:r>
        <w:rPr>
          <w:rFonts w:ascii="Times New Roman" w:hAnsi="Times New Roman" w:eastAsia="Times New Roman"/>
          <w:b/>
          <w:i w:val="0"/>
          <w:color w:val="000000"/>
          <w:sz w:val="24"/>
        </w:rPr>
        <w:t>Table 12</w:t>
      </w:r>
    </w:p>
    <w:p>
      <w:pPr>
        <w:spacing w:after="160"/>
      </w:pPr>
      <w:r>
        <w:rPr>
          <w:rFonts w:ascii="Times New Roman" w:hAnsi="Times New Roman" w:eastAsia="Times New Roman"/>
          <w:b w:val="0"/>
          <w:i/>
          <w:color w:val="000000"/>
          <w:sz w:val="24"/>
        </w:rPr>
        <w:t>Tests of Normality for the Seismic Parameters</w:t>
      </w:r>
    </w:p>
    <w:tbl>
      <w:tblPr>
        <w:tblW w:type="auto" w:w="0"/>
        <w:jc w:val="center"/>
        <w:tblLayout w:type="fixed"/>
        <w:tblLook w:firstColumn="1" w:firstRow="1" w:lastColumn="0" w:lastRow="0" w:noHBand="0" w:noVBand="1" w:val="04A0"/>
        <w:tblLayout w:type="fixed"/>
      </w:tblPr>
      <w:tblGrid>
        <w:gridCol w:w="851"/>
        <w:gridCol w:w="851"/>
        <w:gridCol w:w="851"/>
        <w:gridCol w:w="851"/>
        <w:gridCol w:w="851"/>
        <w:gridCol w:w="851"/>
        <w:gridCol w:w="851"/>
        <w:gridCol w:w="851"/>
        <w:gridCol w:w="851"/>
        <w:gridCol w:w="851"/>
        <w:gridCol w:w="851"/>
      </w:tblGrid>
      <w:tr>
        <w:trPr>
          <w:tblHeader w:val="true"/>
        </w:trPr>
        <w:tc>
          <w:tcPr>
            <w:tcW w:type="dxa" w:w="79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Variable</w:t>
            </w:r>
          </w:p>
        </w:tc>
        <w:tc>
          <w:tcPr>
            <w:tcW w:type="dxa" w:w="62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w:t>
            </w:r>
          </w:p>
        </w:tc>
        <w:tc>
          <w:tcPr>
            <w:tcW w:type="dxa" w:w="122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Shapiro–Wilk W</w:t>
            </w:r>
          </w:p>
        </w:tc>
        <w:tc>
          <w:tcPr>
            <w:tcW w:type="dxa" w:w="62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p (S–W)</w:t>
            </w:r>
          </w:p>
        </w:tc>
        <w:tc>
          <w:tcPr>
            <w:tcW w:type="dxa" w:w="114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D'Agostino K²</w:t>
            </w:r>
          </w:p>
        </w:tc>
        <w:tc>
          <w:tcPr>
            <w:tcW w:type="dxa" w:w="62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p (K²)</w:t>
            </w:r>
          </w:p>
        </w:tc>
        <w:tc>
          <w:tcPr>
            <w:tcW w:type="dxa" w:w="62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K–S D</w:t>
            </w:r>
          </w:p>
        </w:tc>
        <w:tc>
          <w:tcPr>
            <w:tcW w:type="dxa" w:w="62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p (K–S)</w:t>
            </w:r>
          </w:p>
        </w:tc>
        <w:tc>
          <w:tcPr>
            <w:tcW w:type="dxa" w:w="70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Skewness</w:t>
            </w:r>
          </w:p>
        </w:tc>
        <w:tc>
          <w:tcPr>
            <w:tcW w:type="dxa" w:w="70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Kurtosis</w:t>
            </w:r>
          </w:p>
        </w:tc>
        <w:tc>
          <w:tcPr>
            <w:tcW w:type="dxa" w:w="1667"/>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Decision at α = .05</w:t>
            </w:r>
          </w:p>
        </w:tc>
      </w:tr>
      <w:tr>
        <w:tc>
          <w:tcPr>
            <w:tcW w:type="dxa" w:w="7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Magnitude</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12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0.870</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5,629.128</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0.149</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7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1.612</w:t>
            </w:r>
          </w:p>
        </w:tc>
        <w:tc>
          <w:tcPr>
            <w:tcW w:type="dxa" w:w="7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3.938</w:t>
            </w:r>
          </w:p>
        </w:tc>
        <w:tc>
          <w:tcPr>
            <w:tcW w:type="dxa" w:w="166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Reject normality</w:t>
            </w:r>
          </w:p>
        </w:tc>
      </w:tr>
      <w:tr>
        <w:tc>
          <w:tcPr>
            <w:tcW w:type="dxa" w:w="7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Depth</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12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0.551</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15,187.427</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0.266</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7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4.205</w:t>
            </w:r>
          </w:p>
        </w:tc>
        <w:tc>
          <w:tcPr>
            <w:tcW w:type="dxa" w:w="7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21.247</w:t>
            </w:r>
          </w:p>
        </w:tc>
        <w:tc>
          <w:tcPr>
            <w:tcW w:type="dxa" w:w="166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Reject normality</w:t>
            </w:r>
          </w:p>
        </w:tc>
      </w:tr>
      <w:tr>
        <w:tc>
          <w:tcPr>
            <w:tcW w:type="dxa" w:w="7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Latitude</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12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0.959</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114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1,313.382</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0.067</w:t>
            </w:r>
          </w:p>
        </w:tc>
        <w:tc>
          <w:tcPr>
            <w:tcW w:type="dxa" w:w="6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7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0.489</w:t>
            </w:r>
          </w:p>
        </w:tc>
        <w:tc>
          <w:tcPr>
            <w:tcW w:type="dxa" w:w="7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-0.635</w:t>
            </w:r>
          </w:p>
        </w:tc>
        <w:tc>
          <w:tcPr>
            <w:tcW w:type="dxa" w:w="166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Reject normality</w:t>
            </w:r>
          </w:p>
        </w:tc>
      </w:tr>
      <w:tr>
        <w:tc>
          <w:tcPr>
            <w:tcW w:type="dxa" w:w="79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Longitude</w:t>
            </w:r>
          </w:p>
        </w:tc>
        <w:tc>
          <w:tcPr>
            <w:tcW w:type="dxa" w:w="62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122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0.914</w:t>
            </w:r>
          </w:p>
        </w:tc>
        <w:tc>
          <w:tcPr>
            <w:tcW w:type="dxa" w:w="62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114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2,424.487</w:t>
            </w:r>
          </w:p>
        </w:tc>
        <w:tc>
          <w:tcPr>
            <w:tcW w:type="dxa" w:w="62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62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0.149</w:t>
            </w:r>
          </w:p>
        </w:tc>
        <w:tc>
          <w:tcPr>
            <w:tcW w:type="dxa" w:w="62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&lt; .001</w:t>
            </w:r>
          </w:p>
        </w:tc>
        <w:tc>
          <w:tcPr>
            <w:tcW w:type="dxa" w:w="70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-0.591</w:t>
            </w:r>
          </w:p>
        </w:tc>
        <w:tc>
          <w:tcPr>
            <w:tcW w:type="dxa" w:w="70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-0.805</w:t>
            </w:r>
          </w:p>
        </w:tc>
        <w:tc>
          <w:tcPr>
            <w:tcW w:type="dxa" w:w="166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Reject normality</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Shapiro–Wilk is computed on a random subsample of 5,000 events, the largest n for which the statistic is defined. All four variables depart from normality, which is why rank-based tests are reported alongside parametric ones throughout.</w:t>
      </w:r>
    </w:p>
    <w:p>
      <w:r>
        <w:br w:type="page"/>
      </w:r>
    </w:p>
    <w:p>
      <w:pPr>
        <w:spacing w:after="0"/>
      </w:pPr>
      <w:r>
        <w:rPr>
          <w:rFonts w:ascii="Times New Roman" w:hAnsi="Times New Roman" w:eastAsia="Times New Roman"/>
          <w:b/>
          <w:i w:val="0"/>
          <w:color w:val="000000"/>
          <w:sz w:val="24"/>
        </w:rPr>
        <w:t>Table 13</w:t>
      </w:r>
    </w:p>
    <w:p>
      <w:pPr>
        <w:spacing w:after="160"/>
      </w:pPr>
      <w:r>
        <w:rPr>
          <w:rFonts w:ascii="Times New Roman" w:hAnsi="Times New Roman" w:eastAsia="Times New Roman"/>
          <w:b w:val="0"/>
          <w:i/>
          <w:color w:val="000000"/>
          <w:sz w:val="24"/>
        </w:rPr>
        <w:t>Pearson Correlation Matrix for the Seismic Parameters</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267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Variable</w:t>
            </w:r>
          </w:p>
        </w:tc>
        <w:tc>
          <w:tcPr>
            <w:tcW w:type="dxa" w:w="178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1</w:t>
            </w:r>
          </w:p>
        </w:tc>
        <w:tc>
          <w:tcPr>
            <w:tcW w:type="dxa" w:w="178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2</w:t>
            </w:r>
          </w:p>
        </w:tc>
        <w:tc>
          <w:tcPr>
            <w:tcW w:type="dxa" w:w="178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3</w:t>
            </w:r>
          </w:p>
        </w:tc>
        <w:tc>
          <w:tcPr>
            <w:tcW w:type="dxa" w:w="133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4</w:t>
            </w:r>
          </w:p>
        </w:tc>
      </w:tr>
      <w:tr>
        <w:tc>
          <w:tcPr>
            <w:tcW w:type="dxa" w:w="267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 Magnitude</w:t>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c>
          <w:tcPr>
            <w:tcW w:type="dxa" w:w="133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r>
      <w:tr>
        <w:tc>
          <w:tcPr>
            <w:tcW w:type="dxa" w:w="267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 Depth</w:t>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.122***</w:t>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c>
          <w:tcPr>
            <w:tcW w:type="dxa" w:w="133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r>
      <w:tr>
        <w:tc>
          <w:tcPr>
            <w:tcW w:type="dxa" w:w="267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 Latitude</w:t>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-.031***</w:t>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-.241***</w:t>
            </w:r>
          </w:p>
        </w:tc>
        <w:tc>
          <w:tcPr>
            <w:tcW w:type="dxa" w:w="17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133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r>
      <w:tr>
        <w:tc>
          <w:tcPr>
            <w:tcW w:type="dxa" w:w="267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4. Longitude</w:t>
            </w:r>
          </w:p>
        </w:tc>
        <w:tc>
          <w:tcPr>
            <w:tcW w:type="dxa" w:w="178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-.010</w:t>
            </w:r>
          </w:p>
        </w:tc>
        <w:tc>
          <w:tcPr>
            <w:tcW w:type="dxa" w:w="178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.028***</w:t>
            </w:r>
          </w:p>
        </w:tc>
        <w:tc>
          <w:tcPr>
            <w:tcW w:type="dxa" w:w="178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-.728***</w:t>
            </w:r>
          </w:p>
        </w:tc>
        <w:tc>
          <w:tcPr>
            <w:tcW w:type="dxa" w:w="133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N = 17,667. * p &lt; .05. ** p &lt; .01. *** p &lt; .001. Leading zeros are omitted.</w:t>
      </w:r>
    </w:p>
    <w:p>
      <w:r>
        <w:br w:type="page"/>
      </w:r>
    </w:p>
    <w:p>
      <w:pPr>
        <w:spacing w:after="0"/>
      </w:pPr>
      <w:r>
        <w:rPr>
          <w:rFonts w:ascii="Times New Roman" w:hAnsi="Times New Roman" w:eastAsia="Times New Roman"/>
          <w:b/>
          <w:i w:val="0"/>
          <w:color w:val="000000"/>
          <w:sz w:val="24"/>
        </w:rPr>
        <w:t>Table 14</w:t>
      </w:r>
    </w:p>
    <w:p>
      <w:pPr>
        <w:spacing w:after="160"/>
      </w:pPr>
      <w:r>
        <w:rPr>
          <w:rFonts w:ascii="Times New Roman" w:hAnsi="Times New Roman" w:eastAsia="Times New Roman"/>
          <w:b w:val="0"/>
          <w:i/>
          <w:color w:val="000000"/>
          <w:sz w:val="24"/>
        </w:rPr>
        <w:t>Pairwise Associations Among the Seismic Parameters</w:t>
      </w:r>
    </w:p>
    <w:tbl>
      <w:tblPr>
        <w:tblW w:type="auto" w:w="0"/>
        <w:jc w:val="center"/>
        <w:tblLayout w:type="fixed"/>
        <w:tblLook w:firstColumn="1" w:firstRow="1" w:lastColumn="0" w:lastRow="0" w:noHBand="0" w:noVBand="1" w:val="04A0"/>
        <w:tblLayout w:type="fixed"/>
      </w:tblPr>
      <w:tblGrid>
        <w:gridCol w:w="1170"/>
        <w:gridCol w:w="1170"/>
        <w:gridCol w:w="1170"/>
        <w:gridCol w:w="1170"/>
        <w:gridCol w:w="1170"/>
        <w:gridCol w:w="1170"/>
        <w:gridCol w:w="1170"/>
        <w:gridCol w:w="1170"/>
      </w:tblGrid>
      <w:tr>
        <w:trPr>
          <w:tblHeader w:val="true"/>
        </w:trPr>
        <w:tc>
          <w:tcPr>
            <w:tcW w:type="dxa" w:w="236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Variable pair</w:t>
            </w:r>
          </w:p>
        </w:tc>
        <w:tc>
          <w:tcPr>
            <w:tcW w:type="dxa" w:w="67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w:t>
            </w:r>
          </w:p>
        </w:tc>
        <w:tc>
          <w:tcPr>
            <w:tcW w:type="dxa" w:w="101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Pearson r</w:t>
            </w:r>
          </w:p>
        </w:tc>
        <w:tc>
          <w:tcPr>
            <w:tcW w:type="dxa" w:w="67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 (r)</w:t>
            </w:r>
          </w:p>
        </w:tc>
        <w:tc>
          <w:tcPr>
            <w:tcW w:type="dxa" w:w="112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Spearman ρ</w:t>
            </w:r>
          </w:p>
        </w:tc>
        <w:tc>
          <w:tcPr>
            <w:tcW w:type="dxa" w:w="67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 (ρ)</w:t>
            </w:r>
          </w:p>
        </w:tc>
        <w:tc>
          <w:tcPr>
            <w:tcW w:type="dxa" w:w="101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r²</w:t>
            </w:r>
          </w:p>
        </w:tc>
        <w:tc>
          <w:tcPr>
            <w:tcW w:type="dxa" w:w="180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Strength (Cohen)</w:t>
            </w:r>
          </w:p>
        </w:tc>
      </w:tr>
      <w:tr>
        <w:tc>
          <w:tcPr>
            <w:tcW w:type="dxa" w:w="23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Magnitude – Depth</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.122</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.168</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.015</w:t>
            </w:r>
          </w:p>
        </w:tc>
        <w:tc>
          <w:tcPr>
            <w:tcW w:type="dxa" w:w="180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23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Magnitude – Latitude</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-.031</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-.044</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9.807e-04</w:t>
            </w:r>
          </w:p>
        </w:tc>
        <w:tc>
          <w:tcPr>
            <w:tcW w:type="dxa" w:w="180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23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Magnitude – Longitude</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-.010</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.175</w:t>
            </w:r>
          </w:p>
        </w:tc>
        <w:tc>
          <w:tcPr>
            <w:tcW w:type="dxa" w:w="11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.007</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.372</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1.042e-04</w:t>
            </w:r>
          </w:p>
        </w:tc>
        <w:tc>
          <w:tcPr>
            <w:tcW w:type="dxa" w:w="180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23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Depth – Latitude</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-.241</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-.273</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.058</w:t>
            </w:r>
          </w:p>
        </w:tc>
        <w:tc>
          <w:tcPr>
            <w:tcW w:type="dxa" w:w="180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23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Depth – Longitude</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.028</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2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.113</w:t>
            </w:r>
          </w:p>
        </w:tc>
        <w:tc>
          <w:tcPr>
            <w:tcW w:type="dxa" w:w="6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0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8.040e-04</w:t>
            </w:r>
          </w:p>
        </w:tc>
        <w:tc>
          <w:tcPr>
            <w:tcW w:type="dxa" w:w="180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236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Latitude – Longitude</w:t>
            </w:r>
          </w:p>
        </w:tc>
        <w:tc>
          <w:tcPr>
            <w:tcW w:type="dxa" w:w="67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101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-.728</w:t>
            </w:r>
          </w:p>
        </w:tc>
        <w:tc>
          <w:tcPr>
            <w:tcW w:type="dxa" w:w="67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2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-.676</w:t>
            </w:r>
          </w:p>
        </w:tc>
        <w:tc>
          <w:tcPr>
            <w:tcW w:type="dxa" w:w="67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01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.530</w:t>
            </w:r>
          </w:p>
        </w:tc>
        <w:tc>
          <w:tcPr>
            <w:tcW w:type="dxa" w:w="180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Large</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With N in the tens of thousands nearly every association is statistically significant; r² and the strength label, not p, carry the practical meaning.</w:t>
      </w:r>
    </w:p>
    <w:p>
      <w:r>
        <w:br w:type="page"/>
      </w:r>
    </w:p>
    <w:p>
      <w:pPr>
        <w:spacing w:after="0"/>
      </w:pPr>
      <w:r>
        <w:rPr>
          <w:rFonts w:ascii="Times New Roman" w:hAnsi="Times New Roman" w:eastAsia="Times New Roman"/>
          <w:b/>
          <w:i w:val="0"/>
          <w:color w:val="000000"/>
          <w:sz w:val="24"/>
        </w:rPr>
        <w:t>Table 15</w:t>
      </w:r>
    </w:p>
    <w:p>
      <w:pPr>
        <w:spacing w:after="160"/>
      </w:pPr>
      <w:r>
        <w:rPr>
          <w:rFonts w:ascii="Times New Roman" w:hAnsi="Times New Roman" w:eastAsia="Times New Roman"/>
          <w:b w:val="0"/>
          <w:i/>
          <w:color w:val="000000"/>
          <w:sz w:val="24"/>
        </w:rPr>
        <w:t>Magnitude by Depth Class: Group Descriptive Statistics</w:t>
      </w:r>
    </w:p>
    <w:tbl>
      <w:tblPr>
        <w:tblW w:type="auto" w:w="0"/>
        <w:jc w:val="center"/>
        <w:tblLayout w:type="fixed"/>
        <w:tblLook w:firstColumn="1" w:firstRow="1" w:lastColumn="0" w:lastRow="0" w:noHBand="0" w:noVBand="1" w:val="04A0"/>
        <w:tblLayout w:type="fixed"/>
      </w:tblPr>
      <w:tblGrid>
        <w:gridCol w:w="1337"/>
        <w:gridCol w:w="1337"/>
        <w:gridCol w:w="1337"/>
        <w:gridCol w:w="1337"/>
        <w:gridCol w:w="1337"/>
        <w:gridCol w:w="1337"/>
        <w:gridCol w:w="1337"/>
      </w:tblGrid>
      <w:tr>
        <w:trPr>
          <w:tblHeader w:val="true"/>
        </w:trPr>
        <w:tc>
          <w:tcPr>
            <w:tcW w:type="dxa" w:w="374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Group</w:t>
            </w:r>
          </w:p>
        </w:tc>
        <w:tc>
          <w:tcPr>
            <w:tcW w:type="dxa" w:w="9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w:t>
            </w:r>
          </w:p>
        </w:tc>
        <w:tc>
          <w:tcPr>
            <w:tcW w:type="dxa" w:w="9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w:t>
            </w:r>
          </w:p>
        </w:tc>
        <w:tc>
          <w:tcPr>
            <w:tcW w:type="dxa" w:w="9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SD</w:t>
            </w:r>
          </w:p>
        </w:tc>
        <w:tc>
          <w:tcPr>
            <w:tcW w:type="dxa" w:w="9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Mdn</w:t>
            </w:r>
          </w:p>
        </w:tc>
        <w:tc>
          <w:tcPr>
            <w:tcW w:type="dxa" w:w="9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Min</w:t>
            </w:r>
          </w:p>
        </w:tc>
        <w:tc>
          <w:tcPr>
            <w:tcW w:type="dxa" w:w="9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Max</w:t>
            </w:r>
          </w:p>
        </w:tc>
      </w:tr>
      <w:tr>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Shallow (&lt;70 km)</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13,983</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4.541</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0.538</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4.400</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4.000</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8.300</w:t>
            </w:r>
          </w:p>
        </w:tc>
      </w:tr>
      <w:tr>
        <w:tc>
          <w:tcPr>
            <w:tcW w:type="dxa" w:w="374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Intermediate (70-300 km)</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3,267</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4.658</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0.554</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4.600</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4.000</w:t>
            </w:r>
          </w:p>
        </w:tc>
        <w:tc>
          <w:tcPr>
            <w:tcW w:type="dxa" w:w="9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7.800</w:t>
            </w:r>
          </w:p>
        </w:tc>
      </w:tr>
      <w:tr>
        <w:tc>
          <w:tcPr>
            <w:tcW w:type="dxa" w:w="374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Deep (&gt;300 km)</w:t>
            </w:r>
          </w:p>
        </w:tc>
        <w:tc>
          <w:tcPr>
            <w:tcW w:type="dxa" w:w="9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417</w:t>
            </w:r>
          </w:p>
        </w:tc>
        <w:tc>
          <w:tcPr>
            <w:tcW w:type="dxa" w:w="9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4.831</w:t>
            </w:r>
          </w:p>
        </w:tc>
        <w:tc>
          <w:tcPr>
            <w:tcW w:type="dxa" w:w="9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0.683</w:t>
            </w:r>
          </w:p>
        </w:tc>
        <w:tc>
          <w:tcPr>
            <w:tcW w:type="dxa" w:w="9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4.700</w:t>
            </w:r>
          </w:p>
        </w:tc>
        <w:tc>
          <w:tcPr>
            <w:tcW w:type="dxa" w:w="9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4.000</w:t>
            </w:r>
          </w:p>
        </w:tc>
        <w:tc>
          <w:tcPr>
            <w:tcW w:type="dxa" w:w="9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7.300</w:t>
            </w:r>
          </w:p>
        </w:tc>
      </w:tr>
    </w:tbl>
    <w:p>
      <w:r>
        <w:br w:type="page"/>
      </w:r>
    </w:p>
    <w:p>
      <w:pPr>
        <w:spacing w:after="0"/>
      </w:pPr>
      <w:r>
        <w:rPr>
          <w:rFonts w:ascii="Times New Roman" w:hAnsi="Times New Roman" w:eastAsia="Times New Roman"/>
          <w:b/>
          <w:i w:val="0"/>
          <w:color w:val="000000"/>
          <w:sz w:val="24"/>
        </w:rPr>
        <w:t>Table 16</w:t>
      </w:r>
    </w:p>
    <w:p>
      <w:pPr>
        <w:spacing w:after="160"/>
      </w:pPr>
      <w:r>
        <w:rPr>
          <w:rFonts w:ascii="Times New Roman" w:hAnsi="Times New Roman" w:eastAsia="Times New Roman"/>
          <w:b w:val="0"/>
          <w:i/>
          <w:color w:val="000000"/>
          <w:sz w:val="24"/>
        </w:rPr>
        <w:t>Omnibus Tests of Magnitude Differences Across Depth Classes</w:t>
      </w:r>
    </w:p>
    <w:tbl>
      <w:tblPr>
        <w:tblW w:type="auto" w:w="0"/>
        <w:jc w:val="center"/>
        <w:tblLayout w:type="fixed"/>
        <w:tblLook w:firstColumn="1" w:firstRow="1" w:lastColumn="0" w:lastRow="0" w:noHBand="0" w:noVBand="1" w:val="04A0"/>
        <w:tblLayout w:type="fixed"/>
      </w:tblPr>
      <w:tblGrid>
        <w:gridCol w:w="1337"/>
        <w:gridCol w:w="1337"/>
        <w:gridCol w:w="1337"/>
        <w:gridCol w:w="1337"/>
        <w:gridCol w:w="1337"/>
        <w:gridCol w:w="1337"/>
        <w:gridCol w:w="1337"/>
      </w:tblGrid>
      <w:tr>
        <w:trPr>
          <w:tblHeader w:val="true"/>
        </w:trPr>
        <w:tc>
          <w:tcPr>
            <w:tcW w:type="dxa" w:w="233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Test</w:t>
            </w:r>
          </w:p>
        </w:tc>
        <w:tc>
          <w:tcPr>
            <w:tcW w:type="dxa" w:w="91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Statistic</w:t>
            </w:r>
          </w:p>
        </w:tc>
        <w:tc>
          <w:tcPr>
            <w:tcW w:type="dxa" w:w="912"/>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df</w:t>
            </w:r>
          </w:p>
        </w:tc>
        <w:tc>
          <w:tcPr>
            <w:tcW w:type="dxa" w:w="64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w:t>
            </w:r>
          </w:p>
        </w:tc>
        <w:tc>
          <w:tcPr>
            <w:tcW w:type="dxa" w:w="111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Effect size</w:t>
            </w:r>
          </w:p>
        </w:tc>
        <w:tc>
          <w:tcPr>
            <w:tcW w:type="dxa" w:w="172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Effect size index</w:t>
            </w:r>
          </w:p>
        </w:tc>
        <w:tc>
          <w:tcPr>
            <w:tcW w:type="dxa" w:w="172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Interpretation</w:t>
            </w:r>
          </w:p>
        </w:tc>
      </w:tr>
      <w:tr>
        <w:tc>
          <w:tcPr>
            <w:tcW w:type="dxa" w:w="233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Levene (median-centred)</w:t>
            </w:r>
          </w:p>
        </w:tc>
        <w:tc>
          <w:tcPr>
            <w:tcW w:type="dxa" w:w="91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26.038</w:t>
            </w:r>
          </w:p>
        </w:tc>
        <w:tc>
          <w:tcPr>
            <w:tcW w:type="dxa" w:w="91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2, 17664</w:t>
            </w:r>
          </w:p>
        </w:tc>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172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172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Variances unequal</w:t>
            </w:r>
          </w:p>
        </w:tc>
      </w:tr>
      <w:tr>
        <w:tc>
          <w:tcPr>
            <w:tcW w:type="dxa" w:w="233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One-way ANOVA</w:t>
            </w:r>
          </w:p>
        </w:tc>
        <w:tc>
          <w:tcPr>
            <w:tcW w:type="dxa" w:w="91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110.225</w:t>
            </w:r>
          </w:p>
        </w:tc>
        <w:tc>
          <w:tcPr>
            <w:tcW w:type="dxa" w:w="91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2, 17664</w:t>
            </w:r>
          </w:p>
        </w:tc>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0.012</w:t>
            </w:r>
          </w:p>
        </w:tc>
        <w:tc>
          <w:tcPr>
            <w:tcW w:type="dxa" w:w="172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η²</w:t>
            </w:r>
          </w:p>
        </w:tc>
        <w:tc>
          <w:tcPr>
            <w:tcW w:type="dxa" w:w="172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233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Welch's ANOVA</w:t>
            </w:r>
          </w:p>
        </w:tc>
        <w:tc>
          <w:tcPr>
            <w:tcW w:type="dxa" w:w="91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91.350</w:t>
            </w:r>
          </w:p>
        </w:tc>
        <w:tc>
          <w:tcPr>
            <w:tcW w:type="dxa" w:w="91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2, 1048.9</w:t>
            </w:r>
          </w:p>
        </w:tc>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0.012</w:t>
            </w:r>
          </w:p>
        </w:tc>
        <w:tc>
          <w:tcPr>
            <w:tcW w:type="dxa" w:w="172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ω²</w:t>
            </w:r>
          </w:p>
        </w:tc>
        <w:tc>
          <w:tcPr>
            <w:tcW w:type="dxa" w:w="172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233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Kruskal–Wallis H</w:t>
            </w:r>
          </w:p>
        </w:tc>
        <w:tc>
          <w:tcPr>
            <w:tcW w:type="dxa" w:w="91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244.707</w:t>
            </w:r>
          </w:p>
        </w:tc>
        <w:tc>
          <w:tcPr>
            <w:tcW w:type="dxa" w:w="91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2</w:t>
            </w:r>
          </w:p>
        </w:tc>
        <w:tc>
          <w:tcPr>
            <w:tcW w:type="dxa" w:w="64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1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0.014</w:t>
            </w:r>
          </w:p>
        </w:tc>
        <w:tc>
          <w:tcPr>
            <w:tcW w:type="dxa" w:w="172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ε²</w:t>
            </w:r>
          </w:p>
        </w:tc>
        <w:tc>
          <w:tcPr>
            <w:tcW w:type="dxa" w:w="172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Small</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Levene's test rejects homogeneity of variance, so Welch's ANOVA and the Kruskal–Wallis test are the defensible omnibus results; the classical F is reported only for comparison.</w:t>
      </w:r>
    </w:p>
    <w:p>
      <w:r>
        <w:br w:type="page"/>
      </w:r>
    </w:p>
    <w:p>
      <w:pPr>
        <w:spacing w:after="0"/>
      </w:pPr>
      <w:r>
        <w:rPr>
          <w:rFonts w:ascii="Times New Roman" w:hAnsi="Times New Roman" w:eastAsia="Times New Roman"/>
          <w:b/>
          <w:i w:val="0"/>
          <w:color w:val="000000"/>
          <w:sz w:val="24"/>
        </w:rPr>
        <w:t>Table 17</w:t>
      </w:r>
    </w:p>
    <w:p>
      <w:pPr>
        <w:spacing w:after="160"/>
      </w:pPr>
      <w:r>
        <w:rPr>
          <w:rFonts w:ascii="Times New Roman" w:hAnsi="Times New Roman" w:eastAsia="Times New Roman"/>
          <w:b w:val="0"/>
          <w:i/>
          <w:color w:val="000000"/>
          <w:sz w:val="24"/>
        </w:rPr>
        <w:t>Dunn's Post Hoc Comparisons of Magnitude Across Depth Classes</w:t>
      </w:r>
    </w:p>
    <w:tbl>
      <w:tblPr>
        <w:tblW w:type="auto" w:w="0"/>
        <w:jc w:val="center"/>
        <w:tblLayout w:type="fixed"/>
        <w:tblLook w:firstColumn="1" w:firstRow="1" w:lastColumn="0" w:lastRow="0" w:noHBand="0" w:noVBand="1" w:val="04A0"/>
        <w:tblLayout w:type="fixed"/>
      </w:tblPr>
      <w:tblGrid>
        <w:gridCol w:w="1337"/>
        <w:gridCol w:w="1337"/>
        <w:gridCol w:w="1337"/>
        <w:gridCol w:w="1337"/>
        <w:gridCol w:w="1337"/>
        <w:gridCol w:w="1337"/>
        <w:gridCol w:w="1337"/>
      </w:tblGrid>
      <w:tr>
        <w:trPr>
          <w:tblHeader w:val="true"/>
        </w:trPr>
        <w:tc>
          <w:tcPr>
            <w:tcW w:type="dxa" w:w="367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Comparison</w:t>
            </w:r>
          </w:p>
        </w:tc>
        <w:tc>
          <w:tcPr>
            <w:tcW w:type="dxa" w:w="163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Mean rank difference</w:t>
            </w:r>
          </w:p>
        </w:tc>
        <w:tc>
          <w:tcPr>
            <w:tcW w:type="dxa" w:w="63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z</w:t>
            </w:r>
          </w:p>
        </w:tc>
        <w:tc>
          <w:tcPr>
            <w:tcW w:type="dxa" w:w="63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w:t>
            </w:r>
          </w:p>
        </w:tc>
        <w:tc>
          <w:tcPr>
            <w:tcW w:type="dxa" w:w="114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 (Bonferroni)</w:t>
            </w:r>
          </w:p>
        </w:tc>
        <w:tc>
          <w:tcPr>
            <w:tcW w:type="dxa" w:w="7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Cliff's δ</w:t>
            </w:r>
          </w:p>
        </w:tc>
        <w:tc>
          <w:tcPr>
            <w:tcW w:type="dxa" w:w="899"/>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Decision</w:t>
            </w:r>
          </w:p>
        </w:tc>
      </w:tr>
      <w:tr>
        <w:tc>
          <w:tcPr>
            <w:tcW w:type="dxa" w:w="367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Shallow (&lt;70 km) vs. Intermediate (70-300 km)</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-1,274.506</w:t>
            </w:r>
          </w:p>
        </w:tc>
        <w:tc>
          <w:tcPr>
            <w:tcW w:type="dxa" w:w="6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-12.908</w:t>
            </w:r>
          </w:p>
        </w:tc>
        <w:tc>
          <w:tcPr>
            <w:tcW w:type="dxa" w:w="6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7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-.143</w:t>
            </w:r>
          </w:p>
        </w:tc>
        <w:tc>
          <w:tcPr>
            <w:tcW w:type="dxa" w:w="89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Significant</w:t>
            </w:r>
          </w:p>
        </w:tc>
      </w:tr>
      <w:tr>
        <w:tc>
          <w:tcPr>
            <w:tcW w:type="dxa" w:w="367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Shallow (&lt;70 km) vs. Deep (&gt;300 km)</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-2,466.875</w:t>
            </w:r>
          </w:p>
        </w:tc>
        <w:tc>
          <w:tcPr>
            <w:tcW w:type="dxa" w:w="6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-9.769</w:t>
            </w:r>
          </w:p>
        </w:tc>
        <w:tc>
          <w:tcPr>
            <w:tcW w:type="dxa" w:w="6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7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-.277</w:t>
            </w:r>
          </w:p>
        </w:tc>
        <w:tc>
          <w:tcPr>
            <w:tcW w:type="dxa" w:w="89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Significant</w:t>
            </w:r>
          </w:p>
        </w:tc>
      </w:tr>
      <w:tr>
        <w:tc>
          <w:tcPr>
            <w:tcW w:type="dxa" w:w="367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Intermediate (70-300 km) vs. Deep (&gt;300 km)</w:t>
            </w:r>
          </w:p>
        </w:tc>
        <w:tc>
          <w:tcPr>
            <w:tcW w:type="dxa" w:w="163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-1,192.369</w:t>
            </w:r>
          </w:p>
        </w:tc>
        <w:tc>
          <w:tcPr>
            <w:tcW w:type="dxa" w:w="63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-4.512</w:t>
            </w:r>
          </w:p>
        </w:tc>
        <w:tc>
          <w:tcPr>
            <w:tcW w:type="dxa" w:w="63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14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7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-.141</w:t>
            </w:r>
          </w:p>
        </w:tc>
        <w:tc>
          <w:tcPr>
            <w:tcW w:type="dxa" w:w="899"/>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Significant</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p values are Bonferroni-adjusted for the number of pairwise comparisons. Cliff's δ is a non-parametric effect size bounded by ±1.</w:t>
      </w:r>
    </w:p>
    <w:p>
      <w:r>
        <w:br w:type="page"/>
      </w:r>
    </w:p>
    <w:p>
      <w:pPr>
        <w:spacing w:after="0"/>
      </w:pPr>
      <w:r>
        <w:rPr>
          <w:rFonts w:ascii="Times New Roman" w:hAnsi="Times New Roman" w:eastAsia="Times New Roman"/>
          <w:b/>
          <w:i w:val="0"/>
          <w:color w:val="000000"/>
          <w:sz w:val="24"/>
        </w:rPr>
        <w:t>Table 18</w:t>
      </w:r>
    </w:p>
    <w:p>
      <w:pPr>
        <w:spacing w:after="160"/>
      </w:pPr>
      <w:r>
        <w:rPr>
          <w:rFonts w:ascii="Times New Roman" w:hAnsi="Times New Roman" w:eastAsia="Times New Roman"/>
          <w:b w:val="0"/>
          <w:i/>
          <w:color w:val="000000"/>
          <w:sz w:val="24"/>
        </w:rPr>
        <w:t>Chi-Square Test of Independence: Magnitude Class by Depth Class</w:t>
      </w:r>
    </w:p>
    <w:tbl>
      <w:tblPr>
        <w:tblW w:type="auto" w:w="0"/>
        <w:jc w:val="center"/>
        <w:tblLayout w:type="fixed"/>
        <w:tblLook w:firstColumn="1" w:firstRow="1" w:lastColumn="0" w:lastRow="0" w:noHBand="0" w:noVBand="1" w:val="04A0"/>
        <w:tblLayout w:type="fixed"/>
      </w:tblPr>
      <w:tblGrid>
        <w:gridCol w:w="1170"/>
        <w:gridCol w:w="1170"/>
        <w:gridCol w:w="1170"/>
        <w:gridCol w:w="1170"/>
        <w:gridCol w:w="1170"/>
        <w:gridCol w:w="1170"/>
        <w:gridCol w:w="1170"/>
        <w:gridCol w:w="1170"/>
      </w:tblGrid>
      <w:tr>
        <w:trPr>
          <w:tblHeader w:val="true"/>
        </w:trPr>
        <w:tc>
          <w:tcPr>
            <w:tcW w:type="dxa" w:w="296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Test</w:t>
            </w:r>
          </w:p>
        </w:tc>
        <w:tc>
          <w:tcPr>
            <w:tcW w:type="dxa" w:w="66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χ²</w:t>
            </w:r>
          </w:p>
        </w:tc>
        <w:tc>
          <w:tcPr>
            <w:tcW w:type="dxa" w:w="63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df</w:t>
            </w:r>
          </w:p>
        </w:tc>
        <w:tc>
          <w:tcPr>
            <w:tcW w:type="dxa" w:w="63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w:t>
            </w:r>
          </w:p>
        </w:tc>
        <w:tc>
          <w:tcPr>
            <w:tcW w:type="dxa" w:w="63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w:t>
            </w:r>
          </w:p>
        </w:tc>
        <w:tc>
          <w:tcPr>
            <w:tcW w:type="dxa" w:w="9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Cramér's V</w:t>
            </w:r>
          </w:p>
        </w:tc>
        <w:tc>
          <w:tcPr>
            <w:tcW w:type="dxa" w:w="105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Effect size</w:t>
            </w:r>
          </w:p>
        </w:tc>
        <w:tc>
          <w:tcPr>
            <w:tcW w:type="dxa" w:w="1816"/>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Decision at α = .05</w:t>
            </w:r>
          </w:p>
        </w:tc>
      </w:tr>
      <w:tr>
        <w:tc>
          <w:tcPr>
            <w:tcW w:type="dxa" w:w="296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Pearson χ² test of independence</w:t>
            </w:r>
          </w:p>
        </w:tc>
        <w:tc>
          <w:tcPr>
            <w:tcW w:type="dxa" w:w="66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255.024</w:t>
            </w:r>
          </w:p>
        </w:tc>
        <w:tc>
          <w:tcPr>
            <w:tcW w:type="dxa" w:w="63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10</w:t>
            </w:r>
          </w:p>
        </w:tc>
        <w:tc>
          <w:tcPr>
            <w:tcW w:type="dxa" w:w="63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63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9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0.085</w:t>
            </w:r>
          </w:p>
        </w:tc>
        <w:tc>
          <w:tcPr>
            <w:tcW w:type="dxa" w:w="105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Medium</w:t>
            </w:r>
          </w:p>
        </w:tc>
        <w:tc>
          <w:tcPr>
            <w:tcW w:type="dxa" w:w="181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Reject independence</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Cramér's V is benchmarked against the degrees of freedom of the table.</w:t>
      </w:r>
    </w:p>
    <w:p>
      <w:r>
        <w:br w:type="page"/>
      </w:r>
    </w:p>
    <w:p>
      <w:pPr>
        <w:spacing w:after="0"/>
      </w:pPr>
      <w:r>
        <w:rPr>
          <w:rFonts w:ascii="Times New Roman" w:hAnsi="Times New Roman" w:eastAsia="Times New Roman"/>
          <w:b/>
          <w:i w:val="0"/>
          <w:color w:val="000000"/>
          <w:sz w:val="24"/>
        </w:rPr>
        <w:t>Table 19</w:t>
      </w:r>
    </w:p>
    <w:p>
      <w:pPr>
        <w:spacing w:after="160"/>
      </w:pPr>
      <w:r>
        <w:rPr>
          <w:rFonts w:ascii="Times New Roman" w:hAnsi="Times New Roman" w:eastAsia="Times New Roman"/>
          <w:b w:val="0"/>
          <w:i/>
          <w:color w:val="000000"/>
          <w:sz w:val="24"/>
        </w:rPr>
        <w:t>Standardised Residuals for the Magnitude-by-Depth Cross-Tabulation</w:t>
      </w:r>
    </w:p>
    <w:tbl>
      <w:tblPr>
        <w:tblW w:type="auto" w:w="0"/>
        <w:jc w:val="center"/>
        <w:tblLayout w:type="fixed"/>
        <w:tblLook w:firstColumn="1" w:firstRow="1" w:lastColumn="0" w:lastRow="0" w:noHBand="0" w:noVBand="1" w:val="04A0"/>
        <w:tblLayout w:type="fixed"/>
      </w:tblPr>
      <w:tblGrid>
        <w:gridCol w:w="2340"/>
        <w:gridCol w:w="2340"/>
        <w:gridCol w:w="2340"/>
        <w:gridCol w:w="2340"/>
      </w:tblGrid>
      <w:tr>
        <w:trPr>
          <w:tblHeader w:val="true"/>
        </w:trPr>
        <w:tc>
          <w:tcPr>
            <w:tcW w:type="dxa" w:w="203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Magnitude class</w:t>
            </w:r>
          </w:p>
        </w:tc>
        <w:tc>
          <w:tcPr>
            <w:tcW w:type="dxa" w:w="217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Shallow (&lt;70 km)</w:t>
            </w:r>
          </w:p>
        </w:tc>
        <w:tc>
          <w:tcPr>
            <w:tcW w:type="dxa" w:w="32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Intermediate (70-300 km)</w:t>
            </w:r>
          </w:p>
        </w:tc>
        <w:tc>
          <w:tcPr>
            <w:tcW w:type="dxa" w:w="189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Deep (&gt;300 km)</w:t>
            </w:r>
          </w:p>
        </w:tc>
      </w:tr>
      <w:tr>
        <w:tc>
          <w:tcPr>
            <w:tcW w:type="dxa" w:w="203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4.0–4.4</w:t>
            </w:r>
          </w:p>
        </w:tc>
        <w:tc>
          <w:tcPr>
            <w:tcW w:type="dxa" w:w="2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13.08</w:t>
            </w:r>
          </w:p>
        </w:tc>
        <w:tc>
          <w:tcPr>
            <w:tcW w:type="dxa" w:w="32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-11.36</w:t>
            </w:r>
          </w:p>
        </w:tc>
        <w:tc>
          <w:tcPr>
            <w:tcW w:type="dxa" w:w="18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-5.97</w:t>
            </w:r>
          </w:p>
        </w:tc>
      </w:tr>
      <w:tr>
        <w:tc>
          <w:tcPr>
            <w:tcW w:type="dxa" w:w="203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4.5–4.9</w:t>
            </w:r>
          </w:p>
        </w:tc>
        <w:tc>
          <w:tcPr>
            <w:tcW w:type="dxa" w:w="2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-4.46</w:t>
            </w:r>
          </w:p>
        </w:tc>
        <w:tc>
          <w:tcPr>
            <w:tcW w:type="dxa" w:w="32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4.74</w:t>
            </w:r>
          </w:p>
        </w:tc>
        <w:tc>
          <w:tcPr>
            <w:tcW w:type="dxa" w:w="18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-0.19</w:t>
            </w:r>
          </w:p>
        </w:tc>
      </w:tr>
      <w:tr>
        <w:tc>
          <w:tcPr>
            <w:tcW w:type="dxa" w:w="203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5.0–5.4</w:t>
            </w:r>
          </w:p>
        </w:tc>
        <w:tc>
          <w:tcPr>
            <w:tcW w:type="dxa" w:w="2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-9.06</w:t>
            </w:r>
          </w:p>
        </w:tc>
        <w:tc>
          <w:tcPr>
            <w:tcW w:type="dxa" w:w="32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7.85</w:t>
            </w:r>
          </w:p>
        </w:tc>
        <w:tc>
          <w:tcPr>
            <w:tcW w:type="dxa" w:w="18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4.18</w:t>
            </w:r>
          </w:p>
        </w:tc>
      </w:tr>
      <w:tr>
        <w:tc>
          <w:tcPr>
            <w:tcW w:type="dxa" w:w="203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5.5–5.9</w:t>
            </w:r>
          </w:p>
        </w:tc>
        <w:tc>
          <w:tcPr>
            <w:tcW w:type="dxa" w:w="2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-3.25</w:t>
            </w:r>
          </w:p>
        </w:tc>
        <w:tc>
          <w:tcPr>
            <w:tcW w:type="dxa" w:w="32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2.5</w:t>
            </w:r>
          </w:p>
        </w:tc>
        <w:tc>
          <w:tcPr>
            <w:tcW w:type="dxa" w:w="18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2.32</w:t>
            </w:r>
          </w:p>
        </w:tc>
      </w:tr>
      <w:tr>
        <w:tc>
          <w:tcPr>
            <w:tcW w:type="dxa" w:w="203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6.0–6.9</w:t>
            </w:r>
          </w:p>
        </w:tc>
        <w:tc>
          <w:tcPr>
            <w:tcW w:type="dxa" w:w="2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-5.57</w:t>
            </w:r>
          </w:p>
        </w:tc>
        <w:tc>
          <w:tcPr>
            <w:tcW w:type="dxa" w:w="32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w:t>
            </w:r>
          </w:p>
        </w:tc>
        <w:tc>
          <w:tcPr>
            <w:tcW w:type="dxa" w:w="18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7.23</w:t>
            </w:r>
          </w:p>
        </w:tc>
      </w:tr>
      <w:tr>
        <w:tc>
          <w:tcPr>
            <w:tcW w:type="dxa" w:w="203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 7.0 (Major)</w:t>
            </w:r>
          </w:p>
        </w:tc>
        <w:tc>
          <w:tcPr>
            <w:tcW w:type="dxa" w:w="217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0.3</w:t>
            </w:r>
          </w:p>
        </w:tc>
        <w:tc>
          <w:tcPr>
            <w:tcW w:type="dxa" w:w="32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-1.13</w:t>
            </w:r>
          </w:p>
        </w:tc>
        <w:tc>
          <w:tcPr>
            <w:tcW w:type="dxa" w:w="189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2.09</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Residuals beyond ±1.96 mark cells contributing significantly to the chi-square statistic at α = .05.</w:t>
      </w:r>
    </w:p>
    <w:p>
      <w:r>
        <w:br w:type="page"/>
      </w:r>
    </w:p>
    <w:p>
      <w:pPr>
        <w:spacing w:after="0"/>
      </w:pPr>
      <w:r>
        <w:rPr>
          <w:rFonts w:ascii="Times New Roman" w:hAnsi="Times New Roman" w:eastAsia="Times New Roman"/>
          <w:b/>
          <w:i w:val="0"/>
          <w:color w:val="000000"/>
          <w:sz w:val="24"/>
        </w:rPr>
        <w:t>Table 20</w:t>
      </w:r>
    </w:p>
    <w:p>
      <w:pPr>
        <w:spacing w:after="160"/>
      </w:pPr>
      <w:r>
        <w:rPr>
          <w:rFonts w:ascii="Times New Roman" w:hAnsi="Times New Roman" w:eastAsia="Times New Roman"/>
          <w:b w:val="0"/>
          <w:i/>
          <w:color w:val="000000"/>
          <w:sz w:val="24"/>
        </w:rPr>
        <w:t>Mann–Kendall Trend Tests on the Annual Seismicity Series</w:t>
      </w:r>
    </w:p>
    <w:tbl>
      <w:tblPr>
        <w:tblW w:type="auto" w:w="0"/>
        <w:jc w:val="center"/>
        <w:tblLayout w:type="fixed"/>
        <w:tblLook w:firstColumn="1" w:firstRow="1" w:lastColumn="0" w:lastRow="0" w:noHBand="0" w:noVBand="1" w:val="04A0"/>
        <w:tblLayout w:type="fixed"/>
      </w:tblPr>
      <w:tblGrid>
        <w:gridCol w:w="1170"/>
        <w:gridCol w:w="1170"/>
        <w:gridCol w:w="1170"/>
        <w:gridCol w:w="1170"/>
        <w:gridCol w:w="1170"/>
        <w:gridCol w:w="1170"/>
        <w:gridCol w:w="1170"/>
        <w:gridCol w:w="1170"/>
      </w:tblGrid>
      <w:tr>
        <w:trPr>
          <w:tblHeader w:val="true"/>
        </w:trPr>
        <w:tc>
          <w:tcPr>
            <w:tcW w:type="dxa" w:w="252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Series</w:t>
            </w:r>
          </w:p>
        </w:tc>
        <w:tc>
          <w:tcPr>
            <w:tcW w:type="dxa" w:w="75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 (years)</w:t>
            </w:r>
          </w:p>
        </w:tc>
        <w:tc>
          <w:tcPr>
            <w:tcW w:type="dxa" w:w="118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Mann–Kendall S</w:t>
            </w:r>
          </w:p>
        </w:tc>
        <w:tc>
          <w:tcPr>
            <w:tcW w:type="dxa" w:w="6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Z</w:t>
            </w:r>
          </w:p>
        </w:tc>
        <w:tc>
          <w:tcPr>
            <w:tcW w:type="dxa" w:w="92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Kendall's τ</w:t>
            </w:r>
          </w:p>
        </w:tc>
        <w:tc>
          <w:tcPr>
            <w:tcW w:type="dxa" w:w="63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w:t>
            </w:r>
          </w:p>
        </w:tc>
        <w:tc>
          <w:tcPr>
            <w:tcW w:type="dxa" w:w="185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Sen's slope (per year)</w:t>
            </w:r>
          </w:p>
        </w:tc>
        <w:tc>
          <w:tcPr>
            <w:tcW w:type="dxa" w:w="84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Trend</w:t>
            </w:r>
          </w:p>
        </w:tc>
      </w:tr>
      <w:tr>
        <w:tc>
          <w:tcPr>
            <w:tcW w:type="dxa" w:w="252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Annual event count</w:t>
            </w:r>
          </w:p>
        </w:tc>
        <w:tc>
          <w:tcPr>
            <w:tcW w:type="dxa" w:w="75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114</w:t>
            </w:r>
          </w:p>
        </w:tc>
        <w:tc>
          <w:tcPr>
            <w:tcW w:type="dxa" w:w="11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4,704</w:t>
            </w:r>
          </w:p>
        </w:tc>
        <w:tc>
          <w:tcPr>
            <w:tcW w:type="dxa" w:w="6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11.526</w:t>
            </w:r>
          </w:p>
        </w:tc>
        <w:tc>
          <w:tcPr>
            <w:tcW w:type="dxa" w:w="9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.730</w:t>
            </w:r>
          </w:p>
        </w:tc>
        <w:tc>
          <w:tcPr>
            <w:tcW w:type="dxa" w:w="6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85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3.459</w:t>
            </w:r>
          </w:p>
        </w:tc>
        <w:tc>
          <w:tcPr>
            <w:tcW w:type="dxa" w:w="84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Increasing</w:t>
            </w:r>
          </w:p>
        </w:tc>
      </w:tr>
      <w:tr>
        <w:tc>
          <w:tcPr>
            <w:tcW w:type="dxa" w:w="252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Annual maximum magnitude</w:t>
            </w:r>
          </w:p>
        </w:tc>
        <w:tc>
          <w:tcPr>
            <w:tcW w:type="dxa" w:w="75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114</w:t>
            </w:r>
          </w:p>
        </w:tc>
        <w:tc>
          <w:tcPr>
            <w:tcW w:type="dxa" w:w="11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-956</w:t>
            </w:r>
          </w:p>
        </w:tc>
        <w:tc>
          <w:tcPr>
            <w:tcW w:type="dxa" w:w="6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-2.343</w:t>
            </w:r>
          </w:p>
        </w:tc>
        <w:tc>
          <w:tcPr>
            <w:tcW w:type="dxa" w:w="9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-.148</w:t>
            </w:r>
          </w:p>
        </w:tc>
        <w:tc>
          <w:tcPr>
            <w:tcW w:type="dxa" w:w="6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.019</w:t>
            </w:r>
          </w:p>
        </w:tc>
        <w:tc>
          <w:tcPr>
            <w:tcW w:type="dxa" w:w="185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-0.004</w:t>
            </w:r>
          </w:p>
        </w:tc>
        <w:tc>
          <w:tcPr>
            <w:tcW w:type="dxa" w:w="84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Decreasing</w:t>
            </w:r>
          </w:p>
        </w:tc>
      </w:tr>
      <w:tr>
        <w:tc>
          <w:tcPr>
            <w:tcW w:type="dxa" w:w="252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Annual mean magnitude</w:t>
            </w:r>
          </w:p>
        </w:tc>
        <w:tc>
          <w:tcPr>
            <w:tcW w:type="dxa" w:w="75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114</w:t>
            </w:r>
          </w:p>
        </w:tc>
        <w:tc>
          <w:tcPr>
            <w:tcW w:type="dxa" w:w="11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-4,396</w:t>
            </w:r>
          </w:p>
        </w:tc>
        <w:tc>
          <w:tcPr>
            <w:tcW w:type="dxa" w:w="6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-10.763</w:t>
            </w:r>
          </w:p>
        </w:tc>
        <w:tc>
          <w:tcPr>
            <w:tcW w:type="dxa" w:w="9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-.683</w:t>
            </w:r>
          </w:p>
        </w:tc>
        <w:tc>
          <w:tcPr>
            <w:tcW w:type="dxa" w:w="63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85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-0.026</w:t>
            </w:r>
          </w:p>
        </w:tc>
        <w:tc>
          <w:tcPr>
            <w:tcW w:type="dxa" w:w="84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Decreasing</w:t>
            </w:r>
          </w:p>
        </w:tc>
      </w:tr>
      <w:tr>
        <w:tc>
          <w:tcPr>
            <w:tcW w:type="dxa" w:w="252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Annual count of M ≥ 6.0 events</w:t>
            </w:r>
          </w:p>
        </w:tc>
        <w:tc>
          <w:tcPr>
            <w:tcW w:type="dxa" w:w="75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114</w:t>
            </w:r>
          </w:p>
        </w:tc>
        <w:tc>
          <w:tcPr>
            <w:tcW w:type="dxa" w:w="118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1,059</w:t>
            </w:r>
          </w:p>
        </w:tc>
        <w:tc>
          <w:tcPr>
            <w:tcW w:type="dxa" w:w="6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2.612</w:t>
            </w:r>
          </w:p>
        </w:tc>
        <w:tc>
          <w:tcPr>
            <w:tcW w:type="dxa" w:w="92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.164</w:t>
            </w:r>
          </w:p>
        </w:tc>
        <w:tc>
          <w:tcPr>
            <w:tcW w:type="dxa" w:w="63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.009</w:t>
            </w:r>
          </w:p>
        </w:tc>
        <w:tc>
          <w:tcPr>
            <w:tcW w:type="dxa" w:w="185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0.018</w:t>
            </w:r>
          </w:p>
        </w:tc>
        <w:tc>
          <w:tcPr>
            <w:tcW w:type="dxa" w:w="84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Increasing</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Sen's slope is the Theil–Sen median slope per year. A trend in recorded counts confounds real seismicity with network growth; the magnitude series is the less confounded of the four.</w:t>
      </w:r>
    </w:p>
    <w:p>
      <w:r>
        <w:br w:type="page"/>
      </w:r>
    </w:p>
    <w:p>
      <w:pPr>
        <w:spacing w:after="0"/>
      </w:pPr>
      <w:r>
        <w:rPr>
          <w:rFonts w:ascii="Times New Roman" w:hAnsi="Times New Roman" w:eastAsia="Times New Roman"/>
          <w:b/>
          <w:i w:val="0"/>
          <w:color w:val="000000"/>
          <w:sz w:val="24"/>
        </w:rPr>
        <w:t>Table 21</w:t>
      </w:r>
    </w:p>
    <w:p>
      <w:pPr>
        <w:spacing w:after="160"/>
      </w:pPr>
      <w:r>
        <w:rPr>
          <w:rFonts w:ascii="Times New Roman" w:hAnsi="Times New Roman" w:eastAsia="Times New Roman"/>
          <w:b w:val="0"/>
          <w:i/>
          <w:color w:val="000000"/>
          <w:sz w:val="24"/>
        </w:rPr>
        <w:t>Comparison of Recorded Magnitudes Before and After 1980</w:t>
      </w:r>
    </w:p>
    <w:tbl>
      <w:tblPr>
        <w:tblW w:type="auto" w:w="0"/>
        <w:jc w:val="center"/>
        <w:tblLayout w:type="fixed"/>
        <w:tblLook w:firstColumn="1" w:firstRow="1" w:lastColumn="0" w:lastRow="0" w:noHBand="0" w:noVBand="1" w:val="04A0"/>
        <w:tblLayout w:type="fixed"/>
      </w:tblPr>
      <w:tblGrid>
        <w:gridCol w:w="4680"/>
        <w:gridCol w:w="4680"/>
      </w:tblGrid>
      <w:tr>
        <w:trPr>
          <w:tblHeader w:val="true"/>
        </w:trPr>
        <w:tc>
          <w:tcPr>
            <w:tcW w:type="dxa" w:w="5442"/>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Statistic</w:t>
            </w:r>
          </w:p>
        </w:tc>
        <w:tc>
          <w:tcPr>
            <w:tcW w:type="dxa" w:w="391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Value</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 (pre-1980)</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3,273</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 (pre-1980)</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4.957 (SD = 0.648)</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 (1980–present)</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14,394</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 (1980–present)</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4.481 (SD = 0.481)</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Welch's t</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39.571</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 (Welch's t)</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&lt; .001</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Cohen's d</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0.922</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Mann–Whitney U</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35,058,464</w:t>
            </w:r>
          </w:p>
        </w:tc>
      </w:tr>
      <w:tr>
        <w:tc>
          <w:tcPr>
            <w:tcW w:type="dxa" w:w="54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 (Mann–Whitney)</w:t>
            </w:r>
          </w:p>
        </w:tc>
        <w:tc>
          <w:tcPr>
            <w:tcW w:type="dxa" w:w="39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&lt; .001</w:t>
            </w:r>
          </w:p>
        </w:tc>
      </w:tr>
      <w:tr>
        <w:tc>
          <w:tcPr>
            <w:tcW w:type="dxa" w:w="544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Rank-biserial correlation</w:t>
            </w:r>
          </w:p>
        </w:tc>
        <w:tc>
          <w:tcPr>
            <w:tcW w:type="dxa" w:w="391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-0.488</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1980 approximates the modernisation of the national seismic network. A difference here is at least as likely to reflect improved detection of small events as a change in seismicity.</w:t>
      </w:r>
    </w:p>
    <w:p>
      <w:pPr>
        <w:spacing w:before="360" w:after="120"/>
        <w:jc w:val="center"/>
      </w:pPr>
      <w:r>
        <w:rPr>
          <w:rFonts w:ascii="Times New Roman" w:hAnsi="Times New Roman" w:eastAsia="Times New Roman"/>
          <w:b/>
          <w:i w:val="0"/>
          <w:color w:val="000000"/>
          <w:sz w:val="24"/>
        </w:rPr>
        <w:t>Section D. Frequency–Magnitude Distribution</w:t>
      </w:r>
    </w:p>
    <w:p>
      <w:r>
        <w:br w:type="page"/>
      </w:r>
    </w:p>
    <w:p>
      <w:pPr>
        <w:spacing w:after="0"/>
      </w:pPr>
      <w:r>
        <w:rPr>
          <w:rFonts w:ascii="Times New Roman" w:hAnsi="Times New Roman" w:eastAsia="Times New Roman"/>
          <w:b/>
          <w:i w:val="0"/>
          <w:color w:val="000000"/>
          <w:sz w:val="24"/>
        </w:rPr>
        <w:t>Table 22</w:t>
      </w:r>
    </w:p>
    <w:p>
      <w:pPr>
        <w:spacing w:after="160"/>
      </w:pPr>
      <w:r>
        <w:rPr>
          <w:rFonts w:ascii="Times New Roman" w:hAnsi="Times New Roman" w:eastAsia="Times New Roman"/>
          <w:b w:val="0"/>
          <w:i/>
          <w:color w:val="000000"/>
          <w:sz w:val="24"/>
        </w:rPr>
        <w:t>Completeness Magnitude and Gutenberg–Richter Parameters for the Full Catalogue</w:t>
      </w:r>
    </w:p>
    <w:tbl>
      <w:tblPr>
        <w:tblW w:type="auto" w:w="0"/>
        <w:jc w:val="center"/>
        <w:tblLayout w:type="fixed"/>
        <w:tblLook w:firstColumn="1" w:firstRow="1" w:lastColumn="0" w:lastRow="0" w:noHBand="0" w:noVBand="1" w:val="04A0"/>
        <w:tblLayout w:type="fixed"/>
      </w:tblPr>
      <w:tblGrid>
        <w:gridCol w:w="720"/>
        <w:gridCol w:w="720"/>
        <w:gridCol w:w="720"/>
        <w:gridCol w:w="720"/>
        <w:gridCol w:w="720"/>
        <w:gridCol w:w="720"/>
        <w:gridCol w:w="720"/>
        <w:gridCol w:w="720"/>
        <w:gridCol w:w="720"/>
        <w:gridCol w:w="720"/>
        <w:gridCol w:w="720"/>
        <w:gridCol w:w="720"/>
        <w:gridCol w:w="720"/>
      </w:tblGrid>
      <w:tr>
        <w:trPr>
          <w:tblHeader w:val="true"/>
        </w:trPr>
        <w:tc>
          <w:tcPr>
            <w:tcW w:type="dxa" w:w="1149"/>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Subset</w:t>
            </w:r>
          </w:p>
        </w:tc>
        <w:tc>
          <w:tcPr>
            <w:tcW w:type="dxa" w:w="6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 events</w:t>
            </w:r>
          </w:p>
        </w:tc>
        <w:tc>
          <w:tcPr>
            <w:tcW w:type="dxa" w:w="73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Mc (MAXC)</w:t>
            </w:r>
          </w:p>
        </w:tc>
        <w:tc>
          <w:tcPr>
            <w:tcW w:type="dxa" w:w="6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Mc (GFT)</w:t>
            </w:r>
          </w:p>
        </w:tc>
        <w:tc>
          <w:tcPr>
            <w:tcW w:type="dxa" w:w="73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GFT R (%)</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 ≥ Mc</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 (MLE)</w:t>
            </w:r>
          </w:p>
        </w:tc>
        <w:tc>
          <w:tcPr>
            <w:tcW w:type="dxa" w:w="82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 b (MLE)</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a (MLE)</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 (LSQ)</w:t>
            </w:r>
          </w:p>
        </w:tc>
        <w:tc>
          <w:tcPr>
            <w:tcW w:type="dxa" w:w="82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 b (LSQ)</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a (LSQ)</w:t>
            </w:r>
          </w:p>
        </w:tc>
        <w:tc>
          <w:tcPr>
            <w:tcW w:type="dxa" w:w="6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R² (LSQ)</w:t>
            </w:r>
          </w:p>
        </w:tc>
      </w:tr>
      <w:tr>
        <w:tc>
          <w:tcPr>
            <w:tcW w:type="dxa" w:w="1149"/>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Full catalogue</w:t>
            </w:r>
          </w:p>
        </w:tc>
        <w:tc>
          <w:tcPr>
            <w:tcW w:type="dxa" w:w="6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17,667</w:t>
            </w:r>
          </w:p>
        </w:tc>
        <w:tc>
          <w:tcPr>
            <w:tcW w:type="dxa" w:w="73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6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4.900</w:t>
            </w:r>
          </w:p>
        </w:tc>
        <w:tc>
          <w:tcPr>
            <w:tcW w:type="dxa" w:w="73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90.558</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4,442</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0.920</w:t>
            </w:r>
          </w:p>
        </w:tc>
        <w:tc>
          <w:tcPr>
            <w:tcW w:type="dxa" w:w="82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0.014</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8.155</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0.963</w:t>
            </w:r>
          </w:p>
        </w:tc>
        <w:tc>
          <w:tcPr>
            <w:tcW w:type="dxa" w:w="82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0.028</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8.448</w:t>
            </w:r>
          </w:p>
        </w:tc>
        <w:tc>
          <w:tcPr>
            <w:tcW w:type="dxa" w:w="6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0.974</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Mc (MAXC) is the maximum-curvature estimate with the conventional +0.2 correction; Mc (GFT) is the 90% goodness-of-fit estimate of Wiemer and Wyss (2000). b (MLE) is the Aki–Utsu estimator with the Shi and Bolt (1982) standard error. A b-value near 1.0 is typical of subduction seismicity.</w:t>
      </w:r>
    </w:p>
    <w:p>
      <w:pPr>
        <w:sectPr>
          <w:pgSz w:w="12240" w:h="15840"/>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23</w:t>
      </w:r>
    </w:p>
    <w:p>
      <w:pPr>
        <w:spacing w:after="160"/>
      </w:pPr>
      <w:r>
        <w:rPr>
          <w:rFonts w:ascii="Times New Roman" w:hAnsi="Times New Roman" w:eastAsia="Times New Roman"/>
          <w:b w:val="0"/>
          <w:i/>
          <w:color w:val="000000"/>
          <w:sz w:val="24"/>
        </w:rPr>
        <w:t>Gutenberg–Richter Parameters by Decade, 1980 to Present</w:t>
      </w:r>
    </w:p>
    <w:tbl>
      <w:tblPr>
        <w:tblW w:type="auto" w:w="0"/>
        <w:jc w:val="center"/>
        <w:tblLayout w:type="fixed"/>
        <w:tblLook w:firstColumn="1" w:firstRow="1" w:lastColumn="0" w:lastRow="0" w:noHBand="0" w:noVBand="1" w:val="04A0"/>
        <w:tblLayout w:type="fixed"/>
      </w:tblPr>
      <w:tblGrid>
        <w:gridCol w:w="997"/>
        <w:gridCol w:w="997"/>
        <w:gridCol w:w="997"/>
        <w:gridCol w:w="997"/>
        <w:gridCol w:w="997"/>
        <w:gridCol w:w="997"/>
        <w:gridCol w:w="997"/>
        <w:gridCol w:w="997"/>
        <w:gridCol w:w="997"/>
        <w:gridCol w:w="997"/>
        <w:gridCol w:w="997"/>
        <w:gridCol w:w="997"/>
        <w:gridCol w:w="997"/>
      </w:tblGrid>
      <w:tr>
        <w:trPr>
          <w:tblHeader w:val="true"/>
        </w:trPr>
        <w:tc>
          <w:tcPr>
            <w:tcW w:type="dxa" w:w="762"/>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Subset</w:t>
            </w:r>
          </w:p>
        </w:tc>
        <w:tc>
          <w:tcPr>
            <w:tcW w:type="dxa" w:w="101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 events</w:t>
            </w:r>
          </w:p>
        </w:tc>
        <w:tc>
          <w:tcPr>
            <w:tcW w:type="dxa" w:w="114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Mc (MAXC)</w:t>
            </w:r>
          </w:p>
        </w:tc>
        <w:tc>
          <w:tcPr>
            <w:tcW w:type="dxa" w:w="101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Mc (GFT)</w:t>
            </w:r>
          </w:p>
        </w:tc>
        <w:tc>
          <w:tcPr>
            <w:tcW w:type="dxa" w:w="114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GFT R (%)</w:t>
            </w:r>
          </w:p>
        </w:tc>
        <w:tc>
          <w:tcPr>
            <w:tcW w:type="dxa" w:w="76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 ≥ Mc</w:t>
            </w:r>
          </w:p>
        </w:tc>
        <w:tc>
          <w:tcPr>
            <w:tcW w:type="dxa" w:w="88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 (MLE)</w:t>
            </w:r>
          </w:p>
        </w:tc>
        <w:tc>
          <w:tcPr>
            <w:tcW w:type="dxa" w:w="127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 b (MLE)</w:t>
            </w:r>
          </w:p>
        </w:tc>
        <w:tc>
          <w:tcPr>
            <w:tcW w:type="dxa" w:w="88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a (MLE)</w:t>
            </w:r>
          </w:p>
        </w:tc>
        <w:tc>
          <w:tcPr>
            <w:tcW w:type="dxa" w:w="88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 (LSQ)</w:t>
            </w:r>
          </w:p>
        </w:tc>
        <w:tc>
          <w:tcPr>
            <w:tcW w:type="dxa" w:w="127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 b (LSQ)</w:t>
            </w:r>
          </w:p>
        </w:tc>
        <w:tc>
          <w:tcPr>
            <w:tcW w:type="dxa" w:w="88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a (LSQ)</w:t>
            </w:r>
          </w:p>
        </w:tc>
        <w:tc>
          <w:tcPr>
            <w:tcW w:type="dxa" w:w="101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R² (LSQ)</w:t>
            </w:r>
          </w:p>
        </w:tc>
      </w:tr>
      <w:tr>
        <w:tc>
          <w:tcPr>
            <w:tcW w:type="dxa" w:w="76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1980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1,898</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4.500</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91.128</w:t>
            </w:r>
          </w:p>
        </w:tc>
        <w:tc>
          <w:tcPr>
            <w:tcW w:type="dxa" w:w="76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689</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1.173</w:t>
            </w:r>
          </w:p>
        </w:tc>
        <w:tc>
          <w:tcPr>
            <w:tcW w:type="dxa" w:w="12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0.041</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8.118</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1.346</w:t>
            </w:r>
          </w:p>
        </w:tc>
        <w:tc>
          <w:tcPr>
            <w:tcW w:type="dxa" w:w="12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0.019</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8.975</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0.996</w:t>
            </w:r>
          </w:p>
        </w:tc>
      </w:tr>
      <w:tr>
        <w:tc>
          <w:tcPr>
            <w:tcW w:type="dxa" w:w="76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1990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2,698</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4.700</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89.135</w:t>
            </w:r>
          </w:p>
        </w:tc>
        <w:tc>
          <w:tcPr>
            <w:tcW w:type="dxa" w:w="76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887</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0.941</w:t>
            </w:r>
          </w:p>
        </w:tc>
        <w:tc>
          <w:tcPr>
            <w:tcW w:type="dxa" w:w="12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0.031</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7.371</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0.989</w:t>
            </w:r>
          </w:p>
        </w:tc>
        <w:tc>
          <w:tcPr>
            <w:tcW w:type="dxa" w:w="12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0.019</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7.633</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0.989</w:t>
            </w:r>
          </w:p>
        </w:tc>
      </w:tr>
      <w:tr>
        <w:tc>
          <w:tcPr>
            <w:tcW w:type="dxa" w:w="76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2000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2,265</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4.400</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88.234</w:t>
            </w:r>
          </w:p>
        </w:tc>
        <w:tc>
          <w:tcPr>
            <w:tcW w:type="dxa" w:w="76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1,162</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0.884</w:t>
            </w:r>
          </w:p>
        </w:tc>
        <w:tc>
          <w:tcPr>
            <w:tcW w:type="dxa" w:w="12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0.024</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6.955</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0.998</w:t>
            </w:r>
          </w:p>
        </w:tc>
        <w:tc>
          <w:tcPr>
            <w:tcW w:type="dxa" w:w="12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0.013</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7.520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0.995</w:t>
            </w:r>
          </w:p>
        </w:tc>
      </w:tr>
      <w:tr>
        <w:tc>
          <w:tcPr>
            <w:tcW w:type="dxa" w:w="76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2010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3,517</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4.700</w:t>
            </w:r>
          </w:p>
        </w:tc>
        <w:tc>
          <w:tcPr>
            <w:tcW w:type="dxa" w:w="11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91.938</w:t>
            </w:r>
          </w:p>
        </w:tc>
        <w:tc>
          <w:tcPr>
            <w:tcW w:type="dxa" w:w="76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1,106</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0.990</w:t>
            </w:r>
          </w:p>
        </w:tc>
        <w:tc>
          <w:tcPr>
            <w:tcW w:type="dxa" w:w="12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0.030</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7.696</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1.045</w:t>
            </w:r>
          </w:p>
        </w:tc>
        <w:tc>
          <w:tcPr>
            <w:tcW w:type="dxa" w:w="12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0.026</w:t>
            </w:r>
          </w:p>
        </w:tc>
        <w:tc>
          <w:tcPr>
            <w:tcW w:type="dxa" w:w="8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8.009</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0.983</w:t>
            </w:r>
          </w:p>
        </w:tc>
      </w:tr>
      <w:tr>
        <w:tc>
          <w:tcPr>
            <w:tcW w:type="dxa" w:w="76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2020</w:t>
            </w:r>
          </w:p>
        </w:tc>
        <w:tc>
          <w:tcPr>
            <w:tcW w:type="dxa" w:w="101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4,016</w:t>
            </w:r>
          </w:p>
        </w:tc>
        <w:tc>
          <w:tcPr>
            <w:tcW w:type="dxa" w:w="114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101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4.000</w:t>
            </w:r>
          </w:p>
        </w:tc>
        <w:tc>
          <w:tcPr>
            <w:tcW w:type="dxa" w:w="114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91.846</w:t>
            </w:r>
          </w:p>
        </w:tc>
        <w:tc>
          <w:tcPr>
            <w:tcW w:type="dxa" w:w="76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4,016</w:t>
            </w:r>
          </w:p>
        </w:tc>
        <w:tc>
          <w:tcPr>
            <w:tcW w:type="dxa" w:w="88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0.851</w:t>
            </w:r>
          </w:p>
        </w:tc>
        <w:tc>
          <w:tcPr>
            <w:tcW w:type="dxa" w:w="127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0.013</w:t>
            </w:r>
          </w:p>
        </w:tc>
        <w:tc>
          <w:tcPr>
            <w:tcW w:type="dxa" w:w="88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7.007</w:t>
            </w:r>
          </w:p>
        </w:tc>
        <w:tc>
          <w:tcPr>
            <w:tcW w:type="dxa" w:w="88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0.960</w:t>
            </w:r>
          </w:p>
        </w:tc>
        <w:tc>
          <w:tcPr>
            <w:tcW w:type="dxa" w:w="127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0.014</w:t>
            </w:r>
          </w:p>
        </w:tc>
        <w:tc>
          <w:tcPr>
            <w:tcW w:type="dxa" w:w="88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7.530</w:t>
            </w:r>
          </w:p>
        </w:tc>
        <w:tc>
          <w:tcPr>
            <w:tcW w:type="dxa" w:w="101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0.992</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Restricted to 1980 onward, where the catalogue is dense enough for stable per-decade estimates. Drift in Mc across decades is a completeness effect; drift in b is the physically interesting quantity.</w:t>
      </w:r>
    </w:p>
    <w:p>
      <w:r>
        <w:br w:type="page"/>
      </w:r>
    </w:p>
    <w:p>
      <w:pPr>
        <w:spacing w:after="0"/>
      </w:pPr>
      <w:r>
        <w:rPr>
          <w:rFonts w:ascii="Times New Roman" w:hAnsi="Times New Roman" w:eastAsia="Times New Roman"/>
          <w:b/>
          <w:i w:val="0"/>
          <w:color w:val="000000"/>
          <w:sz w:val="24"/>
        </w:rPr>
        <w:t>Table 24</w:t>
      </w:r>
    </w:p>
    <w:p>
      <w:pPr>
        <w:spacing w:after="160"/>
      </w:pPr>
      <w:r>
        <w:rPr>
          <w:rFonts w:ascii="Times New Roman" w:hAnsi="Times New Roman" w:eastAsia="Times New Roman"/>
          <w:b w:val="0"/>
          <w:i/>
          <w:color w:val="000000"/>
          <w:sz w:val="24"/>
        </w:rPr>
        <w:t>Gutenberg–Richter Parameters by Hypocentral Depth Class</w:t>
      </w:r>
    </w:p>
    <w:tbl>
      <w:tblPr>
        <w:tblW w:type="auto" w:w="0"/>
        <w:jc w:val="center"/>
        <w:tblLayout w:type="fixed"/>
        <w:tblLook w:firstColumn="1" w:firstRow="1" w:lastColumn="0" w:lastRow="0" w:noHBand="0" w:noVBand="1" w:val="04A0"/>
        <w:tblLayout w:type="fixed"/>
      </w:tblPr>
      <w:tblGrid>
        <w:gridCol w:w="997"/>
        <w:gridCol w:w="997"/>
        <w:gridCol w:w="997"/>
        <w:gridCol w:w="997"/>
        <w:gridCol w:w="997"/>
        <w:gridCol w:w="997"/>
        <w:gridCol w:w="997"/>
        <w:gridCol w:w="997"/>
        <w:gridCol w:w="997"/>
        <w:gridCol w:w="997"/>
        <w:gridCol w:w="997"/>
        <w:gridCol w:w="997"/>
        <w:gridCol w:w="997"/>
      </w:tblGrid>
      <w:tr>
        <w:trPr>
          <w:tblHeader w:val="true"/>
        </w:trPr>
        <w:tc>
          <w:tcPr>
            <w:tcW w:type="dxa" w:w="2592"/>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Subset</w:t>
            </w:r>
          </w:p>
        </w:tc>
        <w:tc>
          <w:tcPr>
            <w:tcW w:type="dxa" w:w="86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 events</w:t>
            </w:r>
          </w:p>
        </w:tc>
        <w:tc>
          <w:tcPr>
            <w:tcW w:type="dxa" w:w="97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Mc (MAXC)</w:t>
            </w:r>
          </w:p>
        </w:tc>
        <w:tc>
          <w:tcPr>
            <w:tcW w:type="dxa" w:w="86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Mc (GFT)</w:t>
            </w:r>
          </w:p>
        </w:tc>
        <w:tc>
          <w:tcPr>
            <w:tcW w:type="dxa" w:w="97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GFT R (%)</w:t>
            </w:r>
          </w:p>
        </w:tc>
        <w:tc>
          <w:tcPr>
            <w:tcW w:type="dxa" w:w="64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 ≥ Mc</w:t>
            </w:r>
          </w:p>
        </w:tc>
        <w:tc>
          <w:tcPr>
            <w:tcW w:type="dxa" w:w="7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 (MLE)</w:t>
            </w:r>
          </w:p>
        </w:tc>
        <w:tc>
          <w:tcPr>
            <w:tcW w:type="dxa" w:w="108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 b (MLE)</w:t>
            </w:r>
          </w:p>
        </w:tc>
        <w:tc>
          <w:tcPr>
            <w:tcW w:type="dxa" w:w="7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a (MLE)</w:t>
            </w:r>
          </w:p>
        </w:tc>
        <w:tc>
          <w:tcPr>
            <w:tcW w:type="dxa" w:w="7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 (LSQ)</w:t>
            </w:r>
          </w:p>
        </w:tc>
        <w:tc>
          <w:tcPr>
            <w:tcW w:type="dxa" w:w="108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 b (LSQ)</w:t>
            </w:r>
          </w:p>
        </w:tc>
        <w:tc>
          <w:tcPr>
            <w:tcW w:type="dxa" w:w="7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a (LSQ)</w:t>
            </w:r>
          </w:p>
        </w:tc>
        <w:tc>
          <w:tcPr>
            <w:tcW w:type="dxa" w:w="86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R² (LSQ)</w:t>
            </w:r>
          </w:p>
        </w:tc>
      </w:tr>
      <w:tr>
        <w:tc>
          <w:tcPr>
            <w:tcW w:type="dxa" w:w="259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Shallow (&lt;70 km)</w:t>
            </w:r>
          </w:p>
        </w:tc>
        <w:tc>
          <w:tcPr>
            <w:tcW w:type="dxa" w:w="86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13,983</w:t>
            </w:r>
          </w:p>
        </w:tc>
        <w:tc>
          <w:tcPr>
            <w:tcW w:type="dxa" w:w="9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86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4.900</w:t>
            </w:r>
          </w:p>
        </w:tc>
        <w:tc>
          <w:tcPr>
            <w:tcW w:type="dxa" w:w="9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90.882</w:t>
            </w:r>
          </w:p>
        </w:tc>
        <w:tc>
          <w:tcPr>
            <w:tcW w:type="dxa" w:w="64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3,223</w:t>
            </w:r>
          </w:p>
        </w:tc>
        <w:tc>
          <w:tcPr>
            <w:tcW w:type="dxa" w:w="7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0.920</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0.017</w:t>
            </w:r>
          </w:p>
        </w:tc>
        <w:tc>
          <w:tcPr>
            <w:tcW w:type="dxa" w:w="7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8.016</w:t>
            </w:r>
          </w:p>
        </w:tc>
        <w:tc>
          <w:tcPr>
            <w:tcW w:type="dxa" w:w="7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0.914</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0.025</w:t>
            </w:r>
          </w:p>
        </w:tc>
        <w:tc>
          <w:tcPr>
            <w:tcW w:type="dxa" w:w="7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8.029</w:t>
            </w:r>
          </w:p>
        </w:tc>
        <w:tc>
          <w:tcPr>
            <w:tcW w:type="dxa" w:w="86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0.975</w:t>
            </w:r>
          </w:p>
        </w:tc>
      </w:tr>
      <w:tr>
        <w:tc>
          <w:tcPr>
            <w:tcW w:type="dxa" w:w="259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Intermediate (70-300 km)</w:t>
            </w:r>
          </w:p>
        </w:tc>
        <w:tc>
          <w:tcPr>
            <w:tcW w:type="dxa" w:w="86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3,267</w:t>
            </w:r>
          </w:p>
        </w:tc>
        <w:tc>
          <w:tcPr>
            <w:tcW w:type="dxa" w:w="9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86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4.900</w:t>
            </w:r>
          </w:p>
        </w:tc>
        <w:tc>
          <w:tcPr>
            <w:tcW w:type="dxa" w:w="9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87.222</w:t>
            </w:r>
          </w:p>
        </w:tc>
        <w:tc>
          <w:tcPr>
            <w:tcW w:type="dxa" w:w="64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1,049</w:t>
            </w:r>
          </w:p>
        </w:tc>
        <w:tc>
          <w:tcPr>
            <w:tcW w:type="dxa" w:w="7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0.969</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0.030</w:t>
            </w:r>
          </w:p>
        </w:tc>
        <w:tc>
          <w:tcPr>
            <w:tcW w:type="dxa" w:w="7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7.767</w:t>
            </w:r>
          </w:p>
        </w:tc>
        <w:tc>
          <w:tcPr>
            <w:tcW w:type="dxa" w:w="7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1.027</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0.025</w:t>
            </w:r>
          </w:p>
        </w:tc>
        <w:tc>
          <w:tcPr>
            <w:tcW w:type="dxa" w:w="75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8.125</w:t>
            </w:r>
          </w:p>
        </w:tc>
        <w:tc>
          <w:tcPr>
            <w:tcW w:type="dxa" w:w="86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0.984</w:t>
            </w:r>
          </w:p>
        </w:tc>
      </w:tr>
      <w:tr>
        <w:tc>
          <w:tcPr>
            <w:tcW w:type="dxa" w:w="259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Deep (&gt;300 km)</w:t>
            </w:r>
          </w:p>
        </w:tc>
        <w:tc>
          <w:tcPr>
            <w:tcW w:type="dxa" w:w="86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417</w:t>
            </w:r>
          </w:p>
        </w:tc>
        <w:tc>
          <w:tcPr>
            <w:tcW w:type="dxa" w:w="97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4.600</w:t>
            </w:r>
          </w:p>
        </w:tc>
        <w:tc>
          <w:tcPr>
            <w:tcW w:type="dxa" w:w="86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4.700</w:t>
            </w:r>
          </w:p>
        </w:tc>
        <w:tc>
          <w:tcPr>
            <w:tcW w:type="dxa" w:w="97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77.459</w:t>
            </w:r>
          </w:p>
        </w:tc>
        <w:tc>
          <w:tcPr>
            <w:tcW w:type="dxa" w:w="64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222</w:t>
            </w:r>
          </w:p>
        </w:tc>
        <w:tc>
          <w:tcPr>
            <w:tcW w:type="dxa" w:w="7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0.667</w:t>
            </w:r>
          </w:p>
        </w:tc>
        <w:tc>
          <w:tcPr>
            <w:tcW w:type="dxa" w:w="108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0.042</w:t>
            </w:r>
          </w:p>
        </w:tc>
        <w:tc>
          <w:tcPr>
            <w:tcW w:type="dxa" w:w="7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5.480</w:t>
            </w:r>
          </w:p>
        </w:tc>
        <w:tc>
          <w:tcPr>
            <w:tcW w:type="dxa" w:w="7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0.730</w:t>
            </w:r>
          </w:p>
        </w:tc>
        <w:tc>
          <w:tcPr>
            <w:tcW w:type="dxa" w:w="108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0.036</w:t>
            </w:r>
          </w:p>
        </w:tc>
        <w:tc>
          <w:tcPr>
            <w:tcW w:type="dxa" w:w="7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5.840</w:t>
            </w:r>
          </w:p>
        </w:tc>
        <w:tc>
          <w:tcPr>
            <w:tcW w:type="dxa" w:w="86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0.941</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Differences in b between depth regimes are interpreted as differences in the stress state of the seismogenic volume.</w:t>
      </w:r>
    </w:p>
    <w:p>
      <w:pPr>
        <w:spacing w:before="360" w:after="120"/>
        <w:jc w:val="center"/>
      </w:pPr>
      <w:r>
        <w:rPr>
          <w:rFonts w:ascii="Times New Roman" w:hAnsi="Times New Roman" w:eastAsia="Times New Roman"/>
          <w:b/>
          <w:i w:val="0"/>
          <w:color w:val="000000"/>
          <w:sz w:val="24"/>
        </w:rPr>
        <w:t>Section E. Declustering and Feature Engineering</w:t>
      </w:r>
    </w:p>
    <w:p>
      <w:pPr>
        <w:sectPr>
          <w:pgSz w:w="15840" w:h="12240" w:orient="landscape"/>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25</w:t>
      </w:r>
    </w:p>
    <w:p>
      <w:pPr>
        <w:spacing w:after="160"/>
      </w:pPr>
      <w:r>
        <w:rPr>
          <w:rFonts w:ascii="Times New Roman" w:hAnsi="Times New Roman" w:eastAsia="Times New Roman"/>
          <w:b w:val="0"/>
          <w:i/>
          <w:color w:val="000000"/>
          <w:sz w:val="24"/>
        </w:rPr>
        <w:t>Space–Time Windows Implied by Maeda's Method</w:t>
      </w:r>
    </w:p>
    <w:tbl>
      <w:tblPr>
        <w:tblW w:type="auto" w:w="0"/>
        <w:jc w:val="center"/>
        <w:tblLayout w:type="fixed"/>
        <w:tblLook w:firstColumn="1" w:firstRow="1" w:lastColumn="0" w:lastRow="0" w:noHBand="0" w:noVBand="1" w:val="04A0"/>
        <w:tblLayout w:type="fixed"/>
      </w:tblPr>
      <w:tblGrid>
        <w:gridCol w:w="2340"/>
        <w:gridCol w:w="2340"/>
        <w:gridCol w:w="2340"/>
        <w:gridCol w:w="2340"/>
      </w:tblGrid>
      <w:tr>
        <w:trPr>
          <w:tblHeader w:val="true"/>
        </w:trPr>
        <w:tc>
          <w:tcPr>
            <w:tcW w:type="dxa" w:w="241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Precursor magnitude (Mpre)</w:t>
            </w:r>
          </w:p>
        </w:tc>
        <w:tc>
          <w:tcPr>
            <w:tcW w:type="dxa" w:w="194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Spatial window L (km)</w:t>
            </w:r>
          </w:p>
        </w:tc>
        <w:tc>
          <w:tcPr>
            <w:tcW w:type="dxa" w:w="231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Temporal window ta (days)</w:t>
            </w:r>
          </w:p>
        </w:tc>
        <w:tc>
          <w:tcPr>
            <w:tcW w:type="dxa" w:w="268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Magnitude cut-off (Mpre − Md)</w:t>
            </w:r>
          </w:p>
        </w:tc>
      </w:tr>
      <w:tr>
        <w:tc>
          <w:tcPr>
            <w:tcW w:type="dxa" w:w="24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4.00</w:t>
            </w:r>
          </w:p>
        </w:tc>
        <w:tc>
          <w:tcPr>
            <w:tcW w:type="dxa" w:w="194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1.58</w:t>
            </w:r>
          </w:p>
        </w:tc>
        <w:tc>
          <w:tcPr>
            <w:tcW w:type="dxa" w:w="23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1.05</w:t>
            </w:r>
          </w:p>
        </w:tc>
        <w:tc>
          <w:tcPr>
            <w:tcW w:type="dxa" w:w="268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3.00</w:t>
            </w:r>
          </w:p>
        </w:tc>
      </w:tr>
      <w:tr>
        <w:tc>
          <w:tcPr>
            <w:tcW w:type="dxa" w:w="24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5.00</w:t>
            </w:r>
          </w:p>
        </w:tc>
        <w:tc>
          <w:tcPr>
            <w:tcW w:type="dxa" w:w="194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5.01</w:t>
            </w:r>
          </w:p>
        </w:tc>
        <w:tc>
          <w:tcPr>
            <w:tcW w:type="dxa" w:w="23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5.79</w:t>
            </w:r>
          </w:p>
        </w:tc>
        <w:tc>
          <w:tcPr>
            <w:tcW w:type="dxa" w:w="268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4.00</w:t>
            </w:r>
          </w:p>
        </w:tc>
      </w:tr>
      <w:tr>
        <w:tc>
          <w:tcPr>
            <w:tcW w:type="dxa" w:w="24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6.00</w:t>
            </w:r>
          </w:p>
        </w:tc>
        <w:tc>
          <w:tcPr>
            <w:tcW w:type="dxa" w:w="194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15.85</w:t>
            </w:r>
          </w:p>
        </w:tc>
        <w:tc>
          <w:tcPr>
            <w:tcW w:type="dxa" w:w="23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27.14</w:t>
            </w:r>
          </w:p>
        </w:tc>
        <w:tc>
          <w:tcPr>
            <w:tcW w:type="dxa" w:w="268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5.00</w:t>
            </w:r>
          </w:p>
        </w:tc>
      </w:tr>
      <w:tr>
        <w:tc>
          <w:tcPr>
            <w:tcW w:type="dxa" w:w="24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7.00</w:t>
            </w:r>
          </w:p>
        </w:tc>
        <w:tc>
          <w:tcPr>
            <w:tcW w:type="dxa" w:w="194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50.12</w:t>
            </w:r>
          </w:p>
        </w:tc>
        <w:tc>
          <w:tcPr>
            <w:tcW w:type="dxa" w:w="23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123.38</w:t>
            </w:r>
          </w:p>
        </w:tc>
        <w:tc>
          <w:tcPr>
            <w:tcW w:type="dxa" w:w="268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6.00</w:t>
            </w:r>
          </w:p>
        </w:tc>
      </w:tr>
      <w:tr>
        <w:tc>
          <w:tcPr>
            <w:tcW w:type="dxa" w:w="241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8.00</w:t>
            </w:r>
          </w:p>
        </w:tc>
        <w:tc>
          <w:tcPr>
            <w:tcW w:type="dxa" w:w="194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158.49</w:t>
            </w:r>
          </w:p>
        </w:tc>
        <w:tc>
          <w:tcPr>
            <w:tcW w:type="dxa" w:w="231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557.08</w:t>
            </w:r>
          </w:p>
        </w:tc>
        <w:tc>
          <w:tcPr>
            <w:tcW w:type="dxa" w:w="268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7.00</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Windows follow Equations 1 and 2 of Hirose et al. (2021). An event inside the window of an earlier event and at least 1.0 magnitude unit smaller (Equation 3) is classified as dependent.</w:t>
      </w:r>
    </w:p>
    <w:p>
      <w:r>
        <w:br w:type="page"/>
      </w:r>
    </w:p>
    <w:p>
      <w:pPr>
        <w:spacing w:after="0"/>
      </w:pPr>
      <w:r>
        <w:rPr>
          <w:rFonts w:ascii="Times New Roman" w:hAnsi="Times New Roman" w:eastAsia="Times New Roman"/>
          <w:b/>
          <w:i w:val="0"/>
          <w:color w:val="000000"/>
          <w:sz w:val="24"/>
        </w:rPr>
        <w:t>Table 26</w:t>
      </w:r>
    </w:p>
    <w:p>
      <w:pPr>
        <w:spacing w:after="160"/>
      </w:pPr>
      <w:r>
        <w:rPr>
          <w:rFonts w:ascii="Times New Roman" w:hAnsi="Times New Roman" w:eastAsia="Times New Roman"/>
          <w:b w:val="0"/>
          <w:i/>
          <w:color w:val="000000"/>
          <w:sz w:val="24"/>
        </w:rPr>
        <w:t>Outcome of Maeda's Declustering Procedure</w:t>
      </w:r>
    </w:p>
    <w:tbl>
      <w:tblPr>
        <w:tblW w:type="auto" w:w="0"/>
        <w:jc w:val="center"/>
        <w:tblLayout w:type="fixed"/>
        <w:tblLook w:firstColumn="1" w:firstRow="1" w:lastColumn="0" w:lastRow="0" w:noHBand="0" w:noVBand="1" w:val="04A0"/>
        <w:tblLayout w:type="fixed"/>
      </w:tblPr>
      <w:tblGrid>
        <w:gridCol w:w="3120"/>
        <w:gridCol w:w="3120"/>
        <w:gridCol w:w="3120"/>
      </w:tblGrid>
      <w:tr>
        <w:trPr>
          <w:tblHeader w:val="true"/>
        </w:trPr>
        <w:tc>
          <w:tcPr>
            <w:tcW w:type="dxa" w:w="636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Declustering stage</w:t>
            </w:r>
          </w:p>
        </w:tc>
        <w:tc>
          <w:tcPr>
            <w:tcW w:type="dxa" w:w="112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w:t>
            </w:r>
          </w:p>
        </w:tc>
        <w:tc>
          <w:tcPr>
            <w:tcW w:type="dxa" w:w="187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 of input</w:t>
            </w:r>
          </w:p>
        </w:tc>
      </w:tr>
      <w:tr>
        <w:tc>
          <w:tcPr>
            <w:tcW w:type="dxa" w:w="636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Events entering Maeda's method</w:t>
            </w:r>
          </w:p>
        </w:tc>
        <w:tc>
          <w:tcPr>
            <w:tcW w:type="dxa" w:w="112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100.0</w:t>
            </w:r>
          </w:p>
        </w:tc>
      </w:tr>
      <w:tr>
        <w:tc>
          <w:tcPr>
            <w:tcW w:type="dxa" w:w="636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Dependent events removed (Eq. 1–3)</w:t>
            </w:r>
          </w:p>
        </w:tc>
        <w:tc>
          <w:tcPr>
            <w:tcW w:type="dxa" w:w="112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2,207</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12.5</w:t>
            </w:r>
          </w:p>
        </w:tc>
      </w:tr>
      <w:tr>
        <w:tc>
          <w:tcPr>
            <w:tcW w:type="dxa" w:w="636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Independent events retained</w:t>
            </w:r>
          </w:p>
        </w:tc>
        <w:tc>
          <w:tcPr>
            <w:tcW w:type="dxa" w:w="112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15,460</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87.5</w:t>
            </w:r>
          </w:p>
        </w:tc>
      </w:tr>
      <w:tr>
        <w:tc>
          <w:tcPr>
            <w:tcW w:type="dxa" w:w="636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Retained events M ≥ 5.0</w:t>
            </w:r>
          </w:p>
        </w:tc>
        <w:tc>
          <w:tcPr>
            <w:tcW w:type="dxa" w:w="112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3,261</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18.5</w:t>
            </w:r>
          </w:p>
        </w:tc>
      </w:tr>
      <w:tr>
        <w:tc>
          <w:tcPr>
            <w:tcW w:type="dxa" w:w="636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Retained events M ≥ 6.0</w:t>
            </w:r>
          </w:p>
        </w:tc>
        <w:tc>
          <w:tcPr>
            <w:tcW w:type="dxa" w:w="112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431</w:t>
            </w:r>
          </w:p>
        </w:tc>
        <w:tc>
          <w:tcPr>
            <w:tcW w:type="dxa" w:w="187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w:t>
            </w:r>
          </w:p>
        </w:tc>
      </w:tr>
      <w:tr>
        <w:tc>
          <w:tcPr>
            <w:tcW w:type="dxa" w:w="636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Retained events M ≥ 7.0</w:t>
            </w:r>
          </w:p>
        </w:tc>
        <w:tc>
          <w:tcPr>
            <w:tcW w:type="dxa" w:w="112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86</w:t>
            </w:r>
          </w:p>
        </w:tc>
        <w:tc>
          <w:tcPr>
            <w:tcW w:type="dxa" w:w="187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0.5</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Percentages are of the events entering the procedure.</w:t>
      </w:r>
    </w:p>
    <w:p>
      <w:r>
        <w:br w:type="page"/>
      </w:r>
    </w:p>
    <w:p>
      <w:pPr>
        <w:spacing w:after="0"/>
      </w:pPr>
      <w:r>
        <w:rPr>
          <w:rFonts w:ascii="Times New Roman" w:hAnsi="Times New Roman" w:eastAsia="Times New Roman"/>
          <w:b/>
          <w:i w:val="0"/>
          <w:color w:val="000000"/>
          <w:sz w:val="24"/>
        </w:rPr>
        <w:t>Table 27</w:t>
      </w:r>
    </w:p>
    <w:p>
      <w:pPr>
        <w:spacing w:after="160"/>
      </w:pPr>
      <w:r>
        <w:rPr>
          <w:rFonts w:ascii="Times New Roman" w:hAnsi="Times New Roman" w:eastAsia="Times New Roman"/>
          <w:b w:val="0"/>
          <w:i/>
          <w:color w:val="000000"/>
          <w:sz w:val="24"/>
        </w:rPr>
        <w:t>Catalogue Descriptive Statistics Before and After Declustering</w:t>
      </w:r>
    </w:p>
    <w:tbl>
      <w:tblPr>
        <w:tblW w:type="auto" w:w="0"/>
        <w:jc w:val="center"/>
        <w:tblLayout w:type="fixed"/>
        <w:tblLook w:firstColumn="1" w:firstRow="1" w:lastColumn="0" w:lastRow="0" w:noHBand="0" w:noVBand="1" w:val="04A0"/>
        <w:tblLayout w:type="fixed"/>
      </w:tblPr>
      <w:tblGrid>
        <w:gridCol w:w="936"/>
        <w:gridCol w:w="936"/>
        <w:gridCol w:w="936"/>
        <w:gridCol w:w="936"/>
        <w:gridCol w:w="936"/>
        <w:gridCol w:w="936"/>
        <w:gridCol w:w="936"/>
        <w:gridCol w:w="936"/>
        <w:gridCol w:w="936"/>
        <w:gridCol w:w="936"/>
      </w:tblGrid>
      <w:tr>
        <w:trPr>
          <w:tblHeader w:val="true"/>
        </w:trPr>
        <w:tc>
          <w:tcPr>
            <w:tcW w:type="dxa" w:w="205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Catalogue</w:t>
            </w:r>
          </w:p>
        </w:tc>
        <w:tc>
          <w:tcPr>
            <w:tcW w:type="dxa" w:w="63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w:t>
            </w:r>
          </w:p>
        </w:tc>
        <w:tc>
          <w:tcPr>
            <w:tcW w:type="dxa" w:w="63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w:t>
            </w:r>
          </w:p>
        </w:tc>
        <w:tc>
          <w:tcPr>
            <w:tcW w:type="dxa" w:w="63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SD</w:t>
            </w:r>
          </w:p>
        </w:tc>
        <w:tc>
          <w:tcPr>
            <w:tcW w:type="dxa" w:w="63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Mdn</w:t>
            </w:r>
          </w:p>
        </w:tc>
        <w:tc>
          <w:tcPr>
            <w:tcW w:type="dxa" w:w="63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Min</w:t>
            </w:r>
          </w:p>
        </w:tc>
        <w:tc>
          <w:tcPr>
            <w:tcW w:type="dxa" w:w="63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Max</w:t>
            </w:r>
          </w:p>
        </w:tc>
        <w:tc>
          <w:tcPr>
            <w:tcW w:type="dxa" w:w="107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 (M ≥ 5.0)</w:t>
            </w:r>
          </w:p>
        </w:tc>
        <w:tc>
          <w:tcPr>
            <w:tcW w:type="dxa" w:w="107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 (M ≥ 6.0)</w:t>
            </w:r>
          </w:p>
        </w:tc>
        <w:tc>
          <w:tcPr>
            <w:tcW w:type="dxa" w:w="137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Mdn depth (km)</w:t>
            </w:r>
          </w:p>
        </w:tc>
      </w:tr>
      <w:tr>
        <w:tc>
          <w:tcPr>
            <w:tcW w:type="dxa" w:w="20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Full catalogue</w:t>
            </w:r>
          </w:p>
        </w:tc>
        <w:tc>
          <w:tcPr>
            <w:tcW w:type="dxa" w:w="63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17,667</w:t>
            </w:r>
          </w:p>
        </w:tc>
        <w:tc>
          <w:tcPr>
            <w:tcW w:type="dxa" w:w="63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4.569</w:t>
            </w:r>
          </w:p>
        </w:tc>
        <w:tc>
          <w:tcPr>
            <w:tcW w:type="dxa" w:w="63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0.548</w:t>
            </w:r>
          </w:p>
        </w:tc>
        <w:tc>
          <w:tcPr>
            <w:tcW w:type="dxa" w:w="63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4.400</w:t>
            </w:r>
          </w:p>
        </w:tc>
        <w:tc>
          <w:tcPr>
            <w:tcW w:type="dxa" w:w="63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4.000</w:t>
            </w:r>
          </w:p>
        </w:tc>
        <w:tc>
          <w:tcPr>
            <w:tcW w:type="dxa" w:w="63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8.300</w:t>
            </w:r>
          </w:p>
        </w:tc>
        <w:tc>
          <w:tcPr>
            <w:tcW w:type="dxa" w:w="10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3,607</w:t>
            </w:r>
          </w:p>
        </w:tc>
        <w:tc>
          <w:tcPr>
            <w:tcW w:type="dxa" w:w="107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445</w:t>
            </w:r>
          </w:p>
        </w:tc>
        <w:tc>
          <w:tcPr>
            <w:tcW w:type="dxa" w:w="13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33.000</w:t>
            </w:r>
          </w:p>
        </w:tc>
      </w:tr>
      <w:tr>
        <w:tc>
          <w:tcPr>
            <w:tcW w:type="dxa" w:w="205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Declustered catalogue</w:t>
            </w:r>
          </w:p>
        </w:tc>
        <w:tc>
          <w:tcPr>
            <w:tcW w:type="dxa" w:w="63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15,460</w:t>
            </w:r>
          </w:p>
        </w:tc>
        <w:tc>
          <w:tcPr>
            <w:tcW w:type="dxa" w:w="63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4.579</w:t>
            </w:r>
          </w:p>
        </w:tc>
        <w:tc>
          <w:tcPr>
            <w:tcW w:type="dxa" w:w="63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0.561</w:t>
            </w:r>
          </w:p>
        </w:tc>
        <w:tc>
          <w:tcPr>
            <w:tcW w:type="dxa" w:w="63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4.400</w:t>
            </w:r>
          </w:p>
        </w:tc>
        <w:tc>
          <w:tcPr>
            <w:tcW w:type="dxa" w:w="63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4.000</w:t>
            </w:r>
          </w:p>
        </w:tc>
        <w:tc>
          <w:tcPr>
            <w:tcW w:type="dxa" w:w="63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8.300</w:t>
            </w:r>
          </w:p>
        </w:tc>
        <w:tc>
          <w:tcPr>
            <w:tcW w:type="dxa" w:w="107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3,261</w:t>
            </w:r>
          </w:p>
        </w:tc>
        <w:tc>
          <w:tcPr>
            <w:tcW w:type="dxa" w:w="107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431</w:t>
            </w:r>
          </w:p>
        </w:tc>
        <w:tc>
          <w:tcPr>
            <w:tcW w:type="dxa" w:w="137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33.000</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Removing dependent events raises the mean magnitude because the removed population is, by construction, the small one.</w:t>
      </w:r>
    </w:p>
    <w:p>
      <w:r>
        <w:br w:type="page"/>
      </w:r>
    </w:p>
    <w:p>
      <w:pPr>
        <w:spacing w:after="0"/>
      </w:pPr>
      <w:r>
        <w:rPr>
          <w:rFonts w:ascii="Times New Roman" w:hAnsi="Times New Roman" w:eastAsia="Times New Roman"/>
          <w:b/>
          <w:i w:val="0"/>
          <w:color w:val="000000"/>
          <w:sz w:val="24"/>
        </w:rPr>
        <w:t>Table 28</w:t>
      </w:r>
    </w:p>
    <w:p>
      <w:pPr>
        <w:spacing w:after="160"/>
      </w:pPr>
      <w:r>
        <w:rPr>
          <w:rFonts w:ascii="Times New Roman" w:hAnsi="Times New Roman" w:eastAsia="Times New Roman"/>
          <w:b w:val="0"/>
          <w:i/>
          <w:color w:val="000000"/>
          <w:sz w:val="24"/>
        </w:rPr>
        <w:t>Gutenberg–Richter Parameters for the Declustered Catalogue</w:t>
      </w:r>
    </w:p>
    <w:tbl>
      <w:tblPr>
        <w:tblW w:type="auto" w:w="0"/>
        <w:jc w:val="center"/>
        <w:tblLayout w:type="fixed"/>
        <w:tblLook w:firstColumn="1" w:firstRow="1" w:lastColumn="0" w:lastRow="0" w:noHBand="0" w:noVBand="1" w:val="04A0"/>
        <w:tblLayout w:type="fixed"/>
      </w:tblPr>
      <w:tblGrid>
        <w:gridCol w:w="720"/>
        <w:gridCol w:w="720"/>
        <w:gridCol w:w="720"/>
        <w:gridCol w:w="720"/>
        <w:gridCol w:w="720"/>
        <w:gridCol w:w="720"/>
        <w:gridCol w:w="720"/>
        <w:gridCol w:w="720"/>
        <w:gridCol w:w="720"/>
        <w:gridCol w:w="720"/>
        <w:gridCol w:w="720"/>
        <w:gridCol w:w="720"/>
        <w:gridCol w:w="720"/>
      </w:tblGrid>
      <w:tr>
        <w:trPr>
          <w:tblHeader w:val="true"/>
        </w:trPr>
        <w:tc>
          <w:tcPr>
            <w:tcW w:type="dxa" w:w="1149"/>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Subset</w:t>
            </w:r>
          </w:p>
        </w:tc>
        <w:tc>
          <w:tcPr>
            <w:tcW w:type="dxa" w:w="6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 events</w:t>
            </w:r>
          </w:p>
        </w:tc>
        <w:tc>
          <w:tcPr>
            <w:tcW w:type="dxa" w:w="73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Mc (MAXC)</w:t>
            </w:r>
          </w:p>
        </w:tc>
        <w:tc>
          <w:tcPr>
            <w:tcW w:type="dxa" w:w="6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Mc (GFT)</w:t>
            </w:r>
          </w:p>
        </w:tc>
        <w:tc>
          <w:tcPr>
            <w:tcW w:type="dxa" w:w="73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GFT R (%)</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N ≥ Mc</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 (MLE)</w:t>
            </w:r>
          </w:p>
        </w:tc>
        <w:tc>
          <w:tcPr>
            <w:tcW w:type="dxa" w:w="82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 b (MLE)</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a (MLE)</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 (LSQ)</w:t>
            </w:r>
          </w:p>
        </w:tc>
        <w:tc>
          <w:tcPr>
            <w:tcW w:type="dxa" w:w="82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SE b (LSQ)</w:t>
            </w:r>
          </w:p>
        </w:tc>
        <w:tc>
          <w:tcPr>
            <w:tcW w:type="dxa" w:w="62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a (LSQ)</w:t>
            </w:r>
          </w:p>
        </w:tc>
        <w:tc>
          <w:tcPr>
            <w:tcW w:type="dxa" w:w="65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R² (LSQ)</w:t>
            </w:r>
          </w:p>
        </w:tc>
      </w:tr>
      <w:tr>
        <w:tc>
          <w:tcPr>
            <w:tcW w:type="dxa" w:w="1149"/>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Full catalogue</w:t>
            </w:r>
          </w:p>
        </w:tc>
        <w:tc>
          <w:tcPr>
            <w:tcW w:type="dxa" w:w="6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15,460</w:t>
            </w:r>
          </w:p>
        </w:tc>
        <w:tc>
          <w:tcPr>
            <w:tcW w:type="dxa" w:w="73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4.200</w:t>
            </w:r>
          </w:p>
        </w:tc>
        <w:tc>
          <w:tcPr>
            <w:tcW w:type="dxa" w:w="6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4.900</w:t>
            </w:r>
          </w:p>
        </w:tc>
        <w:tc>
          <w:tcPr>
            <w:tcW w:type="dxa" w:w="73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90.469</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3,994</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0.893</w:t>
            </w:r>
          </w:p>
        </w:tc>
        <w:tc>
          <w:tcPr>
            <w:tcW w:type="dxa" w:w="82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0.015</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7.978</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0.950</w:t>
            </w:r>
          </w:p>
        </w:tc>
        <w:tc>
          <w:tcPr>
            <w:tcW w:type="dxa" w:w="82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0.028</w:t>
            </w:r>
          </w:p>
        </w:tc>
        <w:tc>
          <w:tcPr>
            <w:tcW w:type="dxa" w:w="62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8.350</w:t>
            </w:r>
          </w:p>
        </w:tc>
        <w:tc>
          <w:tcPr>
            <w:tcW w:type="dxa" w:w="65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0.972</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Compare with Table 21. Declustering typically lowers b, since clustered sequences are magnitude-poor relative to background seismicity.</w:t>
      </w:r>
    </w:p>
    <w:p>
      <w:r>
        <w:br w:type="page"/>
      </w:r>
    </w:p>
    <w:p>
      <w:pPr>
        <w:spacing w:after="0"/>
      </w:pPr>
      <w:r>
        <w:rPr>
          <w:rFonts w:ascii="Times New Roman" w:hAnsi="Times New Roman" w:eastAsia="Times New Roman"/>
          <w:b/>
          <w:i w:val="0"/>
          <w:color w:val="000000"/>
          <w:sz w:val="24"/>
        </w:rPr>
        <w:t>Table 29</w:t>
      </w:r>
    </w:p>
    <w:p>
      <w:pPr>
        <w:spacing w:after="160"/>
      </w:pPr>
      <w:r>
        <w:rPr>
          <w:rFonts w:ascii="Times New Roman" w:hAnsi="Times New Roman" w:eastAsia="Times New Roman"/>
          <w:b w:val="0"/>
          <w:i/>
          <w:color w:val="000000"/>
          <w:sz w:val="24"/>
        </w:rPr>
        <w:t>The 27 Engineered Seismic Features</w:t>
      </w:r>
    </w:p>
    <w:tbl>
      <w:tblPr>
        <w:tblW w:type="auto" w:w="0"/>
        <w:jc w:val="center"/>
        <w:tblLayout w:type="fixed"/>
        <w:tblLook w:firstColumn="1" w:firstRow="1" w:lastColumn="0" w:lastRow="0" w:noHBand="0" w:noVBand="1" w:val="04A0"/>
        <w:tblLayout w:type="fixed"/>
      </w:tblPr>
      <w:tblGrid>
        <w:gridCol w:w="2340"/>
        <w:gridCol w:w="2340"/>
        <w:gridCol w:w="2340"/>
        <w:gridCol w:w="2340"/>
      </w:tblGrid>
      <w:tr>
        <w:trPr>
          <w:tblHeader w:val="true"/>
        </w:trPr>
        <w:tc>
          <w:tcPr>
            <w:tcW w:type="dxa" w:w="64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w:t>
            </w:r>
          </w:p>
        </w:tc>
        <w:tc>
          <w:tcPr>
            <w:tcW w:type="dxa" w:w="94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Feature</w:t>
            </w:r>
          </w:p>
        </w:tc>
        <w:tc>
          <w:tcPr>
            <w:tcW w:type="dxa" w:w="341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Category</w:t>
            </w:r>
          </w:p>
        </w:tc>
        <w:tc>
          <w:tcPr>
            <w:tcW w:type="dxa" w:w="4359"/>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Description</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NO</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Basic statistics</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Number of earthquakes in the observation window</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Mag_max</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Basic statistics</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Maximum magnitude in the observation window</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Mag_mean</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Basic statistics</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Mean magnitude in the observation window</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b_lsq</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Gutenberg–Richter law</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b-value by least-squares regression</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a_lsq</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Gutenberg–Richter law</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a-value by least-squares regression</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b_std_lsq</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Gutenberg–Richter law</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Standard deviation of b_lsq</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std_gr_lsq</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Gutenberg–Richter law</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Deviation from the Gutenberg–Richter law (LSQ)</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b_mlk</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Gutenberg–Richter law</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b-value by maximum likelihood (Aki–Utsu)</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a_mlk</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Gutenberg–Richter law</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a-value by maximum likelihood</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10</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b_std_mlk</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Gutenberg–Richter law</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Standard deviation of b_mlk</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std_gr_mlk</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Gutenberg–Richter law</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Deviation from the Gutenberg–Richter law (MLE)</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dM_lsq</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Energy and magnitude deficit</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Magnitude deficit from a_lsq and b_lsq</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dM_mlk</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Energy and magnitude deficit</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Magnitude deficit from a_mlk and b_mlk</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14</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Energy</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Energy and magnitude deficit</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Square root of the summed seismic energy release</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15</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x7_lsq</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Activity-rate change and probability</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Probability of occurrence derived from b_lsq</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16</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x7_mlk</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Activity-rate change and probability</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Probability of occurrence derived from b_mlk</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zvalue</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Activity-rate change and probability</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Seismic rate change (z statistic)</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18</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beta</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Activity-rate change and probability</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Seismic rate change (β statistic)</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19</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T_elaps6</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Time elapsed</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Days since the last M 6.0 earthquake</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20</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T_elaps65</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Time elapsed</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Days since the last M 6.5 earthquake</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21</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T_elaps7</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Time elapsed</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Days since the last M 7.0 earthquake</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22</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T_elaps75</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Time elapsed</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Days since the last M 7.5 earthquake</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23</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Dist_min</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Distance to nearest fault</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Closest approach to an active fault in the observation window</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24</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Dist_mean</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Distance to nearest fault</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Mean distance to the nearest active fault</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25</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Dist_std</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Distance to nearest fault</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Standard deviation of the fault distances</w:t>
            </w:r>
          </w:p>
        </w:tc>
      </w:tr>
      <w:tr>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26</w:t>
            </w:r>
          </w:p>
        </w:tc>
        <w:tc>
          <w:tcPr>
            <w:tcW w:type="dxa" w:w="94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Dist_wmean</w:t>
            </w:r>
          </w:p>
        </w:tc>
        <w:tc>
          <w:tcPr>
            <w:tcW w:type="dxa" w:w="341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Distance to nearest fault</w:t>
            </w:r>
          </w:p>
        </w:tc>
        <w:tc>
          <w:tcPr>
            <w:tcW w:type="dxa" w:w="4359"/>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Fault distance weighted by released energy</w:t>
            </w:r>
          </w:p>
        </w:tc>
      </w:tr>
      <w:tr>
        <w:tc>
          <w:tcPr>
            <w:tcW w:type="dxa" w:w="64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27</w:t>
            </w:r>
          </w:p>
        </w:tc>
        <w:tc>
          <w:tcPr>
            <w:tcW w:type="dxa" w:w="94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Dist_trend</w:t>
            </w:r>
          </w:p>
        </w:tc>
        <w:tc>
          <w:tcPr>
            <w:tcW w:type="dxa" w:w="341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Distance to nearest fault</w:t>
            </w:r>
          </w:p>
        </w:tc>
        <w:tc>
          <w:tcPr>
            <w:tcW w:type="dxa" w:w="4359"/>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Change in fault distance across the window, km per day</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The first 22 follow Wang et al. (2023) as tabulated in the study methodology. The last 5 summarise the distance to the nearest active fault, which Data Collection names as a selected parameter but which has no row in that table. Every feature is computed from the events inside the observation window: 14 days and 100 km preceding the mainshock. The mainshock's own distance to a fault is deliberately excluded, being a property of the event under forecast.</w:t>
      </w:r>
    </w:p>
    <w:p>
      <w:r>
        <w:br w:type="page"/>
      </w:r>
    </w:p>
    <w:p>
      <w:pPr>
        <w:spacing w:after="0"/>
      </w:pPr>
      <w:r>
        <w:rPr>
          <w:rFonts w:ascii="Times New Roman" w:hAnsi="Times New Roman" w:eastAsia="Times New Roman"/>
          <w:b/>
          <w:i w:val="0"/>
          <w:color w:val="000000"/>
          <w:sz w:val="24"/>
        </w:rPr>
        <w:t>Table 30</w:t>
      </w:r>
    </w:p>
    <w:p>
      <w:pPr>
        <w:spacing w:after="160"/>
      </w:pPr>
      <w:r>
        <w:rPr>
          <w:rFonts w:ascii="Times New Roman" w:hAnsi="Times New Roman" w:eastAsia="Times New Roman"/>
          <w:b w:val="0"/>
          <w:i/>
          <w:color w:val="000000"/>
          <w:sz w:val="24"/>
        </w:rPr>
        <w:t>Construction of the Forecast Sequence Data Set</w:t>
      </w:r>
    </w:p>
    <w:tbl>
      <w:tblPr>
        <w:tblW w:type="auto" w:w="0"/>
        <w:jc w:val="center"/>
        <w:tblLayout w:type="fixed"/>
        <w:tblLook w:firstColumn="1" w:firstRow="1" w:lastColumn="0" w:lastRow="0" w:noHBand="0" w:noVBand="1" w:val="04A0"/>
        <w:tblLayout w:type="fixed"/>
      </w:tblPr>
      <w:tblGrid>
        <w:gridCol w:w="4680"/>
        <w:gridCol w:w="4680"/>
      </w:tblGrid>
      <w:tr>
        <w:trPr>
          <w:tblHeader w:val="true"/>
        </w:trPr>
        <w:tc>
          <w:tcPr>
            <w:tcW w:type="dxa" w:w="468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Quantity</w:t>
            </w:r>
          </w:p>
        </w:tc>
        <w:tc>
          <w:tcPr>
            <w:tcW w:type="dxa" w:w="468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Value</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Candidate mainshocks (independent, M ≥ 5.0)</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3,261</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Rejected: window opens before the catalogue starts</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Rejected: fewer than 3 events in the observation window</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2,470</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Rejected: window holds an earthquake as large as the mainshock</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624</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Forecast sequences retained</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166</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Largest foreshock relative to the mainshock</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always smaller, by at least 0.1 and a median of 0.50</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Observation window</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14 days, 100 km radius</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Period covered</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Aug 1968 – Jan 2026</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Target magnitude, M (SD)</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5.586 (0.528)</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Target magnitude range</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5.0 – 7.3</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Median foreshocks per window</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w:t>
            </w:r>
          </w:p>
        </w:tc>
      </w:tr>
      <w:tr>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Sequences with an M ≥ 6.0 target</w:t>
            </w:r>
          </w:p>
        </w:tc>
        <w:tc>
          <w:tcPr>
            <w:tcW w:type="dxa" w:w="46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35</w:t>
            </w:r>
          </w:p>
        </w:tc>
      </w:tr>
      <w:tr>
        <w:tc>
          <w:tcPr>
            <w:tcW w:type="dxa" w:w="468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Sequences with an M ≥ 7.0 target</w:t>
            </w:r>
          </w:p>
        </w:tc>
        <w:tc>
          <w:tcPr>
            <w:tcW w:type="dxa" w:w="468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5</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A mainshock qualifies at M ≥ 5.0, requires at least 3 catalogued events inside its observation window, and must be the largest earthquake in that window, which is the definition of a mainshock. Observation windows are drawn from the full catalogue rather than the declustered one, because the small dependent events Maeda's method removes are precisely the precursory activity the features are meant to measure. The forecast is therefore conditional: given that a mainshock follows this sequence, how large is it. Whether one follows at all is the separate question Section F answers.</w:t>
      </w:r>
    </w:p>
    <w:p>
      <w:pPr>
        <w:sectPr>
          <w:pgSz w:w="12240" w:h="15840"/>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31</w:t>
      </w:r>
    </w:p>
    <w:p>
      <w:pPr>
        <w:spacing w:after="160"/>
      </w:pPr>
      <w:r>
        <w:rPr>
          <w:rFonts w:ascii="Times New Roman" w:hAnsi="Times New Roman" w:eastAsia="Times New Roman"/>
          <w:b w:val="0"/>
          <w:i/>
          <w:color w:val="000000"/>
          <w:sz w:val="24"/>
        </w:rPr>
        <w:t>Descriptive Statistics for the 27 Engineered Features</w:t>
      </w:r>
    </w:p>
    <w:tbl>
      <w:tblPr>
        <w:tblW w:type="auto" w:w="0"/>
        <w:jc w:val="center"/>
        <w:tblLayout w:type="fixed"/>
        <w:tblLook w:firstColumn="1" w:firstRow="1" w:lastColumn="0" w:lastRow="0" w:noHBand="0" w:noVBand="1" w:val="04A0"/>
        <w:tblLayout w:type="fixed"/>
      </w:tblPr>
      <w:tblGrid>
        <w:gridCol w:w="1440"/>
        <w:gridCol w:w="1440"/>
        <w:gridCol w:w="1440"/>
        <w:gridCol w:w="1440"/>
        <w:gridCol w:w="1440"/>
        <w:gridCol w:w="1440"/>
        <w:gridCol w:w="1440"/>
        <w:gridCol w:w="1440"/>
        <w:gridCol w:w="1440"/>
      </w:tblGrid>
      <w:tr>
        <w:trPr>
          <w:tblHeader w:val="true"/>
        </w:trPr>
        <w:tc>
          <w:tcPr>
            <w:tcW w:type="dxa" w:w="156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Feature</w:t>
            </w:r>
          </w:p>
        </w:tc>
        <w:tc>
          <w:tcPr>
            <w:tcW w:type="dxa" w:w="10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 valid</w:t>
            </w:r>
          </w:p>
        </w:tc>
        <w:tc>
          <w:tcPr>
            <w:tcW w:type="dxa" w:w="140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 missing</w:t>
            </w:r>
          </w:p>
        </w:tc>
        <w:tc>
          <w:tcPr>
            <w:tcW w:type="dxa" w:w="156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w:t>
            </w:r>
          </w:p>
        </w:tc>
        <w:tc>
          <w:tcPr>
            <w:tcW w:type="dxa" w:w="156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SD</w:t>
            </w:r>
          </w:p>
        </w:tc>
        <w:tc>
          <w:tcPr>
            <w:tcW w:type="dxa" w:w="156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Mdn</w:t>
            </w:r>
          </w:p>
        </w:tc>
        <w:tc>
          <w:tcPr>
            <w:tcW w:type="dxa" w:w="156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Min</w:t>
            </w:r>
          </w:p>
        </w:tc>
        <w:tc>
          <w:tcPr>
            <w:tcW w:type="dxa" w:w="156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Max</w:t>
            </w:r>
          </w:p>
        </w:tc>
        <w:tc>
          <w:tcPr>
            <w:tcW w:type="dxa" w:w="109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Skew</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NO</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6.313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6.408</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4.000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3.000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46.000</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3.585</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Mag_max</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4.964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0.455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4.900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4.100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7.000</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1.225</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Mag_mean</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4.524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0.264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4.480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4.033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5.533</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0.921</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b_lsq</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153</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0.992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0.667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0.834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3.010</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1.048</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a_lsq</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153</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4.839</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3.100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4.144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16.557</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1.097</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b_std_lsq</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153</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0.294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0.243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0.222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1.289</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1.420</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std_gr_lsq</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153</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0.085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0.034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0.085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0.162</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-0.177</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b_mlk</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154</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1.587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1.037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1.309</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0.314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8.686</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2.877</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a_mlk</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154</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7.450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4.527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6.100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1.796</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36.089</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2.471</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b_std_mlk</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154</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0.670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0.448</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0.562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0.000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2.125</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1.436</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std_gr_mlk</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154</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0.202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0.144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0.169</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0.044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1.140</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4.221</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dM_lsq</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150</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-7.161e+13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8.771e+14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0.007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-1.074e+16</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0.655</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-12.247</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dM_mlk</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154</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0.177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0.209</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0.151</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-0.503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1.180</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1.436</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Energy</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7.612e+10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2.046e+11</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3.554e+10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7.462e+09</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1.996e+12</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7.852</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x7_lsq</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153</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0.055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0.170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0.003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9.313e-10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1.000</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4.769</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x7_mlk</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154</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0.003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0.010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1.180e-04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8.757e-27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0.114</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9.381</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zvalue</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-0.578</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1.295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-0.632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-3.361</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3.386</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0.573</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beta</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5.196</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4.776</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4.010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-2.535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27.738</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1.739</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T_elaps6</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3,077.440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5,922.329</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710.044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0.017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43,535.173</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4.473</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T_elaps65</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7,684.085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10,939.937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3,368.034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0.017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43,535.173</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2.060</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T_elaps7</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14,743.407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14,316.445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10,054.630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0.017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43,535.173</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0.931</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T_elaps75</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27,140.786</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14,944.402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26,165.883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488.881</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43,535.173</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-0.210</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Dist_min</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32.854</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47.106</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16.250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0.563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266.209</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2.681</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Dist_mean</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50.532</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52.799</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36.598</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4.157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312.949</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2.601</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Dist_std</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15.577</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10.565</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13.438</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1.048</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60.397</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1.630</w:t>
            </w:r>
          </w:p>
        </w:tc>
      </w:tr>
      <w:tr>
        <w:tc>
          <w:tcPr>
            <w:tcW w:type="dxa" w:w="156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Dist_wmean</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49.698</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53.811</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33.763</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3.936</w:t>
            </w:r>
          </w:p>
        </w:tc>
        <w:tc>
          <w:tcPr>
            <w:tcW w:type="dxa" w:w="156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310.534</w:t>
            </w:r>
          </w:p>
        </w:tc>
        <w:tc>
          <w:tcPr>
            <w:tcW w:type="dxa" w:w="109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2.633</w:t>
            </w:r>
          </w:p>
        </w:tc>
      </w:tr>
      <w:tr>
        <w:tc>
          <w:tcPr>
            <w:tcW w:type="dxa" w:w="156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Dist_trend</w:t>
            </w:r>
          </w:p>
        </w:tc>
        <w:tc>
          <w:tcPr>
            <w:tcW w:type="dxa" w:w="10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166</w:t>
            </w:r>
          </w:p>
        </w:tc>
        <w:tc>
          <w:tcPr>
            <w:tcW w:type="dxa" w:w="140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156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12.522</w:t>
            </w:r>
          </w:p>
        </w:tc>
        <w:tc>
          <w:tcPr>
            <w:tcW w:type="dxa" w:w="156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95.687</w:t>
            </w:r>
          </w:p>
        </w:tc>
        <w:tc>
          <w:tcPr>
            <w:tcW w:type="dxa" w:w="156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0.294</w:t>
            </w:r>
          </w:p>
        </w:tc>
        <w:tc>
          <w:tcPr>
            <w:tcW w:type="dxa" w:w="156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-109.133</w:t>
            </w:r>
          </w:p>
        </w:tc>
        <w:tc>
          <w:tcPr>
            <w:tcW w:type="dxa" w:w="156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1,001.140</w:t>
            </w:r>
          </w:p>
        </w:tc>
        <w:tc>
          <w:tcPr>
            <w:tcW w:type="dxa" w:w="109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8.418</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Statistics describe the features as computed. Missing values arise where a window is too sparse to support a b-value fit; they are median-imputed from the training rows of each fold only. Before modelling, the energy, occurrence-probability and elapsed-time features are log-transformed and every feature is winsorised at the training 1st and 99th percentiles — both monotone, so the tree ensembles are unaffected and the linear, kernel and neural models are protected from the heavy tails these quantities carry by construction.</w:t>
      </w:r>
    </w:p>
    <w:p>
      <w:pPr>
        <w:sectPr>
          <w:pgSz w:w="15840" w:h="12240" w:orient="landscape"/>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32</w:t>
      </w:r>
    </w:p>
    <w:p>
      <w:pPr>
        <w:spacing w:after="160"/>
      </w:pPr>
      <w:r>
        <w:rPr>
          <w:rFonts w:ascii="Times New Roman" w:hAnsi="Times New Roman" w:eastAsia="Times New Roman"/>
          <w:b w:val="0"/>
          <w:i/>
          <w:color w:val="000000"/>
          <w:sz w:val="24"/>
        </w:rPr>
        <w:t>Correlations Between Each Engineered Feature and the Mainshock Magnitude</w:t>
      </w:r>
    </w:p>
    <w:tbl>
      <w:tblPr>
        <w:tblW w:type="auto" w:w="0"/>
        <w:jc w:val="center"/>
        <w:tblLayout w:type="fixed"/>
        <w:tblLook w:firstColumn="1" w:firstRow="1" w:lastColumn="0" w:lastRow="0" w:noHBand="0" w:noVBand="1" w:val="04A0"/>
        <w:tblLayout w:type="fixed"/>
      </w:tblPr>
      <w:tblGrid>
        <w:gridCol w:w="1337"/>
        <w:gridCol w:w="1337"/>
        <w:gridCol w:w="1337"/>
        <w:gridCol w:w="1337"/>
        <w:gridCol w:w="1337"/>
        <w:gridCol w:w="1337"/>
        <w:gridCol w:w="1337"/>
      </w:tblGrid>
      <w:tr>
        <w:trPr>
          <w:tblHeader w:val="true"/>
        </w:trPr>
        <w:tc>
          <w:tcPr>
            <w:tcW w:type="dxa" w:w="1642"/>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Feature</w:t>
            </w:r>
          </w:p>
        </w:tc>
        <w:tc>
          <w:tcPr>
            <w:tcW w:type="dxa" w:w="98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w:t>
            </w:r>
          </w:p>
        </w:tc>
        <w:tc>
          <w:tcPr>
            <w:tcW w:type="dxa" w:w="147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Pearson r</w:t>
            </w:r>
          </w:p>
        </w:tc>
        <w:tc>
          <w:tcPr>
            <w:tcW w:type="dxa" w:w="98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 (r)</w:t>
            </w:r>
          </w:p>
        </w:tc>
        <w:tc>
          <w:tcPr>
            <w:tcW w:type="dxa" w:w="164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Spearman ρ</w:t>
            </w:r>
          </w:p>
        </w:tc>
        <w:tc>
          <w:tcPr>
            <w:tcW w:type="dxa" w:w="98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 (ρ)</w:t>
            </w:r>
          </w:p>
        </w:tc>
        <w:tc>
          <w:tcPr>
            <w:tcW w:type="dxa" w:w="1642"/>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Strength</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Mag_max</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.458</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.414</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Medium</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Energy</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.440</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Medium</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dM_mlk</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154</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.345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.262</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Medium</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x7_mlk</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154</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.315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.232</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.004</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Medium</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Mag_mean</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.247</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.001</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.254</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&lt; .001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T_elaps75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.198</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.010</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.174</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.025</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.178</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.022</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.031</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.693</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b_lsq</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153</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-.141</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.082</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-.188</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.020</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b_std_mlk</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154</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-.138</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.087</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-.193</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.017</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b_std_lsq</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153</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.096</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-.187</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b_mlk</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154</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-.133</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.101</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-.232</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.004</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beta</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.123</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.114</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.046</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.554</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a_mlk</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154</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-.123</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.129</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-.195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.016</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a_lsq</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153</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-.122</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.133</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-.158</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Dist_std</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-.112</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.149</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-.110</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.158</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Small</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x7_lsq</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153</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.080</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.325</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.188</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.020</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std_gr_lsq</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153</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.072</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.374</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.056</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.490</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Dist_trend</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.071</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.361</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.027</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.726</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std_gr_mlk</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154</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.059</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.464</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.104</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.201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T_elaps65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.027</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.728</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-.097</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.212</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T_elaps6</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.018</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.816</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-.167</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.031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dM_lsq</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150</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.016</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.841</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.033</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Dist_wmean</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-.016</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.836</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-.076</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.334</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zvalue</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.015</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.845</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-.029</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.711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Dist_min</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.013</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.872</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.003</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.973</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T_elaps7</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.011</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.893</w:t>
            </w:r>
          </w:p>
        </w:tc>
        <w:tc>
          <w:tcPr>
            <w:tcW w:type="dxa" w:w="164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-.074</w:t>
            </w:r>
          </w:p>
        </w:tc>
        <w:tc>
          <w:tcPr>
            <w:tcW w:type="dxa" w:w="9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.341</w:t>
            </w:r>
          </w:p>
        </w:tc>
        <w:tc>
          <w:tcPr>
            <w:tcW w:type="dxa" w:w="1642"/>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r>
        <w:tc>
          <w:tcPr>
            <w:tcW w:type="dxa" w:w="164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Dist_mean</w:t>
            </w:r>
          </w:p>
        </w:tc>
        <w:tc>
          <w:tcPr>
            <w:tcW w:type="dxa" w:w="98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166</w:t>
            </w:r>
          </w:p>
        </w:tc>
        <w:tc>
          <w:tcPr>
            <w:tcW w:type="dxa" w:w="147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4.336e-04</w:t>
            </w:r>
          </w:p>
        </w:tc>
        <w:tc>
          <w:tcPr>
            <w:tcW w:type="dxa" w:w="98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.996</w:t>
            </w:r>
          </w:p>
        </w:tc>
        <w:tc>
          <w:tcPr>
            <w:tcW w:type="dxa" w:w="164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-.048</w:t>
            </w:r>
          </w:p>
        </w:tc>
        <w:tc>
          <w:tcPr>
            <w:tcW w:type="dxa" w:w="98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.537</w:t>
            </w:r>
          </w:p>
        </w:tc>
        <w:tc>
          <w:tcPr>
            <w:tcW w:type="dxa" w:w="1642"/>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Negligible</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Pearson r and Spearman ρ against the observed mainshock magnitude across all sequences. These are univariate associations and do not account for the interactions the ensemble models exploit.</w:t>
      </w:r>
    </w:p>
    <w:p>
      <w:r>
        <w:br w:type="page"/>
      </w:r>
    </w:p>
    <w:p>
      <w:pPr>
        <w:spacing w:after="0"/>
      </w:pPr>
      <w:r>
        <w:rPr>
          <w:rFonts w:ascii="Times New Roman" w:hAnsi="Times New Roman" w:eastAsia="Times New Roman"/>
          <w:b/>
          <w:i w:val="0"/>
          <w:color w:val="000000"/>
          <w:sz w:val="24"/>
        </w:rPr>
        <w:t>Table 33</w:t>
      </w:r>
    </w:p>
    <w:p>
      <w:pPr>
        <w:spacing w:after="160"/>
      </w:pPr>
      <w:r>
        <w:rPr>
          <w:rFonts w:ascii="Times New Roman" w:hAnsi="Times New Roman" w:eastAsia="Times New Roman"/>
          <w:b w:val="0"/>
          <w:i/>
          <w:color w:val="000000"/>
          <w:sz w:val="24"/>
        </w:rPr>
        <w:t>Why the Mainshock-Is-Largest Rule Is Needed</w:t>
      </w:r>
    </w:p>
    <w:tbl>
      <w:tblPr>
        <w:tblW w:type="auto" w:w="0"/>
        <w:jc w:val="center"/>
        <w:tblLayout w:type="fixed"/>
        <w:tblLook w:firstColumn="1" w:firstRow="1" w:lastColumn="0" w:lastRow="0" w:noHBand="0" w:noVBand="1" w:val="04A0"/>
        <w:tblLayout w:type="fixed"/>
      </w:tblPr>
      <w:tblGrid>
        <w:gridCol w:w="4680"/>
        <w:gridCol w:w="4680"/>
      </w:tblGrid>
      <w:tr>
        <w:trPr>
          <w:tblHeader w:val="true"/>
        </w:trPr>
        <w:tc>
          <w:tcPr>
            <w:tcW w:type="dxa" w:w="7176"/>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Quantity</w:t>
            </w:r>
          </w:p>
        </w:tc>
        <w:tc>
          <w:tcPr>
            <w:tcW w:type="dxa" w:w="218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Value</w:t>
            </w:r>
          </w:p>
        </w:tc>
      </w:tr>
      <w:tr>
        <w:tc>
          <w:tcPr>
            <w:tcW w:type="dxa" w:w="71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Sequences analysed</w:t>
            </w:r>
          </w:p>
        </w:tc>
        <w:tc>
          <w:tcPr>
            <w:tcW w:type="dxa" w:w="218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535</w:t>
            </w:r>
          </w:p>
        </w:tc>
      </w:tr>
      <w:tr>
        <w:tc>
          <w:tcPr>
            <w:tcW w:type="dxa" w:w="71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Mainshock smaller than the largest event in its window</w:t>
            </w:r>
          </w:p>
        </w:tc>
        <w:tc>
          <w:tcPr>
            <w:tcW w:type="dxa" w:w="218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336 (62.8%)</w:t>
            </w:r>
          </w:p>
        </w:tc>
      </w:tr>
      <w:tr>
        <w:tc>
          <w:tcPr>
            <w:tcW w:type="dxa" w:w="71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Mainshock equal to the largest event in its window</w:t>
            </w:r>
          </w:p>
        </w:tc>
        <w:tc>
          <w:tcPr>
            <w:tcW w:type="dxa" w:w="218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33 (6.2%)</w:t>
            </w:r>
          </w:p>
        </w:tc>
      </w:tr>
      <w:tr>
        <w:tc>
          <w:tcPr>
            <w:tcW w:type="dxa" w:w="71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Mainshock larger than the largest event in its window</w:t>
            </w:r>
          </w:p>
        </w:tc>
        <w:tc>
          <w:tcPr>
            <w:tcW w:type="dxa" w:w="218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166 (31.0%)</w:t>
            </w:r>
          </w:p>
        </w:tc>
      </w:tr>
      <w:tr>
        <w:tc>
          <w:tcPr>
            <w:tcW w:type="dxa" w:w="71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Median difference (mainshock − largest event)</w:t>
            </w:r>
          </w:p>
        </w:tc>
        <w:tc>
          <w:tcPr>
            <w:tcW w:type="dxa" w:w="218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-0.30</w:t>
            </w:r>
          </w:p>
        </w:tc>
      </w:tr>
      <w:tr>
        <w:tc>
          <w:tcPr>
            <w:tcW w:type="dxa" w:w="71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Central 90% of that difference</w:t>
            </w:r>
          </w:p>
        </w:tc>
        <w:tc>
          <w:tcPr>
            <w:tcW w:type="dxa" w:w="218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-1.30 to +1.20</w:t>
            </w:r>
          </w:p>
        </w:tc>
      </w:tr>
      <w:tr>
        <w:tc>
          <w:tcPr>
            <w:tcW w:type="dxa" w:w="71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Pearson r between the two magnitudes</w:t>
            </w:r>
          </w:p>
        </w:tc>
        <w:tc>
          <w:tcPr>
            <w:tcW w:type="dxa" w:w="218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0.173</w:t>
            </w:r>
          </w:p>
        </w:tc>
      </w:tr>
      <w:tr>
        <w:tc>
          <w:tcPr>
            <w:tcW w:type="dxa" w:w="717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Windows whose largest event already reached M 5.0</w:t>
            </w:r>
          </w:p>
        </w:tc>
        <w:tc>
          <w:tcPr>
            <w:tcW w:type="dxa" w:w="218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448 (83.7%)</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Counted before the rule is applied. A mainshock is by definition the largest earthquake of its sequence, but the observation radius of 100 km is far wider than Maeda's spatial window L, which is 5 km at M 5.0 and 16 km at M 6.0. Without the rule the window sweeps in larger earthquakes that declustering had already assigned to a different cluster, and the target ends up smaller than its own foreshocks. These rows are excluded from every result in this report.</w:t>
      </w:r>
    </w:p>
    <w:p>
      <w:pPr>
        <w:spacing w:before="360" w:after="120"/>
        <w:jc w:val="center"/>
      </w:pPr>
      <w:r>
        <w:rPr>
          <w:rFonts w:ascii="Times New Roman" w:hAnsi="Times New Roman" w:eastAsia="Times New Roman"/>
          <w:b/>
          <w:i w:val="0"/>
          <w:color w:val="000000"/>
          <w:sz w:val="24"/>
        </w:rPr>
        <w:t>Section F. Probability of Occurrence</w:t>
      </w:r>
    </w:p>
    <w:p>
      <w:pPr>
        <w:sectPr>
          <w:pgSz w:w="12240" w:h="15840"/>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34</w:t>
      </w:r>
    </w:p>
    <w:p>
      <w:pPr>
        <w:spacing w:after="160"/>
      </w:pPr>
      <w:r>
        <w:rPr>
          <w:rFonts w:ascii="Times New Roman" w:hAnsi="Times New Roman" w:eastAsia="Times New Roman"/>
          <w:b w:val="0"/>
          <w:i/>
          <w:color w:val="000000"/>
          <w:sz w:val="24"/>
        </w:rPr>
        <w:t>Construction of the Occurrence Data Set</w:t>
      </w:r>
    </w:p>
    <w:tbl>
      <w:tblPr>
        <w:tblW w:type="auto" w:w="0"/>
        <w:jc w:val="center"/>
        <w:tblLayout w:type="fixed"/>
        <w:tblLook w:firstColumn="1" w:firstRow="1" w:lastColumn="0" w:lastRow="0" w:noHBand="0" w:noVBand="1" w:val="04A0"/>
        <w:tblLayout w:type="fixed"/>
      </w:tblPr>
      <w:tblGrid>
        <w:gridCol w:w="1296"/>
        <w:gridCol w:w="1296"/>
        <w:gridCol w:w="1296"/>
        <w:gridCol w:w="1296"/>
        <w:gridCol w:w="1296"/>
        <w:gridCol w:w="1296"/>
        <w:gridCol w:w="1296"/>
        <w:gridCol w:w="1296"/>
        <w:gridCol w:w="1296"/>
        <w:gridCol w:w="1296"/>
      </w:tblGrid>
      <w:tr>
        <w:trPr>
          <w:tblHeader w:val="true"/>
        </w:trPr>
        <w:tc>
          <w:tcPr>
            <w:tcW w:type="dxa" w:w="92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Radius (km)</w:t>
            </w:r>
          </w:p>
        </w:tc>
        <w:tc>
          <w:tcPr>
            <w:tcW w:type="dxa" w:w="64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Anchors</w:t>
            </w:r>
          </w:p>
        </w:tc>
        <w:tc>
          <w:tcPr>
            <w:tcW w:type="dxa" w:w="92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Thinned out</w:t>
            </w:r>
          </w:p>
        </w:tc>
        <w:tc>
          <w:tcPr>
            <w:tcW w:type="dxa" w:w="1676"/>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Period</w:t>
            </w:r>
          </w:p>
        </w:tc>
        <w:tc>
          <w:tcPr>
            <w:tcW w:type="dxa" w:w="142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P(M ≥ 5) observed</w:t>
            </w:r>
          </w:p>
        </w:tc>
        <w:tc>
          <w:tcPr>
            <w:tcW w:type="dxa" w:w="150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 positive (M ≥ 5)</w:t>
            </w:r>
          </w:p>
        </w:tc>
        <w:tc>
          <w:tcPr>
            <w:tcW w:type="dxa" w:w="142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P(M ≥ 6) observed</w:t>
            </w:r>
          </w:p>
        </w:tc>
        <w:tc>
          <w:tcPr>
            <w:tcW w:type="dxa" w:w="150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 positive (M ≥ 6)</w:t>
            </w:r>
          </w:p>
        </w:tc>
        <w:tc>
          <w:tcPr>
            <w:tcW w:type="dxa" w:w="142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P(M ≥ 7) observed</w:t>
            </w:r>
          </w:p>
        </w:tc>
        <w:tc>
          <w:tcPr>
            <w:tcW w:type="dxa" w:w="150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 positive (M ≥ 7)</w:t>
            </w:r>
          </w:p>
        </w:tc>
      </w:tr>
      <w:tr>
        <w:tc>
          <w:tcPr>
            <w:tcW w:type="dxa" w:w="92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50.0</w:t>
            </w:r>
          </w:p>
        </w:tc>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1,702</w:t>
            </w:r>
          </w:p>
        </w:tc>
        <w:tc>
          <w:tcPr>
            <w:tcW w:type="dxa" w:w="92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1,481</w:t>
            </w:r>
          </w:p>
        </w:tc>
        <w:tc>
          <w:tcPr>
            <w:tcW w:type="dxa" w:w="16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Aug 1965 to May 2026</w:t>
            </w:r>
          </w:p>
        </w:tc>
        <w:tc>
          <w:tcPr>
            <w:tcW w:type="dxa" w:w="142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25.4</w:t>
            </w:r>
          </w:p>
        </w:tc>
        <w:tc>
          <w:tcPr>
            <w:tcW w:type="dxa" w:w="150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433</w:t>
            </w:r>
          </w:p>
        </w:tc>
        <w:tc>
          <w:tcPr>
            <w:tcW w:type="dxa" w:w="142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5.8</w:t>
            </w:r>
          </w:p>
        </w:tc>
        <w:tc>
          <w:tcPr>
            <w:tcW w:type="dxa" w:w="150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98</w:t>
            </w:r>
          </w:p>
        </w:tc>
        <w:tc>
          <w:tcPr>
            <w:tcW w:type="dxa" w:w="142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w:t>
            </w:r>
          </w:p>
        </w:tc>
        <w:tc>
          <w:tcPr>
            <w:tcW w:type="dxa" w:w="150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8</w:t>
            </w:r>
          </w:p>
        </w:tc>
      </w:tr>
      <w:tr>
        <w:tc>
          <w:tcPr>
            <w:tcW w:type="dxa" w:w="92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100.0</w:t>
            </w:r>
          </w:p>
        </w:tc>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2,239</w:t>
            </w:r>
          </w:p>
        </w:tc>
        <w:tc>
          <w:tcPr>
            <w:tcW w:type="dxa" w:w="92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2,098</w:t>
            </w:r>
          </w:p>
        </w:tc>
        <w:tc>
          <w:tcPr>
            <w:tcW w:type="dxa" w:w="167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Feb 1957 to May 2026</w:t>
            </w:r>
          </w:p>
        </w:tc>
        <w:tc>
          <w:tcPr>
            <w:tcW w:type="dxa" w:w="142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29.5</w:t>
            </w:r>
          </w:p>
        </w:tc>
        <w:tc>
          <w:tcPr>
            <w:tcW w:type="dxa" w:w="150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660</w:t>
            </w:r>
          </w:p>
        </w:tc>
        <w:tc>
          <w:tcPr>
            <w:tcW w:type="dxa" w:w="142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4.6</w:t>
            </w:r>
          </w:p>
        </w:tc>
        <w:tc>
          <w:tcPr>
            <w:tcW w:type="dxa" w:w="150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102</w:t>
            </w:r>
          </w:p>
        </w:tc>
        <w:tc>
          <w:tcPr>
            <w:tcW w:type="dxa" w:w="142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w:t>
            </w:r>
          </w:p>
        </w:tc>
        <w:tc>
          <w:tcPr>
            <w:tcW w:type="dxa" w:w="150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w:t>
            </w:r>
          </w:p>
        </w:tc>
      </w:tr>
      <w:tr>
        <w:tc>
          <w:tcPr>
            <w:tcW w:type="dxa" w:w="92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200.0</w:t>
            </w:r>
          </w:p>
        </w:tc>
        <w:tc>
          <w:tcPr>
            <w:tcW w:type="dxa" w:w="64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4,125</w:t>
            </w:r>
          </w:p>
        </w:tc>
        <w:tc>
          <w:tcPr>
            <w:tcW w:type="dxa" w:w="92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2,904</w:t>
            </w:r>
          </w:p>
        </w:tc>
        <w:tc>
          <w:tcPr>
            <w:tcW w:type="dxa" w:w="167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Feb 1957 to May 2026</w:t>
            </w:r>
          </w:p>
        </w:tc>
        <w:tc>
          <w:tcPr>
            <w:tcW w:type="dxa" w:w="142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35.9</w:t>
            </w:r>
          </w:p>
        </w:tc>
        <w:tc>
          <w:tcPr>
            <w:tcW w:type="dxa" w:w="150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1,479</w:t>
            </w:r>
          </w:p>
        </w:tc>
        <w:tc>
          <w:tcPr>
            <w:tcW w:type="dxa" w:w="142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5.3</w:t>
            </w:r>
          </w:p>
        </w:tc>
        <w:tc>
          <w:tcPr>
            <w:tcW w:type="dxa" w:w="150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220</w:t>
            </w:r>
          </w:p>
        </w:tc>
        <w:tc>
          <w:tcPr>
            <w:tcW w:type="dxa" w:w="142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0.4</w:t>
            </w:r>
          </w:p>
        </w:tc>
        <w:tc>
          <w:tcPr>
            <w:tcW w:type="dxa" w:w="150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18</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Each anchor is a moment and a place with at least 3 catalogued events in the preceding 14 days, labelled by whether an independent earthquake of the stated size followed within the next 14 days. This is the reverse of the magnitude model's window, which looks backward. Anchors within a day and half a radius of one already kept are dropped, because a single swarm would otherwise contribute dozens of near-identical rows.</w:t>
      </w:r>
    </w:p>
    <w:p>
      <w:r>
        <w:br w:type="page"/>
      </w:r>
    </w:p>
    <w:p>
      <w:pPr>
        <w:spacing w:after="0"/>
      </w:pPr>
      <w:r>
        <w:rPr>
          <w:rFonts w:ascii="Times New Roman" w:hAnsi="Times New Roman" w:eastAsia="Times New Roman"/>
          <w:b/>
          <w:i w:val="0"/>
          <w:color w:val="000000"/>
          <w:sz w:val="24"/>
        </w:rPr>
        <w:t>Table 35</w:t>
      </w:r>
    </w:p>
    <w:p>
      <w:pPr>
        <w:spacing w:after="160"/>
      </w:pPr>
      <w:r>
        <w:rPr>
          <w:rFonts w:ascii="Times New Roman" w:hAnsi="Times New Roman" w:eastAsia="Times New Roman"/>
          <w:b w:val="0"/>
          <w:i/>
          <w:color w:val="000000"/>
          <w:sz w:val="24"/>
        </w:rPr>
        <w:t>Does the Model Beat the Historical Rate? Rolling-Origin Scores</w:t>
      </w:r>
    </w:p>
    <w:tbl>
      <w:tblPr>
        <w:tblW w:type="auto" w:w="0"/>
        <w:jc w:val="center"/>
        <w:tblLayout w:type="fixed"/>
        <w:tblLook w:firstColumn="1" w:firstRow="1" w:lastColumn="0" w:lastRow="0" w:noHBand="0" w:noVBand="1" w:val="04A0"/>
        <w:tblLayout w:type="fixed"/>
      </w:tblPr>
      <w:tblGrid>
        <w:gridCol w:w="1178"/>
        <w:gridCol w:w="1178"/>
        <w:gridCol w:w="1178"/>
        <w:gridCol w:w="1178"/>
        <w:gridCol w:w="1178"/>
        <w:gridCol w:w="1178"/>
        <w:gridCol w:w="1178"/>
        <w:gridCol w:w="1178"/>
        <w:gridCol w:w="1178"/>
        <w:gridCol w:w="1178"/>
        <w:gridCol w:w="1178"/>
      </w:tblGrid>
      <w:tr>
        <w:trPr>
          <w:tblHeader w:val="true"/>
        </w:trPr>
        <w:tc>
          <w:tcPr>
            <w:tcW w:type="dxa" w:w="99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Radius (km)</w:t>
            </w:r>
          </w:p>
        </w:tc>
        <w:tc>
          <w:tcPr>
            <w:tcW w:type="dxa" w:w="81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Threshold</w:t>
            </w:r>
          </w:p>
        </w:tc>
        <w:tc>
          <w:tcPr>
            <w:tcW w:type="dxa" w:w="64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Anchors</w:t>
            </w:r>
          </w:p>
        </w:tc>
        <w:tc>
          <w:tcPr>
            <w:tcW w:type="dxa" w:w="81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Positives</w:t>
            </w:r>
          </w:p>
        </w:tc>
        <w:tc>
          <w:tcPr>
            <w:tcW w:type="dxa" w:w="172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Historical rate (%)</w:t>
            </w:r>
          </w:p>
        </w:tc>
        <w:tc>
          <w:tcPr>
            <w:tcW w:type="dxa" w:w="108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Folds scored</w:t>
            </w:r>
          </w:p>
        </w:tc>
        <w:tc>
          <w:tcPr>
            <w:tcW w:type="dxa" w:w="81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 ROC AUC</w:t>
            </w:r>
          </w:p>
        </w:tc>
        <w:tc>
          <w:tcPr>
            <w:tcW w:type="dxa" w:w="64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SD AUC</w:t>
            </w:r>
          </w:p>
        </w:tc>
        <w:tc>
          <w:tcPr>
            <w:tcW w:type="dxa" w:w="153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 Brier skill (%)</w:t>
            </w:r>
          </w:p>
        </w:tc>
        <w:tc>
          <w:tcPr>
            <w:tcW w:type="dxa" w:w="126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SD Brier skill</w:t>
            </w:r>
          </w:p>
        </w:tc>
        <w:tc>
          <w:tcPr>
            <w:tcW w:type="dxa" w:w="262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Verdict</w:t>
            </w:r>
          </w:p>
        </w:tc>
      </w:tr>
      <w:tr>
        <w:tc>
          <w:tcPr>
            <w:tcW w:type="dxa" w:w="99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50.000</w:t>
            </w:r>
          </w:p>
        </w:tc>
        <w:tc>
          <w:tcPr>
            <w:tcW w:type="dxa" w:w="81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5</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1,702</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433</w:t>
            </w:r>
          </w:p>
        </w:tc>
        <w:tc>
          <w:tcPr>
            <w:tcW w:type="dxa" w:w="172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25.441</w:t>
            </w:r>
          </w:p>
        </w:tc>
        <w:tc>
          <w:tcPr>
            <w:tcW w:type="dxa" w:w="108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0.639</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0.087</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5.981</w:t>
            </w:r>
          </w:p>
        </w:tc>
        <w:tc>
          <w:tcPr>
            <w:tcW w:type="dxa" w:w="12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11.062</w:t>
            </w:r>
          </w:p>
        </w:tc>
        <w:tc>
          <w:tcPr>
            <w:tcW w:type="dxa" w:w="26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Model beats the base rate</w:t>
            </w:r>
          </w:p>
        </w:tc>
      </w:tr>
      <w:tr>
        <w:tc>
          <w:tcPr>
            <w:tcW w:type="dxa" w:w="99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50.000</w:t>
            </w:r>
          </w:p>
        </w:tc>
        <w:tc>
          <w:tcPr>
            <w:tcW w:type="dxa" w:w="81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6</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1,702</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98</w:t>
            </w:r>
          </w:p>
        </w:tc>
        <w:tc>
          <w:tcPr>
            <w:tcW w:type="dxa" w:w="172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5.758</w:t>
            </w:r>
          </w:p>
        </w:tc>
        <w:tc>
          <w:tcPr>
            <w:tcW w:type="dxa" w:w="108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0.658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0.178</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-10.199</w:t>
            </w:r>
          </w:p>
        </w:tc>
        <w:tc>
          <w:tcPr>
            <w:tcW w:type="dxa" w:w="12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23.629</w:t>
            </w:r>
          </w:p>
        </w:tc>
        <w:tc>
          <w:tcPr>
            <w:tcW w:type="dxa" w:w="26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No skill beyond the base rate</w:t>
            </w:r>
          </w:p>
        </w:tc>
      </w:tr>
      <w:tr>
        <w:tc>
          <w:tcPr>
            <w:tcW w:type="dxa" w:w="99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50.000</w:t>
            </w:r>
          </w:p>
        </w:tc>
        <w:tc>
          <w:tcPr>
            <w:tcW w:type="dxa" w:w="81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7</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1,702</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8</w:t>
            </w:r>
          </w:p>
        </w:tc>
        <w:tc>
          <w:tcPr>
            <w:tcW w:type="dxa" w:w="172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0.470</w:t>
            </w:r>
          </w:p>
        </w:tc>
        <w:tc>
          <w:tcPr>
            <w:tcW w:type="dxa" w:w="108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12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26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Too few events to model</w:t>
            </w:r>
          </w:p>
        </w:tc>
      </w:tr>
      <w:tr>
        <w:tc>
          <w:tcPr>
            <w:tcW w:type="dxa" w:w="99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100.000</w:t>
            </w:r>
          </w:p>
        </w:tc>
        <w:tc>
          <w:tcPr>
            <w:tcW w:type="dxa" w:w="81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5</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2,239</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660</w:t>
            </w:r>
          </w:p>
        </w:tc>
        <w:tc>
          <w:tcPr>
            <w:tcW w:type="dxa" w:w="172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29.477</w:t>
            </w:r>
          </w:p>
        </w:tc>
        <w:tc>
          <w:tcPr>
            <w:tcW w:type="dxa" w:w="108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0.620</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0.045</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5.752</w:t>
            </w:r>
          </w:p>
        </w:tc>
        <w:tc>
          <w:tcPr>
            <w:tcW w:type="dxa" w:w="12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6.879</w:t>
            </w:r>
          </w:p>
        </w:tc>
        <w:tc>
          <w:tcPr>
            <w:tcW w:type="dxa" w:w="26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Model beats the base rate</w:t>
            </w:r>
          </w:p>
        </w:tc>
      </w:tr>
      <w:tr>
        <w:tc>
          <w:tcPr>
            <w:tcW w:type="dxa" w:w="99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100.000</w:t>
            </w:r>
          </w:p>
        </w:tc>
        <w:tc>
          <w:tcPr>
            <w:tcW w:type="dxa" w:w="81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6</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2,239</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102</w:t>
            </w:r>
          </w:p>
        </w:tc>
        <w:tc>
          <w:tcPr>
            <w:tcW w:type="dxa" w:w="172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4.556</w:t>
            </w:r>
          </w:p>
        </w:tc>
        <w:tc>
          <w:tcPr>
            <w:tcW w:type="dxa" w:w="108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0.558</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0.174</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-15.445</w:t>
            </w:r>
          </w:p>
        </w:tc>
        <w:tc>
          <w:tcPr>
            <w:tcW w:type="dxa" w:w="12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17.728</w:t>
            </w:r>
          </w:p>
        </w:tc>
        <w:tc>
          <w:tcPr>
            <w:tcW w:type="dxa" w:w="26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No skill beyond the base rate</w:t>
            </w:r>
          </w:p>
        </w:tc>
      </w:tr>
      <w:tr>
        <w:tc>
          <w:tcPr>
            <w:tcW w:type="dxa" w:w="99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100.000</w:t>
            </w:r>
          </w:p>
        </w:tc>
        <w:tc>
          <w:tcPr>
            <w:tcW w:type="dxa" w:w="81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7</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2,239</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w:t>
            </w:r>
          </w:p>
        </w:tc>
        <w:tc>
          <w:tcPr>
            <w:tcW w:type="dxa" w:w="172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0.447</w:t>
            </w:r>
          </w:p>
        </w:tc>
        <w:tc>
          <w:tcPr>
            <w:tcW w:type="dxa" w:w="108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12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26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Too few events to model</w:t>
            </w:r>
          </w:p>
        </w:tc>
      </w:tr>
      <w:tr>
        <w:tc>
          <w:tcPr>
            <w:tcW w:type="dxa" w:w="99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200.000</w:t>
            </w:r>
          </w:p>
        </w:tc>
        <w:tc>
          <w:tcPr>
            <w:tcW w:type="dxa" w:w="81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5</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4,125</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1,479</w:t>
            </w:r>
          </w:p>
        </w:tc>
        <w:tc>
          <w:tcPr>
            <w:tcW w:type="dxa" w:w="172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35.855</w:t>
            </w:r>
          </w:p>
        </w:tc>
        <w:tc>
          <w:tcPr>
            <w:tcW w:type="dxa" w:w="108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0.582</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0.044</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2.099</w:t>
            </w:r>
          </w:p>
        </w:tc>
        <w:tc>
          <w:tcPr>
            <w:tcW w:type="dxa" w:w="12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2.895</w:t>
            </w:r>
          </w:p>
        </w:tc>
        <w:tc>
          <w:tcPr>
            <w:tcW w:type="dxa" w:w="26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Model beats the base rate</w:t>
            </w:r>
          </w:p>
        </w:tc>
      </w:tr>
      <w:tr>
        <w:tc>
          <w:tcPr>
            <w:tcW w:type="dxa" w:w="99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200.000</w:t>
            </w:r>
          </w:p>
        </w:tc>
        <w:tc>
          <w:tcPr>
            <w:tcW w:type="dxa" w:w="81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6</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4,125</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220</w:t>
            </w:r>
          </w:p>
        </w:tc>
        <w:tc>
          <w:tcPr>
            <w:tcW w:type="dxa" w:w="172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5.333</w:t>
            </w:r>
          </w:p>
        </w:tc>
        <w:tc>
          <w:tcPr>
            <w:tcW w:type="dxa" w:w="108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w:t>
            </w:r>
          </w:p>
        </w:tc>
        <w:tc>
          <w:tcPr>
            <w:tcW w:type="dxa" w:w="81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0.556</w:t>
            </w:r>
          </w:p>
        </w:tc>
        <w:tc>
          <w:tcPr>
            <w:tcW w:type="dxa" w:w="64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0.026</w:t>
            </w:r>
          </w:p>
        </w:tc>
        <w:tc>
          <w:tcPr>
            <w:tcW w:type="dxa" w:w="153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-0.577</w:t>
            </w:r>
          </w:p>
        </w:tc>
        <w:tc>
          <w:tcPr>
            <w:tcW w:type="dxa" w:w="126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0.418</w:t>
            </w:r>
          </w:p>
        </w:tc>
        <w:tc>
          <w:tcPr>
            <w:tcW w:type="dxa" w:w="26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No skill beyond the base rate</w:t>
            </w:r>
          </w:p>
        </w:tc>
      </w:tr>
      <w:tr>
        <w:tc>
          <w:tcPr>
            <w:tcW w:type="dxa" w:w="99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200.000</w:t>
            </w:r>
          </w:p>
        </w:tc>
        <w:tc>
          <w:tcPr>
            <w:tcW w:type="dxa" w:w="81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M ≥ 7</w:t>
            </w:r>
          </w:p>
        </w:tc>
        <w:tc>
          <w:tcPr>
            <w:tcW w:type="dxa" w:w="64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4,125</w:t>
            </w:r>
          </w:p>
        </w:tc>
        <w:tc>
          <w:tcPr>
            <w:tcW w:type="dxa" w:w="81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18</w:t>
            </w:r>
          </w:p>
        </w:tc>
        <w:tc>
          <w:tcPr>
            <w:tcW w:type="dxa" w:w="172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0.436</w:t>
            </w:r>
          </w:p>
        </w:tc>
        <w:tc>
          <w:tcPr>
            <w:tcW w:type="dxa" w:w="108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w:t>
            </w:r>
          </w:p>
        </w:tc>
        <w:tc>
          <w:tcPr>
            <w:tcW w:type="dxa" w:w="81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64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153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126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w:t>
            </w:r>
          </w:p>
        </w:tc>
        <w:tc>
          <w:tcPr>
            <w:tcW w:type="dxa" w:w="262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Too few events to model</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Scored across expanding-window folds rather than one split: with four to thirty positives in a test block, a single split returns an AUC anywhere between .13 and .80 for the same cell. A cell counts as modelled only if the calibrated probability beats quoting the base rate, meaning a positive mean Brier skill score and a mean AUC above .55. The historical rate column is a real conditional frequency and remains a defensible answer wherever the model does not clear that bar.</w:t>
      </w:r>
    </w:p>
    <w:p>
      <w:r>
        <w:br w:type="page"/>
      </w:r>
    </w:p>
    <w:p>
      <w:pPr>
        <w:spacing w:after="0"/>
      </w:pPr>
      <w:r>
        <w:rPr>
          <w:rFonts w:ascii="Times New Roman" w:hAnsi="Times New Roman" w:eastAsia="Times New Roman"/>
          <w:b/>
          <w:i w:val="0"/>
          <w:color w:val="000000"/>
          <w:sz w:val="24"/>
        </w:rPr>
        <w:t>Table 36</w:t>
      </w:r>
    </w:p>
    <w:p>
      <w:pPr>
        <w:spacing w:after="160"/>
      </w:pPr>
      <w:r>
        <w:rPr>
          <w:rFonts w:ascii="Times New Roman" w:hAnsi="Times New Roman" w:eastAsia="Times New Roman"/>
          <w:b w:val="0"/>
          <w:i/>
          <w:color w:val="000000"/>
          <w:sz w:val="24"/>
        </w:rPr>
        <w:t>Probability of Occurrence With 95% Confidence Intervals</w:t>
      </w:r>
    </w:p>
    <w:tbl>
      <w:tblPr>
        <w:tblW w:type="auto" w:w="0"/>
        <w:jc w:val="center"/>
        <w:tblLayout w:type="fixed"/>
        <w:tblLook w:firstColumn="1" w:firstRow="1" w:lastColumn="0" w:lastRow="0" w:noHBand="0" w:noVBand="1" w:val="04A0"/>
        <w:tblLayout w:type="fixed"/>
      </w:tblPr>
      <w:tblGrid>
        <w:gridCol w:w="1440"/>
        <w:gridCol w:w="1440"/>
        <w:gridCol w:w="1440"/>
        <w:gridCol w:w="1440"/>
        <w:gridCol w:w="1440"/>
        <w:gridCol w:w="1440"/>
        <w:gridCol w:w="1440"/>
        <w:gridCol w:w="1440"/>
        <w:gridCol w:w="1440"/>
      </w:tblGrid>
      <w:tr>
        <w:trPr>
          <w:tblHeader w:val="true"/>
        </w:trPr>
        <w:tc>
          <w:tcPr>
            <w:tcW w:type="dxa" w:w="128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Radius (km)</w:t>
            </w:r>
          </w:p>
        </w:tc>
        <w:tc>
          <w:tcPr>
            <w:tcW w:type="dxa" w:w="105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Threshold</w:t>
            </w:r>
          </w:p>
        </w:tc>
        <w:tc>
          <w:tcPr>
            <w:tcW w:type="dxa" w:w="105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 anchors</w:t>
            </w:r>
          </w:p>
        </w:tc>
        <w:tc>
          <w:tcPr>
            <w:tcW w:type="dxa" w:w="116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 occurred</w:t>
            </w:r>
          </w:p>
        </w:tc>
        <w:tc>
          <w:tcPr>
            <w:tcW w:type="dxa" w:w="93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Rate (%)</w:t>
            </w:r>
          </w:p>
        </w:tc>
        <w:tc>
          <w:tcPr>
            <w:tcW w:type="dxa" w:w="151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Wilson 95% CI</w:t>
            </w:r>
          </w:p>
        </w:tc>
        <w:tc>
          <w:tcPr>
            <w:tcW w:type="dxa" w:w="233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Margin of error (pp)</w:t>
            </w:r>
          </w:p>
        </w:tc>
        <w:tc>
          <w:tcPr>
            <w:tcW w:type="dxa" w:w="198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Year-block 95% CI</w:t>
            </w:r>
          </w:p>
        </w:tc>
        <w:tc>
          <w:tcPr>
            <w:tcW w:type="dxa" w:w="163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Block MoE (pp)</w:t>
            </w:r>
          </w:p>
        </w:tc>
      </w:tr>
      <w:tr>
        <w:tc>
          <w:tcPr>
            <w:tcW w:type="dxa" w:w="128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50.00</w:t>
            </w:r>
          </w:p>
        </w:tc>
        <w:tc>
          <w:tcPr>
            <w:tcW w:type="dxa" w:w="1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5</w:t>
            </w:r>
          </w:p>
        </w:tc>
        <w:tc>
          <w:tcPr>
            <w:tcW w:type="dxa" w:w="10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1,702</w:t>
            </w:r>
          </w:p>
        </w:tc>
        <w:tc>
          <w:tcPr>
            <w:tcW w:type="dxa" w:w="116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433</w:t>
            </w:r>
          </w:p>
        </w:tc>
        <w:tc>
          <w:tcPr>
            <w:tcW w:type="dxa" w:w="9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25.44</w:t>
            </w:r>
          </w:p>
        </w:tc>
        <w:tc>
          <w:tcPr>
            <w:tcW w:type="dxa" w:w="15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23.4 to 27.6</w:t>
            </w:r>
          </w:p>
        </w:tc>
        <w:tc>
          <w:tcPr>
            <w:tcW w:type="dxa" w:w="23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2.07</w:t>
            </w:r>
          </w:p>
        </w:tc>
        <w:tc>
          <w:tcPr>
            <w:tcW w:type="dxa" w:w="198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19.8 to 31.1</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5.63</w:t>
            </w:r>
          </w:p>
        </w:tc>
      </w:tr>
      <w:tr>
        <w:tc>
          <w:tcPr>
            <w:tcW w:type="dxa" w:w="128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50.00</w:t>
            </w:r>
          </w:p>
        </w:tc>
        <w:tc>
          <w:tcPr>
            <w:tcW w:type="dxa" w:w="1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6</w:t>
            </w:r>
          </w:p>
        </w:tc>
        <w:tc>
          <w:tcPr>
            <w:tcW w:type="dxa" w:w="10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1,702</w:t>
            </w:r>
          </w:p>
        </w:tc>
        <w:tc>
          <w:tcPr>
            <w:tcW w:type="dxa" w:w="116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98</w:t>
            </w:r>
          </w:p>
        </w:tc>
        <w:tc>
          <w:tcPr>
            <w:tcW w:type="dxa" w:w="9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5.76</w:t>
            </w:r>
          </w:p>
        </w:tc>
        <w:tc>
          <w:tcPr>
            <w:tcW w:type="dxa" w:w="15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4.7 to 7.0</w:t>
            </w:r>
          </w:p>
        </w:tc>
        <w:tc>
          <w:tcPr>
            <w:tcW w:type="dxa" w:w="23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1.11</w:t>
            </w:r>
          </w:p>
        </w:tc>
        <w:tc>
          <w:tcPr>
            <w:tcW w:type="dxa" w:w="198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2.6 to 9.2</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3.33</w:t>
            </w:r>
          </w:p>
        </w:tc>
      </w:tr>
      <w:tr>
        <w:tc>
          <w:tcPr>
            <w:tcW w:type="dxa" w:w="128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50.00</w:t>
            </w:r>
          </w:p>
        </w:tc>
        <w:tc>
          <w:tcPr>
            <w:tcW w:type="dxa" w:w="1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7</w:t>
            </w:r>
          </w:p>
        </w:tc>
        <w:tc>
          <w:tcPr>
            <w:tcW w:type="dxa" w:w="10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1,702</w:t>
            </w:r>
          </w:p>
        </w:tc>
        <w:tc>
          <w:tcPr>
            <w:tcW w:type="dxa" w:w="116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8</w:t>
            </w:r>
          </w:p>
        </w:tc>
        <w:tc>
          <w:tcPr>
            <w:tcW w:type="dxa" w:w="9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0.47</w:t>
            </w:r>
          </w:p>
        </w:tc>
        <w:tc>
          <w:tcPr>
            <w:tcW w:type="dxa" w:w="15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0.2 to 0.9</w:t>
            </w:r>
          </w:p>
        </w:tc>
        <w:tc>
          <w:tcPr>
            <w:tcW w:type="dxa" w:w="23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0.34</w:t>
            </w:r>
          </w:p>
        </w:tc>
        <w:tc>
          <w:tcPr>
            <w:tcW w:type="dxa" w:w="198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0.1 to 1.0</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0.48</w:t>
            </w:r>
          </w:p>
        </w:tc>
      </w:tr>
      <w:tr>
        <w:tc>
          <w:tcPr>
            <w:tcW w:type="dxa" w:w="128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100.00</w:t>
            </w:r>
          </w:p>
        </w:tc>
        <w:tc>
          <w:tcPr>
            <w:tcW w:type="dxa" w:w="1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5</w:t>
            </w:r>
          </w:p>
        </w:tc>
        <w:tc>
          <w:tcPr>
            <w:tcW w:type="dxa" w:w="10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2,239</w:t>
            </w:r>
          </w:p>
        </w:tc>
        <w:tc>
          <w:tcPr>
            <w:tcW w:type="dxa" w:w="116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660</w:t>
            </w:r>
          </w:p>
        </w:tc>
        <w:tc>
          <w:tcPr>
            <w:tcW w:type="dxa" w:w="9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29.48</w:t>
            </w:r>
          </w:p>
        </w:tc>
        <w:tc>
          <w:tcPr>
            <w:tcW w:type="dxa" w:w="15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27.6 to 31.4</w:t>
            </w:r>
          </w:p>
        </w:tc>
        <w:tc>
          <w:tcPr>
            <w:tcW w:type="dxa" w:w="23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1.89</w:t>
            </w:r>
          </w:p>
        </w:tc>
        <w:tc>
          <w:tcPr>
            <w:tcW w:type="dxa" w:w="198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24.1 to 34.7</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5.30</w:t>
            </w:r>
          </w:p>
        </w:tc>
      </w:tr>
      <w:tr>
        <w:tc>
          <w:tcPr>
            <w:tcW w:type="dxa" w:w="128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100.00</w:t>
            </w:r>
          </w:p>
        </w:tc>
        <w:tc>
          <w:tcPr>
            <w:tcW w:type="dxa" w:w="1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6</w:t>
            </w:r>
          </w:p>
        </w:tc>
        <w:tc>
          <w:tcPr>
            <w:tcW w:type="dxa" w:w="10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2,239</w:t>
            </w:r>
          </w:p>
        </w:tc>
        <w:tc>
          <w:tcPr>
            <w:tcW w:type="dxa" w:w="116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102</w:t>
            </w:r>
          </w:p>
        </w:tc>
        <w:tc>
          <w:tcPr>
            <w:tcW w:type="dxa" w:w="9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4.56</w:t>
            </w:r>
          </w:p>
        </w:tc>
        <w:tc>
          <w:tcPr>
            <w:tcW w:type="dxa" w:w="15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3.8 to 5.5</w:t>
            </w:r>
          </w:p>
        </w:tc>
        <w:tc>
          <w:tcPr>
            <w:tcW w:type="dxa" w:w="23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0.87</w:t>
            </w:r>
          </w:p>
        </w:tc>
        <w:tc>
          <w:tcPr>
            <w:tcW w:type="dxa" w:w="198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2.3 to 7.1</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2.38</w:t>
            </w:r>
          </w:p>
        </w:tc>
      </w:tr>
      <w:tr>
        <w:tc>
          <w:tcPr>
            <w:tcW w:type="dxa" w:w="128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100.00</w:t>
            </w:r>
          </w:p>
        </w:tc>
        <w:tc>
          <w:tcPr>
            <w:tcW w:type="dxa" w:w="1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7</w:t>
            </w:r>
          </w:p>
        </w:tc>
        <w:tc>
          <w:tcPr>
            <w:tcW w:type="dxa" w:w="10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2,239</w:t>
            </w:r>
          </w:p>
        </w:tc>
        <w:tc>
          <w:tcPr>
            <w:tcW w:type="dxa" w:w="116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w:t>
            </w:r>
          </w:p>
        </w:tc>
        <w:tc>
          <w:tcPr>
            <w:tcW w:type="dxa" w:w="9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0.45</w:t>
            </w:r>
          </w:p>
        </w:tc>
        <w:tc>
          <w:tcPr>
            <w:tcW w:type="dxa" w:w="15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0.2 to 0.8</w:t>
            </w:r>
          </w:p>
        </w:tc>
        <w:tc>
          <w:tcPr>
            <w:tcW w:type="dxa" w:w="23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0.29</w:t>
            </w:r>
          </w:p>
        </w:tc>
        <w:tc>
          <w:tcPr>
            <w:tcW w:type="dxa" w:w="198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0.0 to 1.0</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0.48</w:t>
            </w:r>
          </w:p>
        </w:tc>
      </w:tr>
      <w:tr>
        <w:tc>
          <w:tcPr>
            <w:tcW w:type="dxa" w:w="128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200.00</w:t>
            </w:r>
          </w:p>
        </w:tc>
        <w:tc>
          <w:tcPr>
            <w:tcW w:type="dxa" w:w="1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5</w:t>
            </w:r>
          </w:p>
        </w:tc>
        <w:tc>
          <w:tcPr>
            <w:tcW w:type="dxa" w:w="10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4,125</w:t>
            </w:r>
          </w:p>
        </w:tc>
        <w:tc>
          <w:tcPr>
            <w:tcW w:type="dxa" w:w="116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1,479</w:t>
            </w:r>
          </w:p>
        </w:tc>
        <w:tc>
          <w:tcPr>
            <w:tcW w:type="dxa" w:w="9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35.85</w:t>
            </w:r>
          </w:p>
        </w:tc>
        <w:tc>
          <w:tcPr>
            <w:tcW w:type="dxa" w:w="15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34.4 to 37.3</w:t>
            </w:r>
          </w:p>
        </w:tc>
        <w:tc>
          <w:tcPr>
            <w:tcW w:type="dxa" w:w="23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1.46</w:t>
            </w:r>
          </w:p>
        </w:tc>
        <w:tc>
          <w:tcPr>
            <w:tcW w:type="dxa" w:w="198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32.3 to 39.1</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3.40</w:t>
            </w:r>
          </w:p>
        </w:tc>
      </w:tr>
      <w:tr>
        <w:tc>
          <w:tcPr>
            <w:tcW w:type="dxa" w:w="128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200.00</w:t>
            </w:r>
          </w:p>
        </w:tc>
        <w:tc>
          <w:tcPr>
            <w:tcW w:type="dxa" w:w="1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M ≥ 6</w:t>
            </w:r>
          </w:p>
        </w:tc>
        <w:tc>
          <w:tcPr>
            <w:tcW w:type="dxa" w:w="10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4,125</w:t>
            </w:r>
          </w:p>
        </w:tc>
        <w:tc>
          <w:tcPr>
            <w:tcW w:type="dxa" w:w="116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220</w:t>
            </w:r>
          </w:p>
        </w:tc>
        <w:tc>
          <w:tcPr>
            <w:tcW w:type="dxa" w:w="9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5.33</w:t>
            </w:r>
          </w:p>
        </w:tc>
        <w:tc>
          <w:tcPr>
            <w:tcW w:type="dxa" w:w="151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4.7 to 6.1</w:t>
            </w:r>
          </w:p>
        </w:tc>
        <w:tc>
          <w:tcPr>
            <w:tcW w:type="dxa" w:w="23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0.69</w:t>
            </w:r>
          </w:p>
        </w:tc>
        <w:tc>
          <w:tcPr>
            <w:tcW w:type="dxa" w:w="198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3.8 to 6.8</w:t>
            </w:r>
          </w:p>
        </w:tc>
        <w:tc>
          <w:tcPr>
            <w:tcW w:type="dxa" w:w="163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1.53</w:t>
            </w:r>
          </w:p>
        </w:tc>
      </w:tr>
      <w:tr>
        <w:tc>
          <w:tcPr>
            <w:tcW w:type="dxa" w:w="128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200.00</w:t>
            </w:r>
          </w:p>
        </w:tc>
        <w:tc>
          <w:tcPr>
            <w:tcW w:type="dxa" w:w="105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M ≥ 7</w:t>
            </w:r>
          </w:p>
        </w:tc>
        <w:tc>
          <w:tcPr>
            <w:tcW w:type="dxa" w:w="105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4,125</w:t>
            </w:r>
          </w:p>
        </w:tc>
        <w:tc>
          <w:tcPr>
            <w:tcW w:type="dxa" w:w="116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18</w:t>
            </w:r>
          </w:p>
        </w:tc>
        <w:tc>
          <w:tcPr>
            <w:tcW w:type="dxa" w:w="93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0.44</w:t>
            </w:r>
          </w:p>
        </w:tc>
        <w:tc>
          <w:tcPr>
            <w:tcW w:type="dxa" w:w="151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0.3 to 0.7</w:t>
            </w:r>
          </w:p>
        </w:tc>
        <w:tc>
          <w:tcPr>
            <w:tcW w:type="dxa" w:w="233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0.21</w:t>
            </w:r>
          </w:p>
        </w:tc>
        <w:tc>
          <w:tcPr>
            <w:tcW w:type="dxa" w:w="198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0.2 to 0.8</w:t>
            </w:r>
          </w:p>
        </w:tc>
        <w:tc>
          <w:tcPr>
            <w:tcW w:type="dxa" w:w="163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0.33</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Rate is the observed frequency: of n anchors where a sequence was already under way, the proportion followed within 14 days by an independent earthquake of that size at that distance. The Wilson interval is the standard interval for a proportion and is reported because a reader will expect it; Wald's is unusable at these rates, returning a negative lower bound. The year-block interval resamples whole years instead of individual anchors, dropping the independence assumption Wilson requires: these anchors are overlapping windows cut from one catalogue and a single productive swarm supplies many of them. Where the two disagree, the block interval is the defensible one. Margin of error is the half-width of the corresponding interval, in percentage points.</w:t>
      </w:r>
    </w:p>
    <w:p>
      <w:pPr>
        <w:spacing w:before="360" w:after="120"/>
        <w:jc w:val="center"/>
      </w:pPr>
      <w:r>
        <w:rPr>
          <w:rFonts w:ascii="Times New Roman" w:hAnsi="Times New Roman" w:eastAsia="Times New Roman"/>
          <w:b/>
          <w:i w:val="0"/>
          <w:color w:val="000000"/>
          <w:sz w:val="24"/>
        </w:rPr>
        <w:t>Section F. Model Construction and Comparison</w:t>
      </w:r>
    </w:p>
    <w:p>
      <w:pPr>
        <w:sectPr>
          <w:pgSz w:w="15840" w:h="12240" w:orient="landscape"/>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37</w:t>
      </w:r>
    </w:p>
    <w:p>
      <w:pPr>
        <w:spacing w:after="160"/>
      </w:pPr>
      <w:r>
        <w:rPr>
          <w:rFonts w:ascii="Times New Roman" w:hAnsi="Times New Roman" w:eastAsia="Times New Roman"/>
          <w:b w:val="0"/>
          <w:i/>
          <w:color w:val="000000"/>
          <w:sz w:val="24"/>
        </w:rPr>
        <w:t>Chronological 60:20:20 Partitioning of the Sequence Data Set</w:t>
      </w:r>
    </w:p>
    <w:tbl>
      <w:tblPr>
        <w:tblW w:type="auto" w:w="0"/>
        <w:jc w:val="center"/>
        <w:tblLayout w:type="fixed"/>
        <w:tblLook w:firstColumn="1" w:firstRow="1" w:lastColumn="0" w:lastRow="0" w:noHBand="0" w:noVBand="1" w:val="04A0"/>
        <w:tblLayout w:type="fixed"/>
      </w:tblPr>
      <w:tblGrid>
        <w:gridCol w:w="1040"/>
        <w:gridCol w:w="1040"/>
        <w:gridCol w:w="1040"/>
        <w:gridCol w:w="1040"/>
        <w:gridCol w:w="1040"/>
        <w:gridCol w:w="1040"/>
        <w:gridCol w:w="1040"/>
        <w:gridCol w:w="1040"/>
        <w:gridCol w:w="1040"/>
      </w:tblGrid>
      <w:tr>
        <w:trPr>
          <w:tblHeader w:val="true"/>
        </w:trPr>
        <w:tc>
          <w:tcPr>
            <w:tcW w:type="dxa" w:w="1046"/>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Partition</w:t>
            </w:r>
          </w:p>
        </w:tc>
        <w:tc>
          <w:tcPr>
            <w:tcW w:type="dxa" w:w="115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 sequences</w:t>
            </w:r>
          </w:p>
        </w:tc>
        <w:tc>
          <w:tcPr>
            <w:tcW w:type="dxa" w:w="104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 of total</w:t>
            </w:r>
          </w:p>
        </w:tc>
        <w:tc>
          <w:tcPr>
            <w:tcW w:type="dxa" w:w="1987"/>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Period covered</w:t>
            </w:r>
          </w:p>
        </w:tc>
        <w:tc>
          <w:tcPr>
            <w:tcW w:type="dxa" w:w="104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 (target)</w:t>
            </w:r>
          </w:p>
        </w:tc>
        <w:tc>
          <w:tcPr>
            <w:tcW w:type="dxa" w:w="64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SD</w:t>
            </w:r>
          </w:p>
        </w:tc>
        <w:tc>
          <w:tcPr>
            <w:tcW w:type="dxa" w:w="64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Min</w:t>
            </w:r>
          </w:p>
        </w:tc>
        <w:tc>
          <w:tcPr>
            <w:tcW w:type="dxa" w:w="64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Max</w:t>
            </w:r>
          </w:p>
        </w:tc>
        <w:tc>
          <w:tcPr>
            <w:tcW w:type="dxa" w:w="115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 (M ≥ 6.0)</w:t>
            </w:r>
          </w:p>
        </w:tc>
      </w:tr>
      <w:tr>
        <w:tc>
          <w:tcPr>
            <w:tcW w:type="dxa" w:w="10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Training</w:t>
            </w:r>
          </w:p>
        </w:tc>
        <w:tc>
          <w:tcPr>
            <w:tcW w:type="dxa" w:w="11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100</w:t>
            </w:r>
          </w:p>
        </w:tc>
        <w:tc>
          <w:tcPr>
            <w:tcW w:type="dxa" w:w="104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60.241</w:t>
            </w:r>
          </w:p>
        </w:tc>
        <w:tc>
          <w:tcPr>
            <w:tcW w:type="dxa" w:w="198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Aug 1968 – Feb 2012</w:t>
            </w:r>
          </w:p>
        </w:tc>
        <w:tc>
          <w:tcPr>
            <w:tcW w:type="dxa" w:w="104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5.551</w:t>
            </w:r>
          </w:p>
        </w:tc>
        <w:tc>
          <w:tcPr>
            <w:tcW w:type="dxa" w:w="6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0.519</w:t>
            </w:r>
          </w:p>
        </w:tc>
        <w:tc>
          <w:tcPr>
            <w:tcW w:type="dxa" w:w="6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5.000</w:t>
            </w:r>
          </w:p>
        </w:tc>
        <w:tc>
          <w:tcPr>
            <w:tcW w:type="dxa" w:w="6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7.300</w:t>
            </w:r>
          </w:p>
        </w:tc>
        <w:tc>
          <w:tcPr>
            <w:tcW w:type="dxa" w:w="11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w:t>
            </w:r>
          </w:p>
        </w:tc>
      </w:tr>
      <w:tr>
        <w:tc>
          <w:tcPr>
            <w:tcW w:type="dxa" w:w="104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Validation</w:t>
            </w:r>
          </w:p>
        </w:tc>
        <w:tc>
          <w:tcPr>
            <w:tcW w:type="dxa" w:w="11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w:t>
            </w:r>
          </w:p>
        </w:tc>
        <w:tc>
          <w:tcPr>
            <w:tcW w:type="dxa" w:w="104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19.880</w:t>
            </w:r>
          </w:p>
        </w:tc>
        <w:tc>
          <w:tcPr>
            <w:tcW w:type="dxa" w:w="198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Feb 2012 – Jun 2021</w:t>
            </w:r>
          </w:p>
        </w:tc>
        <w:tc>
          <w:tcPr>
            <w:tcW w:type="dxa" w:w="104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5.642</w:t>
            </w:r>
          </w:p>
        </w:tc>
        <w:tc>
          <w:tcPr>
            <w:tcW w:type="dxa" w:w="6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0.493</w:t>
            </w:r>
          </w:p>
        </w:tc>
        <w:tc>
          <w:tcPr>
            <w:tcW w:type="dxa" w:w="6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5.000</w:t>
            </w:r>
          </w:p>
        </w:tc>
        <w:tc>
          <w:tcPr>
            <w:tcW w:type="dxa" w:w="64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6.600</w:t>
            </w:r>
          </w:p>
        </w:tc>
        <w:tc>
          <w:tcPr>
            <w:tcW w:type="dxa" w:w="11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w:t>
            </w:r>
          </w:p>
        </w:tc>
      </w:tr>
      <w:tr>
        <w:tc>
          <w:tcPr>
            <w:tcW w:type="dxa" w:w="104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Test</w:t>
            </w:r>
          </w:p>
        </w:tc>
        <w:tc>
          <w:tcPr>
            <w:tcW w:type="dxa" w:w="115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33</w:t>
            </w:r>
          </w:p>
        </w:tc>
        <w:tc>
          <w:tcPr>
            <w:tcW w:type="dxa" w:w="104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19.880</w:t>
            </w:r>
          </w:p>
        </w:tc>
        <w:tc>
          <w:tcPr>
            <w:tcW w:type="dxa" w:w="198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Jun 2021 – Jan 2026</w:t>
            </w:r>
          </w:p>
        </w:tc>
        <w:tc>
          <w:tcPr>
            <w:tcW w:type="dxa" w:w="104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5.633</w:t>
            </w:r>
          </w:p>
        </w:tc>
        <w:tc>
          <w:tcPr>
            <w:tcW w:type="dxa" w:w="64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0.595</w:t>
            </w:r>
          </w:p>
        </w:tc>
        <w:tc>
          <w:tcPr>
            <w:tcW w:type="dxa" w:w="64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5.000</w:t>
            </w:r>
          </w:p>
        </w:tc>
        <w:tc>
          <w:tcPr>
            <w:tcW w:type="dxa" w:w="64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7.100</w:t>
            </w:r>
          </w:p>
        </w:tc>
        <w:tc>
          <w:tcPr>
            <w:tcW w:type="dxa" w:w="115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8</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The split is strictly by time: every validation sequence postdates every training sequence, and every test sequence postdates both. A random shuffle would let a model learn from the future of its own test set.</w:t>
      </w:r>
    </w:p>
    <w:p>
      <w:r>
        <w:br w:type="page"/>
      </w:r>
    </w:p>
    <w:p>
      <w:pPr>
        <w:spacing w:after="0"/>
      </w:pPr>
      <w:r>
        <w:rPr>
          <w:rFonts w:ascii="Times New Roman" w:hAnsi="Times New Roman" w:eastAsia="Times New Roman"/>
          <w:b/>
          <w:i w:val="0"/>
          <w:color w:val="000000"/>
          <w:sz w:val="24"/>
        </w:rPr>
        <w:t>Table 38</w:t>
      </w:r>
    </w:p>
    <w:p>
      <w:pPr>
        <w:spacing w:after="160"/>
      </w:pPr>
      <w:r>
        <w:rPr>
          <w:rFonts w:ascii="Times New Roman" w:hAnsi="Times New Roman" w:eastAsia="Times New Roman"/>
          <w:b w:val="0"/>
          <w:i/>
          <w:color w:val="000000"/>
          <w:sz w:val="24"/>
        </w:rPr>
        <w:t>Magnitude-Class Distribution Across the Three Partitions</w:t>
      </w:r>
    </w:p>
    <w:tbl>
      <w:tblPr>
        <w:tblW w:type="auto" w:w="0"/>
        <w:jc w:val="center"/>
        <w:tblLayout w:type="fixed"/>
        <w:tblLook w:firstColumn="1" w:firstRow="1" w:lastColumn="0" w:lastRow="0" w:noHBand="0" w:noVBand="1" w:val="04A0"/>
        <w:tblLayout w:type="fixed"/>
      </w:tblPr>
      <w:tblGrid>
        <w:gridCol w:w="1337"/>
        <w:gridCol w:w="1337"/>
        <w:gridCol w:w="1337"/>
        <w:gridCol w:w="1337"/>
        <w:gridCol w:w="1337"/>
        <w:gridCol w:w="1337"/>
        <w:gridCol w:w="1337"/>
      </w:tblGrid>
      <w:tr>
        <w:trPr>
          <w:tblHeader w:val="true"/>
        </w:trPr>
        <w:tc>
          <w:tcPr>
            <w:tcW w:type="dxa" w:w="2277"/>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Magnitude class</w:t>
            </w:r>
          </w:p>
        </w:tc>
        <w:tc>
          <w:tcPr>
            <w:tcW w:type="dxa" w:w="126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Training f</w:t>
            </w:r>
          </w:p>
        </w:tc>
        <w:tc>
          <w:tcPr>
            <w:tcW w:type="dxa" w:w="126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Training %</w:t>
            </w:r>
          </w:p>
        </w:tc>
        <w:tc>
          <w:tcPr>
            <w:tcW w:type="dxa" w:w="151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Validation f</w:t>
            </w:r>
          </w:p>
        </w:tc>
        <w:tc>
          <w:tcPr>
            <w:tcW w:type="dxa" w:w="151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Validation %</w:t>
            </w:r>
          </w:p>
        </w:tc>
        <w:tc>
          <w:tcPr>
            <w:tcW w:type="dxa" w:w="75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Test f</w:t>
            </w:r>
          </w:p>
        </w:tc>
        <w:tc>
          <w:tcPr>
            <w:tcW w:type="dxa" w:w="75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Test %</w:t>
            </w:r>
          </w:p>
        </w:tc>
      </w:tr>
      <w:tr>
        <w:tc>
          <w:tcPr>
            <w:tcW w:type="dxa" w:w="22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Moderate (5.0-5.9)</w:t>
            </w:r>
          </w:p>
        </w:tc>
        <w:tc>
          <w:tcPr>
            <w:tcW w:type="dxa" w:w="12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82</w:t>
            </w:r>
          </w:p>
        </w:tc>
        <w:tc>
          <w:tcPr>
            <w:tcW w:type="dxa" w:w="12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82.0</w:t>
            </w:r>
          </w:p>
        </w:tc>
        <w:tc>
          <w:tcPr>
            <w:tcW w:type="dxa" w:w="15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w:t>
            </w:r>
          </w:p>
        </w:tc>
        <w:tc>
          <w:tcPr>
            <w:tcW w:type="dxa" w:w="15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72.7</w:t>
            </w:r>
          </w:p>
        </w:tc>
        <w:tc>
          <w:tcPr>
            <w:tcW w:type="dxa" w:w="75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25</w:t>
            </w:r>
          </w:p>
        </w:tc>
        <w:tc>
          <w:tcPr>
            <w:tcW w:type="dxa" w:w="75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75.8</w:t>
            </w:r>
          </w:p>
        </w:tc>
      </w:tr>
      <w:tr>
        <w:tc>
          <w:tcPr>
            <w:tcW w:type="dxa" w:w="22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Strong (6.0-6.9)</w:t>
            </w:r>
          </w:p>
        </w:tc>
        <w:tc>
          <w:tcPr>
            <w:tcW w:type="dxa" w:w="12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w:t>
            </w:r>
          </w:p>
        </w:tc>
        <w:tc>
          <w:tcPr>
            <w:tcW w:type="dxa" w:w="12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15.0</w:t>
            </w:r>
          </w:p>
        </w:tc>
        <w:tc>
          <w:tcPr>
            <w:tcW w:type="dxa" w:w="15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w:t>
            </w:r>
          </w:p>
        </w:tc>
        <w:tc>
          <w:tcPr>
            <w:tcW w:type="dxa" w:w="15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27.3</w:t>
            </w:r>
          </w:p>
        </w:tc>
        <w:tc>
          <w:tcPr>
            <w:tcW w:type="dxa" w:w="75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w:t>
            </w:r>
          </w:p>
        </w:tc>
        <w:tc>
          <w:tcPr>
            <w:tcW w:type="dxa" w:w="75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18.2</w:t>
            </w:r>
          </w:p>
        </w:tc>
      </w:tr>
      <w:tr>
        <w:tc>
          <w:tcPr>
            <w:tcW w:type="dxa" w:w="227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Major (&gt;=7.0)</w:t>
            </w:r>
          </w:p>
        </w:tc>
        <w:tc>
          <w:tcPr>
            <w:tcW w:type="dxa" w:w="126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w:t>
            </w:r>
          </w:p>
        </w:tc>
        <w:tc>
          <w:tcPr>
            <w:tcW w:type="dxa" w:w="126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3.0</w:t>
            </w:r>
          </w:p>
        </w:tc>
        <w:tc>
          <w:tcPr>
            <w:tcW w:type="dxa" w:w="151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w:t>
            </w:r>
          </w:p>
        </w:tc>
        <w:tc>
          <w:tcPr>
            <w:tcW w:type="dxa" w:w="151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0.0</w:t>
            </w:r>
          </w:p>
        </w:tc>
        <w:tc>
          <w:tcPr>
            <w:tcW w:type="dxa" w:w="75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w:t>
            </w:r>
          </w:p>
        </w:tc>
        <w:tc>
          <w:tcPr>
            <w:tcW w:type="dxa" w:w="75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6.1</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Major events are rare in every partition. This imbalance is the reason Cohen's κ, rather than raw accuracy, is treated as the headline agreement statistic.</w:t>
      </w:r>
    </w:p>
    <w:p>
      <w:r>
        <w:br w:type="page"/>
      </w:r>
    </w:p>
    <w:p>
      <w:pPr>
        <w:spacing w:after="0"/>
      </w:pPr>
      <w:r>
        <w:rPr>
          <w:rFonts w:ascii="Times New Roman" w:hAnsi="Times New Roman" w:eastAsia="Times New Roman"/>
          <w:b/>
          <w:i w:val="0"/>
          <w:color w:val="000000"/>
          <w:sz w:val="24"/>
        </w:rPr>
        <w:t>Table 39</w:t>
      </w:r>
    </w:p>
    <w:p>
      <w:pPr>
        <w:spacing w:after="160"/>
      </w:pPr>
      <w:r>
        <w:rPr>
          <w:rFonts w:ascii="Times New Roman" w:hAnsi="Times New Roman" w:eastAsia="Times New Roman"/>
          <w:b w:val="0"/>
          <w:i/>
          <w:color w:val="000000"/>
          <w:sz w:val="24"/>
        </w:rPr>
        <w:t>Random Forest Hyperparameter Search (Top 12 Configurations)</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175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n_estimators</w:t>
            </w:r>
          </w:p>
        </w:tc>
        <w:tc>
          <w:tcPr>
            <w:tcW w:type="dxa" w:w="1316"/>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max_depth</w:t>
            </w:r>
          </w:p>
        </w:tc>
        <w:tc>
          <w:tcPr>
            <w:tcW w:type="dxa" w:w="234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min_samples_leaf</w:t>
            </w:r>
          </w:p>
        </w:tc>
        <w:tc>
          <w:tcPr>
            <w:tcW w:type="dxa" w:w="175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max_features</w:t>
            </w:r>
          </w:p>
        </w:tc>
        <w:tc>
          <w:tcPr>
            <w:tcW w:type="dxa" w:w="219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Validation RMSE</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16.0000</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sqrt</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0.4188</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sqrt</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0.4189</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16.0000</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sqrt</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0.4209</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sqrt</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0.4210</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16.0000</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0.5000</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0.4224</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0.5000</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0.4224</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8.0000</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0.5000</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0.4260</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8.0000</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sqrt</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0.4263</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16.0000</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0.5000</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0.4284</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0.5000</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0.4284</w:t>
            </w:r>
          </w:p>
        </w:tc>
      </w:tr>
      <w:tr>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300</w:t>
            </w:r>
          </w:p>
        </w:tc>
        <w:tc>
          <w:tcPr>
            <w:tcW w:type="dxa" w:w="131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8.0000</w:t>
            </w:r>
          </w:p>
        </w:tc>
        <w:tc>
          <w:tcPr>
            <w:tcW w:type="dxa" w:w="23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sqrt</w:t>
            </w:r>
          </w:p>
        </w:tc>
        <w:tc>
          <w:tcPr>
            <w:tcW w:type="dxa" w:w="219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0.4287</w:t>
            </w:r>
          </w:p>
        </w:tc>
      </w:tr>
      <w:tr>
        <w:tc>
          <w:tcPr>
            <w:tcW w:type="dxa" w:w="175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300</w:t>
            </w:r>
          </w:p>
        </w:tc>
        <w:tc>
          <w:tcPr>
            <w:tcW w:type="dxa" w:w="131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8.0000</w:t>
            </w:r>
          </w:p>
        </w:tc>
        <w:tc>
          <w:tcPr>
            <w:tcW w:type="dxa" w:w="234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w:t>
            </w:r>
          </w:p>
        </w:tc>
        <w:tc>
          <w:tcPr>
            <w:tcW w:type="dxa" w:w="175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0.5000</w:t>
            </w:r>
          </w:p>
        </w:tc>
        <w:tc>
          <w:tcPr>
            <w:tcW w:type="dxa" w:w="219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0.4302</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Configurations ranked by root mean squared error on the validation partition. Grid search was scored on the held-out development set rather than by k-fold cross-validation, which would shuffle the time ordering back together.</w:t>
      </w:r>
    </w:p>
    <w:p>
      <w:pPr>
        <w:sectPr>
          <w:pgSz w:w="12240" w:h="15840"/>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40</w:t>
      </w:r>
    </w:p>
    <w:p>
      <w:pPr>
        <w:spacing w:after="160"/>
      </w:pPr>
      <w:r>
        <w:rPr>
          <w:rFonts w:ascii="Times New Roman" w:hAnsi="Times New Roman" w:eastAsia="Times New Roman"/>
          <w:b w:val="0"/>
          <w:i/>
          <w:color w:val="000000"/>
          <w:sz w:val="24"/>
        </w:rPr>
        <w:t>Inventory of the Forecasting Models Compared</w:t>
      </w:r>
    </w:p>
    <w:tbl>
      <w:tblPr>
        <w:tblW w:type="auto" w:w="0"/>
        <w:jc w:val="center"/>
        <w:tblLayout w:type="fixed"/>
        <w:tblLook w:firstColumn="1" w:firstRow="1" w:lastColumn="0" w:lastRow="0" w:noHBand="0" w:noVBand="1" w:val="04A0"/>
        <w:tblLayout w:type="fixed"/>
      </w:tblPr>
      <w:tblGrid>
        <w:gridCol w:w="3240"/>
        <w:gridCol w:w="3240"/>
        <w:gridCol w:w="3240"/>
        <w:gridCol w:w="3240"/>
      </w:tblGrid>
      <w:tr>
        <w:trPr>
          <w:tblHeader w:val="true"/>
        </w:trPr>
        <w:tc>
          <w:tcPr>
            <w:tcW w:type="dxa" w:w="300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Model</w:t>
            </w:r>
          </w:p>
        </w:tc>
        <w:tc>
          <w:tcPr>
            <w:tcW w:type="dxa" w:w="225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Family</w:t>
            </w:r>
          </w:p>
        </w:tc>
        <w:tc>
          <w:tcPr>
            <w:tcW w:type="dxa" w:w="338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Input representation</w:t>
            </w:r>
          </w:p>
        </w:tc>
        <w:tc>
          <w:tcPr>
            <w:tcW w:type="dxa" w:w="432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Key settings</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Climatology (training mean)</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Baseline</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None (constant)</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Predicts the training-set mean for every sequence</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Persistence (previous mainshock)</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Baseline</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Previous target</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Reuses the magnitude of the preceding mainshock</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Random Forest</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Tree ensemble (bagging)</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n_estimators=600, max_depth=16, min_samples_leaf=1, max_features=sqrt</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Extra Trees</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Tree ensemble (bagging)</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n_estimators=200, max_depth=10, fully randomised splits</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Gradient Boosting</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Tree ensemble (boosting)</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n_estimators=400, lr=0.05, max_depth=3, subsample=0.8</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Histogram GB</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Tree ensemble (boosting)</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max_iter=400, lr=0.05, max_depth=6</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Support Vector Regression</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Kernel method</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RBF kernel, C=10, ε=0.05, standardised inputs</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k-Nearest Neighbours</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Instance based</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k=10, distance weighting, standardised inputs</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Elastic Net</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Regularised linear</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α=0.05, L1 ratio=0.5</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Ridge Regression</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Regularised linear</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α=5.0</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Multilayer Perceptron</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Feed-forward network</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22 engineered features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hidden=(64, 32), α=1.0, early stopping on a 20% inner split</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LSTM</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Recurrent network</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10 × 5 event stream</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32 units, Adam (lr=0.01), early stopping (patience 40)</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GRU</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Recurrent network</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10 × 5 event stream</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32 units, two gates, same optimiser as the LSTM</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1D-CNN</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Convolutional network</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10 × 5 event stream</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24 filters, kernel 3, ReLU, global max pooling</w:t>
            </w:r>
          </w:p>
        </w:tc>
      </w:tr>
      <w:tr>
        <w:tc>
          <w:tcPr>
            <w:tcW w:type="dxa" w:w="300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ARIMA</w:t>
            </w:r>
          </w:p>
        </w:tc>
        <w:tc>
          <w:tcPr>
            <w:tcW w:type="dxa" w:w="225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Classical time series</w:t>
            </w:r>
          </w:p>
        </w:tc>
        <w:tc>
          <w:tcPr>
            <w:tcW w:type="dxa" w:w="338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Order-indexed target series</w:t>
            </w:r>
          </w:p>
        </w:tc>
        <w:tc>
          <w:tcPr>
            <w:tcW w:type="dxa" w:w="432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(p, d, q) up to (2, 1, 2), selected by AIC</w:t>
            </w:r>
          </w:p>
        </w:tc>
      </w:tr>
      <w:tr>
        <w:tc>
          <w:tcPr>
            <w:tcW w:type="dxa" w:w="300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ARIMAX</w:t>
            </w:r>
          </w:p>
        </w:tc>
        <w:tc>
          <w:tcPr>
            <w:tcW w:type="dxa" w:w="225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Classical time series</w:t>
            </w:r>
          </w:p>
        </w:tc>
        <w:tc>
          <w:tcPr>
            <w:tcW w:type="dxa" w:w="338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Target series + 5 exogenous features</w:t>
            </w:r>
          </w:p>
        </w:tc>
        <w:tc>
          <w:tcPr>
            <w:tcW w:type="dxa" w:w="432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As ARIMA, with the 5 features most correlated with the target in the training rows</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16 forecasters across four families, all scored on the same sequences. The two baselines are included because a forecasting model earns its claim only by beating them.</w:t>
      </w:r>
    </w:p>
    <w:p>
      <w:pPr>
        <w:sectPr>
          <w:pgSz w:w="15840" w:h="12240" w:orient="landscape"/>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41</w:t>
      </w:r>
    </w:p>
    <w:p>
      <w:pPr>
        <w:spacing w:after="160"/>
      </w:pPr>
      <w:r>
        <w:rPr>
          <w:rFonts w:ascii="Times New Roman" w:hAnsi="Times New Roman" w:eastAsia="Times New Roman"/>
          <w:b w:val="0"/>
          <w:i/>
          <w:color w:val="000000"/>
          <w:sz w:val="24"/>
        </w:rPr>
        <w:t>Rolling-Origin Cross-Validation Results Across All Models</w:t>
      </w:r>
    </w:p>
    <w:tbl>
      <w:tblPr>
        <w:tblW w:type="auto" w:w="0"/>
        <w:jc w:val="center"/>
        <w:tblLayout w:type="fixed"/>
        <w:tblLook w:firstColumn="1" w:firstRow="1" w:lastColumn="0" w:lastRow="0" w:noHBand="0" w:noVBand="1" w:val="04A0"/>
        <w:tblLayout w:type="fixed"/>
      </w:tblPr>
      <w:tblGrid>
        <w:gridCol w:w="1170"/>
        <w:gridCol w:w="1170"/>
        <w:gridCol w:w="1170"/>
        <w:gridCol w:w="1170"/>
        <w:gridCol w:w="1170"/>
        <w:gridCol w:w="1170"/>
        <w:gridCol w:w="1170"/>
        <w:gridCol w:w="1170"/>
      </w:tblGrid>
      <w:tr>
        <w:trPr>
          <w:tblHeader w:val="true"/>
        </w:trPr>
        <w:tc>
          <w:tcPr>
            <w:tcW w:type="dxa" w:w="365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Model</w:t>
            </w:r>
          </w:p>
        </w:tc>
        <w:tc>
          <w:tcPr>
            <w:tcW w:type="dxa" w:w="68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Folds</w:t>
            </w:r>
          </w:p>
        </w:tc>
        <w:tc>
          <w:tcPr>
            <w:tcW w:type="dxa" w:w="68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 RMSE</w:t>
            </w:r>
          </w:p>
        </w:tc>
        <w:tc>
          <w:tcPr>
            <w:tcW w:type="dxa" w:w="79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SD RMSE</w:t>
            </w:r>
          </w:p>
        </w:tc>
        <w:tc>
          <w:tcPr>
            <w:tcW w:type="dxa" w:w="9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Min RMSE</w:t>
            </w:r>
          </w:p>
        </w:tc>
        <w:tc>
          <w:tcPr>
            <w:tcW w:type="dxa" w:w="9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Max RMSE</w:t>
            </w:r>
          </w:p>
        </w:tc>
        <w:tc>
          <w:tcPr>
            <w:tcW w:type="dxa" w:w="68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 MAE</w:t>
            </w:r>
          </w:p>
        </w:tc>
        <w:tc>
          <w:tcPr>
            <w:tcW w:type="dxa" w:w="102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Mean rank</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Extra Trees</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0.438</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0.148</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0.338</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0.695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0.329</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3.200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Random Forest</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0.445</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0.171</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0.322</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0.741</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0.341</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3.600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Elastic Net</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0.451</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0.169</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0.307</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0.712</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0.337</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4.000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Gradient Boosting</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0.458</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0.154</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0.347</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0.723</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0.344</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5.400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Support Vector Regression</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0.464</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0.181</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0.323</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0.774</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0.357</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5.600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Ridge Regression</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0.473</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0.158</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0.335</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0.706</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0.352</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6.200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ARIMAX</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0.487</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0.156</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0.315</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0.709</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0.377</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8.000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k-Nearest Neighbours</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0.494</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0.204</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0.345</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0.842</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0.382</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6.200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Histogram GB</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0.497</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0.161</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0.369</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0.763</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0.395</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7.500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Climatology (training mean)</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0.530</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0.189</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0.369</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0.844</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0.414</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9.300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ARIMA</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0.622</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0.161</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0.505</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0.898</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0.499</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12.600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LSTM</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0.627</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0.209</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0.361</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0.865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0.495</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11.000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GRU</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0.665</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0.192</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0.392</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0.886</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0.518</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13.000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Persistence (previous mainshock)</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0.669</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0.177</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0.473</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0.880</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0.512</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13.200</w:t>
            </w:r>
          </w:p>
        </w:tc>
      </w:tr>
      <w:tr>
        <w:tc>
          <w:tcPr>
            <w:tcW w:type="dxa" w:w="365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Multilayer Perceptron</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0.857</w:t>
            </w:r>
          </w:p>
        </w:tc>
        <w:tc>
          <w:tcPr>
            <w:tcW w:type="dxa" w:w="79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0.445</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0.441</w:t>
            </w:r>
          </w:p>
        </w:tc>
        <w:tc>
          <w:tcPr>
            <w:tcW w:type="dxa" w:w="9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1.407</w:t>
            </w:r>
          </w:p>
        </w:tc>
        <w:tc>
          <w:tcPr>
            <w:tcW w:type="dxa" w:w="6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0.709</w:t>
            </w:r>
          </w:p>
        </w:tc>
        <w:tc>
          <w:tcPr>
            <w:tcW w:type="dxa" w:w="102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11.800</w:t>
            </w:r>
          </w:p>
        </w:tc>
      </w:tr>
      <w:tr>
        <w:tc>
          <w:tcPr>
            <w:tcW w:type="dxa" w:w="365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1D-CNN</w:t>
            </w:r>
          </w:p>
        </w:tc>
        <w:tc>
          <w:tcPr>
            <w:tcW w:type="dxa" w:w="68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68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1.044</w:t>
            </w:r>
          </w:p>
        </w:tc>
        <w:tc>
          <w:tcPr>
            <w:tcW w:type="dxa" w:w="79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0.392</w:t>
            </w:r>
          </w:p>
        </w:tc>
        <w:tc>
          <w:tcPr>
            <w:tcW w:type="dxa" w:w="9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0.717</w:t>
            </w:r>
          </w:p>
        </w:tc>
        <w:tc>
          <w:tcPr>
            <w:tcW w:type="dxa" w:w="9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1.595</w:t>
            </w:r>
          </w:p>
        </w:tc>
        <w:tc>
          <w:tcPr>
            <w:tcW w:type="dxa" w:w="68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0.840</w:t>
            </w:r>
          </w:p>
        </w:tc>
        <w:tc>
          <w:tcPr>
            <w:tcW w:type="dxa" w:w="102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15.400</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Expanding-window validation over the training and validation partitions: each fold trains on everything before its test block and forecasts the block that follows. SD across folds is the more honest measure of a model's reliability than any single split, and Mean rank is what the Friedman test in Table 37 operates on.</w:t>
      </w:r>
    </w:p>
    <w:p>
      <w:r>
        <w:br w:type="page"/>
      </w:r>
    </w:p>
    <w:p>
      <w:pPr>
        <w:spacing w:after="0"/>
      </w:pPr>
      <w:r>
        <w:rPr>
          <w:rFonts w:ascii="Times New Roman" w:hAnsi="Times New Roman" w:eastAsia="Times New Roman"/>
          <w:b/>
          <w:i w:val="0"/>
          <w:color w:val="000000"/>
          <w:sz w:val="24"/>
        </w:rPr>
        <w:t>Table 42</w:t>
      </w:r>
    </w:p>
    <w:p>
      <w:pPr>
        <w:spacing w:after="160"/>
      </w:pPr>
      <w:r>
        <w:rPr>
          <w:rFonts w:ascii="Times New Roman" w:hAnsi="Times New Roman" w:eastAsia="Times New Roman"/>
          <w:b w:val="0"/>
          <w:i/>
          <w:color w:val="000000"/>
          <w:sz w:val="24"/>
        </w:rPr>
        <w:t>Friedman Test for Differences Among the Models</w:t>
      </w:r>
    </w:p>
    <w:tbl>
      <w:tblPr>
        <w:tblW w:type="auto" w:w="0"/>
        <w:jc w:val="center"/>
        <w:tblLayout w:type="fixed"/>
        <w:tblLook w:firstColumn="1" w:firstRow="1" w:lastColumn="0" w:lastRow="0" w:noHBand="0" w:noVBand="1" w:val="04A0"/>
        <w:tblLayout w:type="fixed"/>
      </w:tblPr>
      <w:tblGrid>
        <w:gridCol w:w="4680"/>
        <w:gridCol w:w="4680"/>
      </w:tblGrid>
      <w:tr>
        <w:trPr>
          <w:tblHeader w:val="true"/>
        </w:trPr>
        <w:tc>
          <w:tcPr>
            <w:tcW w:type="dxa" w:w="5497"/>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Quantity</w:t>
            </w:r>
          </w:p>
        </w:tc>
        <w:tc>
          <w:tcPr>
            <w:tcW w:type="dxa" w:w="386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Value</w:t>
            </w:r>
          </w:p>
        </w:tc>
      </w:tr>
      <w:tr>
        <w:tc>
          <w:tcPr>
            <w:tcW w:type="dxa" w:w="54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Friedman χ²</w:t>
            </w:r>
          </w:p>
        </w:tc>
        <w:tc>
          <w:tcPr>
            <w:tcW w:type="dxa" w:w="386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50.031</w:t>
            </w:r>
          </w:p>
        </w:tc>
      </w:tr>
      <w:tr>
        <w:tc>
          <w:tcPr>
            <w:tcW w:type="dxa" w:w="54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df</w:t>
            </w:r>
          </w:p>
        </w:tc>
        <w:tc>
          <w:tcPr>
            <w:tcW w:type="dxa" w:w="386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15</w:t>
            </w:r>
          </w:p>
        </w:tc>
      </w:tr>
      <w:tr>
        <w:tc>
          <w:tcPr>
            <w:tcW w:type="dxa" w:w="54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w:t>
            </w:r>
          </w:p>
        </w:tc>
        <w:tc>
          <w:tcPr>
            <w:tcW w:type="dxa" w:w="386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&lt; .001</w:t>
            </w:r>
          </w:p>
        </w:tc>
      </w:tr>
      <w:tr>
        <w:tc>
          <w:tcPr>
            <w:tcW w:type="dxa" w:w="54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Models compared (k)</w:t>
            </w:r>
          </w:p>
        </w:tc>
        <w:tc>
          <w:tcPr>
            <w:tcW w:type="dxa" w:w="386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16</w:t>
            </w:r>
          </w:p>
        </w:tc>
      </w:tr>
      <w:tr>
        <w:tc>
          <w:tcPr>
            <w:tcW w:type="dxa" w:w="54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Validation folds (N)</w:t>
            </w:r>
          </w:p>
        </w:tc>
        <w:tc>
          <w:tcPr>
            <w:tcW w:type="dxa" w:w="386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w:t>
            </w:r>
          </w:p>
        </w:tc>
      </w:tr>
      <w:tr>
        <w:tc>
          <w:tcPr>
            <w:tcW w:type="dxa" w:w="549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Nemenyi critical difference (α = .05)</w:t>
            </w:r>
          </w:p>
        </w:tc>
        <w:tc>
          <w:tcPr>
            <w:tcW w:type="dxa" w:w="386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15.029</w:t>
            </w:r>
          </w:p>
        </w:tc>
      </w:tr>
      <w:tr>
        <w:tc>
          <w:tcPr>
            <w:tcW w:type="dxa" w:w="549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Decision</w:t>
            </w:r>
          </w:p>
        </w:tc>
        <w:tc>
          <w:tcPr>
            <w:tcW w:type="dxa" w:w="386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At least one model differs</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The Friedman test is the standard rank-based omnibus comparison of several models across several data splits (Demšar, 2006). The Nemenyi critical difference is the gap in mean rank two models must show before they can be called distinguishable.</w:t>
      </w:r>
    </w:p>
    <w:p>
      <w:r>
        <w:br w:type="page"/>
      </w:r>
    </w:p>
    <w:p>
      <w:pPr>
        <w:spacing w:after="0"/>
      </w:pPr>
      <w:r>
        <w:rPr>
          <w:rFonts w:ascii="Times New Roman" w:hAnsi="Times New Roman" w:eastAsia="Times New Roman"/>
          <w:b/>
          <w:i w:val="0"/>
          <w:color w:val="000000"/>
          <w:sz w:val="24"/>
        </w:rPr>
        <w:t>Table 43</w:t>
      </w:r>
    </w:p>
    <w:p>
      <w:pPr>
        <w:spacing w:after="160"/>
      </w:pPr>
      <w:r>
        <w:rPr>
          <w:rFonts w:ascii="Times New Roman" w:hAnsi="Times New Roman" w:eastAsia="Times New Roman"/>
          <w:b w:val="0"/>
          <w:i/>
          <w:color w:val="000000"/>
          <w:sz w:val="24"/>
        </w:rPr>
        <w:t>Mean Ranks and Nemenyi Post Hoc Comparison Against the Leading Model</w:t>
      </w:r>
    </w:p>
    <w:tbl>
      <w:tblPr>
        <w:tblW w:type="auto" w:w="0"/>
        <w:jc w:val="center"/>
        <w:tblLayout w:type="fixed"/>
        <w:tblLook w:firstColumn="1" w:firstRow="1" w:lastColumn="0" w:lastRow="0" w:noHBand="0" w:noVBand="1" w:val="04A0"/>
        <w:tblLayout w:type="fixed"/>
      </w:tblPr>
      <w:tblGrid>
        <w:gridCol w:w="2340"/>
        <w:gridCol w:w="2340"/>
        <w:gridCol w:w="2340"/>
        <w:gridCol w:w="2340"/>
      </w:tblGrid>
      <w:tr>
        <w:trPr>
          <w:tblHeader w:val="true"/>
        </w:trPr>
        <w:tc>
          <w:tcPr>
            <w:tcW w:type="dxa" w:w="329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Model</w:t>
            </w:r>
          </w:p>
        </w:tc>
        <w:tc>
          <w:tcPr>
            <w:tcW w:type="dxa" w:w="92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Mean rank</w:t>
            </w:r>
          </w:p>
        </w:tc>
        <w:tc>
          <w:tcPr>
            <w:tcW w:type="dxa" w:w="257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Rank difference from best</w:t>
            </w:r>
          </w:p>
        </w:tc>
        <w:tc>
          <w:tcPr>
            <w:tcW w:type="dxa" w:w="257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Distinguishable from best</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Extra Trees</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3.200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Random Forest</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3.600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0.400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Elastic Net</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4.000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Gradient Boosting</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5.400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2.200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Support Vector Regression</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5.600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k-Nearest Neighbours</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6.200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Ridge Regression</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6.200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Histogram GB</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7.500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4.300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ARIMAX</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8.000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4.800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Climatology (training mean)</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9.300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6.100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LSTM</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11.000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7.800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Multilayer Perceptron</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11.800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8.600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ARIMA</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12.600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9.400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GRU</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13.000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9.800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Persistence (previous mainshock)</w:t>
            </w:r>
          </w:p>
        </w:tc>
        <w:tc>
          <w:tcPr>
            <w:tcW w:type="dxa" w:w="92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13.200</w:t>
            </w:r>
          </w:p>
        </w:tc>
        <w:tc>
          <w:tcPr>
            <w:tcW w:type="dxa" w:w="25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10.000</w:t>
            </w:r>
          </w:p>
        </w:tc>
        <w:tc>
          <w:tcPr>
            <w:tcW w:type="dxa" w:w="257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w:t>
            </w:r>
          </w:p>
        </w:tc>
      </w:tr>
      <w:tr>
        <w:tc>
          <w:tcPr>
            <w:tcW w:type="dxa" w:w="329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1D-CNN</w:t>
            </w:r>
          </w:p>
        </w:tc>
        <w:tc>
          <w:tcPr>
            <w:tcW w:type="dxa" w:w="92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15.400</w:t>
            </w:r>
          </w:p>
        </w:tc>
        <w:tc>
          <w:tcPr>
            <w:tcW w:type="dxa" w:w="257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12.200</w:t>
            </w:r>
          </w:p>
        </w:tc>
        <w:tc>
          <w:tcPr>
            <w:tcW w:type="dxa" w:w="257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No</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A model marked 'No' cannot be distinguished from the best performer at α = .05. The Nemenyi critical difference scales with the number of models and shrinks only with the number of folds, so comparing many models over a few folds can produce a critical difference wider than the whole range of ranks — in which case every row reads 'No'. That is a statement about the power of this test, not evidence that the models perform equally; the leaderboard and its confidence intervals are the more informative comparison.</w:t>
      </w:r>
    </w:p>
    <w:p>
      <w:pPr>
        <w:sectPr>
          <w:pgSz w:w="12240" w:h="15840"/>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44</w:t>
      </w:r>
    </w:p>
    <w:p>
      <w:pPr>
        <w:spacing w:after="160"/>
      </w:pPr>
      <w:r>
        <w:rPr>
          <w:rFonts w:ascii="Times New Roman" w:hAnsi="Times New Roman" w:eastAsia="Times New Roman"/>
          <w:b w:val="0"/>
          <w:i/>
          <w:color w:val="000000"/>
          <w:sz w:val="24"/>
        </w:rPr>
        <w:t>Test-Partition Leaderboard for All 16 Models</w:t>
      </w:r>
    </w:p>
    <w:tbl>
      <w:tblPr>
        <w:tblW w:type="auto" w:w="0"/>
        <w:jc w:val="center"/>
        <w:tblLayout w:type="fixed"/>
        <w:tblLook w:firstColumn="1" w:firstRow="1" w:lastColumn="0" w:lastRow="0" w:noHBand="0" w:noVBand="1" w:val="04A0"/>
        <w:tblLayout w:type="fixed"/>
      </w:tblPr>
      <w:tblGrid>
        <w:gridCol w:w="1440"/>
        <w:gridCol w:w="1440"/>
        <w:gridCol w:w="1440"/>
        <w:gridCol w:w="1440"/>
        <w:gridCol w:w="1440"/>
        <w:gridCol w:w="1440"/>
        <w:gridCol w:w="1440"/>
        <w:gridCol w:w="1440"/>
        <w:gridCol w:w="1440"/>
      </w:tblGrid>
      <w:tr>
        <w:trPr>
          <w:tblHeader w:val="true"/>
        </w:trPr>
        <w:tc>
          <w:tcPr>
            <w:tcW w:type="dxa" w:w="67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Rank</w:t>
            </w:r>
          </w:p>
        </w:tc>
        <w:tc>
          <w:tcPr>
            <w:tcW w:type="dxa" w:w="3606"/>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Model</w:t>
            </w:r>
          </w:p>
        </w:tc>
        <w:tc>
          <w:tcPr>
            <w:tcW w:type="dxa" w:w="67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RMSE</w:t>
            </w:r>
          </w:p>
        </w:tc>
        <w:tc>
          <w:tcPr>
            <w:tcW w:type="dxa" w:w="169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95% CI for RMSE</w:t>
            </w:r>
          </w:p>
        </w:tc>
        <w:tc>
          <w:tcPr>
            <w:tcW w:type="dxa" w:w="67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MAE</w:t>
            </w:r>
          </w:p>
        </w:tc>
        <w:tc>
          <w:tcPr>
            <w:tcW w:type="dxa" w:w="67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R²</w:t>
            </w:r>
          </w:p>
        </w:tc>
        <w:tc>
          <w:tcPr>
            <w:tcW w:type="dxa" w:w="67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Bias</w:t>
            </w:r>
          </w:p>
        </w:tc>
        <w:tc>
          <w:tcPr>
            <w:tcW w:type="dxa" w:w="146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 within ±0.3</w:t>
            </w:r>
          </w:p>
        </w:tc>
        <w:tc>
          <w:tcPr>
            <w:tcW w:type="dxa" w:w="281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Skill vs. climatology (%)</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Extra Trees</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0.555</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[0.397, 0.701]</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0.408</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0.105</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-0.096</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51.515</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11.389</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Random Forest</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0.569</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[0.393, 0.729]</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0.415</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0.059</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-0.101</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48.485</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6.832</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Support Vector Regression</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0.571</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[0.424, 0.720]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0.430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0.050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0.034</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48.485</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5.933</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k-Nearest Neighbours</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0.589</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[0.407, 0.765]</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0.436</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-0.131</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54.545</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0.013</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Climatology (training mean)</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0.589</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[0.427, 0.742]</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0.467</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-0.060</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36.364</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0.000</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ARIMA</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0.592</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[0.426, 0.748]</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0.466</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-0.022</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-0.081</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36.364</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-1.116</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ARIMAX</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0.599</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[0.447, 0.749]</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0.489</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-0.044</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0.075</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33.333</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-3.288</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LSTM</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0.599</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[0.470, 0.728]</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0.499</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-0.044</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0.089</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30.303</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-3.374</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GRU</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0.616</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[0.500, 0.728]</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0.523</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-0.104</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0.117</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24.242</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-9.225</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10</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Gradient Boosting</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0.616</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[0.435, 0.784]</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0.460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-0.104</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-0.059</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42.424</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-9.254</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Elastic Net</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0.616</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[0.421, 0.802]</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0.468</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-0.104</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-0.053</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45.455</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-9.298</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Ridge Regression</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0.637</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[0.455, 0.814]</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0.501</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-0.180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-0.012</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39.394</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-16.807</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Histogram GB</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0.649</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[0.472, 0.810]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0.501</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-0.225</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-0.005</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39.394</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-21.264</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14</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Persistence (previous mainshock)</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0.830</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[0.601, 1.033]</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0.618</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-1.008</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-0.024</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45.455</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-98.764</w:t>
            </w:r>
          </w:p>
        </w:tc>
      </w:tr>
      <w:tr>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15</w:t>
            </w:r>
          </w:p>
        </w:tc>
        <w:tc>
          <w:tcPr>
            <w:tcW w:type="dxa" w:w="360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1D-CNN</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0.855</w:t>
            </w:r>
          </w:p>
        </w:tc>
        <w:tc>
          <w:tcPr>
            <w:tcW w:type="dxa" w:w="16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[0.670, 1.025]</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0.711</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-1.130</w:t>
            </w:r>
          </w:p>
        </w:tc>
        <w:tc>
          <w:tcPr>
            <w:tcW w:type="dxa" w:w="67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-0.009</w:t>
            </w:r>
          </w:p>
        </w:tc>
        <w:tc>
          <w:tcPr>
            <w:tcW w:type="dxa" w:w="14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21.212</w:t>
            </w:r>
          </w:p>
        </w:tc>
        <w:tc>
          <w:tcPr>
            <w:tcW w:type="dxa" w:w="281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-110.808</w:t>
            </w:r>
          </w:p>
        </w:tc>
      </w:tr>
      <w:tr>
        <w:tc>
          <w:tcPr>
            <w:tcW w:type="dxa" w:w="67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16</w:t>
            </w:r>
          </w:p>
        </w:tc>
        <w:tc>
          <w:tcPr>
            <w:tcW w:type="dxa" w:w="360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Multilayer Perceptron</w:t>
            </w:r>
          </w:p>
        </w:tc>
        <w:tc>
          <w:tcPr>
            <w:tcW w:type="dxa" w:w="67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1.153</w:t>
            </w:r>
          </w:p>
        </w:tc>
        <w:tc>
          <w:tcPr>
            <w:tcW w:type="dxa" w:w="169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[0.917, 1.383]</w:t>
            </w:r>
          </w:p>
        </w:tc>
        <w:tc>
          <w:tcPr>
            <w:tcW w:type="dxa" w:w="67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0.977</w:t>
            </w:r>
          </w:p>
        </w:tc>
        <w:tc>
          <w:tcPr>
            <w:tcW w:type="dxa" w:w="67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-2.871</w:t>
            </w:r>
          </w:p>
        </w:tc>
        <w:tc>
          <w:tcPr>
            <w:tcW w:type="dxa" w:w="67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-0.384</w:t>
            </w:r>
          </w:p>
        </w:tc>
        <w:tc>
          <w:tcPr>
            <w:tcW w:type="dxa" w:w="146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12.121</w:t>
            </w:r>
          </w:p>
        </w:tc>
        <w:tc>
          <w:tcPr>
            <w:tcW w:type="dxa" w:w="281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-283.174</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Every model refitted on the combined training and validation partitions, then scored once on the untouched test partition. Skill is the percentage reduction in mean squared error relative to climatology; a negative value means the model is worse than quoting the historical average, which is the result a reader most needs to see.</w:t>
      </w:r>
    </w:p>
    <w:p>
      <w:pPr>
        <w:sectPr>
          <w:pgSz w:w="15840" w:h="12240" w:orient="landscape"/>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45</w:t>
      </w:r>
    </w:p>
    <w:p>
      <w:pPr>
        <w:spacing w:after="160"/>
      </w:pPr>
      <w:r>
        <w:rPr>
          <w:rFonts w:ascii="Times New Roman" w:hAnsi="Times New Roman" w:eastAsia="Times New Roman"/>
          <w:b w:val="0"/>
          <w:i/>
          <w:color w:val="000000"/>
          <w:sz w:val="24"/>
        </w:rPr>
        <w:t>Diebold–Mariano Comparisons Among the Five Leading Models</w:t>
      </w:r>
    </w:p>
    <w:tbl>
      <w:tblPr>
        <w:tblW w:type="auto" w:w="0"/>
        <w:jc w:val="center"/>
        <w:tblLayout w:type="fixed"/>
        <w:tblLook w:firstColumn="1" w:firstRow="1" w:lastColumn="0" w:lastRow="0" w:noHBand="0" w:noVBand="1" w:val="04A0"/>
        <w:tblLayout w:type="fixed"/>
      </w:tblPr>
      <w:tblGrid>
        <w:gridCol w:w="1560"/>
        <w:gridCol w:w="1560"/>
        <w:gridCol w:w="1560"/>
        <w:gridCol w:w="1560"/>
        <w:gridCol w:w="1560"/>
        <w:gridCol w:w="1560"/>
      </w:tblGrid>
      <w:tr>
        <w:trPr>
          <w:tblHeader w:val="true"/>
        </w:trPr>
        <w:tc>
          <w:tcPr>
            <w:tcW w:type="dxa" w:w="205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Model</w:t>
            </w:r>
          </w:p>
        </w:tc>
        <w:tc>
          <w:tcPr>
            <w:tcW w:type="dxa" w:w="83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Extra Trees</w:t>
            </w:r>
          </w:p>
        </w:tc>
        <w:tc>
          <w:tcPr>
            <w:tcW w:type="dxa" w:w="98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Random Forest</w:t>
            </w:r>
          </w:p>
        </w:tc>
        <w:tc>
          <w:tcPr>
            <w:tcW w:type="dxa" w:w="190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Support Vector Regression</w:t>
            </w:r>
          </w:p>
        </w:tc>
        <w:tc>
          <w:tcPr>
            <w:tcW w:type="dxa" w:w="152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k-Nearest Neighbours</w:t>
            </w:r>
          </w:p>
        </w:tc>
        <w:tc>
          <w:tcPr>
            <w:tcW w:type="dxa" w:w="205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Climatology (training mean)</w:t>
            </w:r>
          </w:p>
        </w:tc>
      </w:tr>
      <w:tr>
        <w:tc>
          <w:tcPr>
            <w:tcW w:type="dxa" w:w="20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Extra Trees</w:t>
            </w:r>
          </w:p>
        </w:tc>
        <w:tc>
          <w:tcPr>
            <w:tcW w:type="dxa" w:w="83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w:t>
            </w:r>
          </w:p>
        </w:tc>
        <w:tc>
          <w:tcPr>
            <w:tcW w:type="dxa" w:w="9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.524</w:t>
            </w:r>
          </w:p>
        </w:tc>
        <w:tc>
          <w:tcPr>
            <w:tcW w:type="dxa" w:w="19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.621</w:t>
            </w:r>
          </w:p>
        </w:tc>
        <w:tc>
          <w:tcPr>
            <w:tcW w:type="dxa" w:w="152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.366</w:t>
            </w:r>
          </w:p>
        </w:tc>
        <w:tc>
          <w:tcPr>
            <w:tcW w:type="dxa" w:w="20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.130</w:t>
            </w:r>
          </w:p>
        </w:tc>
      </w:tr>
      <w:tr>
        <w:tc>
          <w:tcPr>
            <w:tcW w:type="dxa" w:w="20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Random Forest</w:t>
            </w:r>
          </w:p>
        </w:tc>
        <w:tc>
          <w:tcPr>
            <w:tcW w:type="dxa" w:w="83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.524</w:t>
            </w:r>
          </w:p>
        </w:tc>
        <w:tc>
          <w:tcPr>
            <w:tcW w:type="dxa" w:w="9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w:t>
            </w:r>
          </w:p>
        </w:tc>
        <w:tc>
          <w:tcPr>
            <w:tcW w:type="dxa" w:w="19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.755</w:t>
            </w:r>
          </w:p>
        </w:tc>
        <w:tc>
          <w:tcPr>
            <w:tcW w:type="dxa" w:w="152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.506</w:t>
            </w:r>
          </w:p>
        </w:tc>
        <w:tc>
          <w:tcPr>
            <w:tcW w:type="dxa" w:w="20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.155</w:t>
            </w:r>
          </w:p>
        </w:tc>
      </w:tr>
      <w:tr>
        <w:tc>
          <w:tcPr>
            <w:tcW w:type="dxa" w:w="20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Support Vector Regression</w:t>
            </w:r>
          </w:p>
        </w:tc>
        <w:tc>
          <w:tcPr>
            <w:tcW w:type="dxa" w:w="83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.621</w:t>
            </w:r>
          </w:p>
        </w:tc>
        <w:tc>
          <w:tcPr>
            <w:tcW w:type="dxa" w:w="9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.755</w:t>
            </w:r>
          </w:p>
        </w:tc>
        <w:tc>
          <w:tcPr>
            <w:tcW w:type="dxa" w:w="19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w:t>
            </w:r>
          </w:p>
        </w:tc>
        <w:tc>
          <w:tcPr>
            <w:tcW w:type="dxa" w:w="152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.913</w:t>
            </w:r>
          </w:p>
        </w:tc>
        <w:tc>
          <w:tcPr>
            <w:tcW w:type="dxa" w:w="20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.507</w:t>
            </w:r>
          </w:p>
        </w:tc>
      </w:tr>
      <w:tr>
        <w:tc>
          <w:tcPr>
            <w:tcW w:type="dxa" w:w="205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k-Nearest Neighbours</w:t>
            </w:r>
          </w:p>
        </w:tc>
        <w:tc>
          <w:tcPr>
            <w:tcW w:type="dxa" w:w="83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.366</w:t>
            </w:r>
          </w:p>
        </w:tc>
        <w:tc>
          <w:tcPr>
            <w:tcW w:type="dxa" w:w="98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.506</w:t>
            </w:r>
          </w:p>
        </w:tc>
        <w:tc>
          <w:tcPr>
            <w:tcW w:type="dxa" w:w="190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.913</w:t>
            </w:r>
          </w:p>
        </w:tc>
        <w:tc>
          <w:tcPr>
            <w:tcW w:type="dxa" w:w="152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w:t>
            </w:r>
          </w:p>
        </w:tc>
        <w:tc>
          <w:tcPr>
            <w:tcW w:type="dxa" w:w="20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.203</w:t>
            </w:r>
          </w:p>
        </w:tc>
      </w:tr>
      <w:tr>
        <w:tc>
          <w:tcPr>
            <w:tcW w:type="dxa" w:w="205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Climatology (training mean)</w:t>
            </w:r>
          </w:p>
        </w:tc>
        <w:tc>
          <w:tcPr>
            <w:tcW w:type="dxa" w:w="83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.130</w:t>
            </w:r>
          </w:p>
        </w:tc>
        <w:tc>
          <w:tcPr>
            <w:tcW w:type="dxa" w:w="98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.155</w:t>
            </w:r>
          </w:p>
        </w:tc>
        <w:tc>
          <w:tcPr>
            <w:tcW w:type="dxa" w:w="190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.507</w:t>
            </w:r>
          </w:p>
        </w:tc>
        <w:tc>
          <w:tcPr>
            <w:tcW w:type="dxa" w:w="152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.203</w:t>
            </w:r>
          </w:p>
        </w:tc>
        <w:tc>
          <w:tcPr>
            <w:tcW w:type="dxa" w:w="205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Cell entries are two-sided p values for the null hypothesis that the row and column models have equal forecast accuracy on the test partition. The test is paired on the absolute errors of the same sequences.</w:t>
      </w:r>
    </w:p>
    <w:p>
      <w:pPr>
        <w:sectPr>
          <w:pgSz w:w="12240" w:h="15840"/>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46</w:t>
      </w:r>
    </w:p>
    <w:p>
      <w:pPr>
        <w:spacing w:after="160"/>
      </w:pPr>
      <w:r>
        <w:rPr>
          <w:rFonts w:ascii="Times New Roman" w:hAnsi="Times New Roman" w:eastAsia="Times New Roman"/>
          <w:b w:val="0"/>
          <w:i/>
          <w:color w:val="000000"/>
          <w:sz w:val="24"/>
        </w:rPr>
        <w:t>Regression Performance Across the Three Partitions for the Two Headline Models</w:t>
      </w:r>
    </w:p>
    <w:tbl>
      <w:tblPr>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gridCol w:w="1080"/>
        <w:gridCol w:w="1080"/>
        <w:gridCol w:w="1080"/>
        <w:gridCol w:w="1080"/>
      </w:tblGrid>
      <w:tr>
        <w:trPr>
          <w:tblHeader w:val="true"/>
        </w:trPr>
        <w:tc>
          <w:tcPr>
            <w:tcW w:type="dxa" w:w="264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Model and partition</w:t>
            </w:r>
          </w:p>
        </w:tc>
        <w:tc>
          <w:tcPr>
            <w:tcW w:type="dxa" w:w="64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w:t>
            </w:r>
          </w:p>
        </w:tc>
        <w:tc>
          <w:tcPr>
            <w:tcW w:type="dxa" w:w="64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MSE</w:t>
            </w:r>
          </w:p>
        </w:tc>
        <w:tc>
          <w:tcPr>
            <w:tcW w:type="dxa" w:w="64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RMSE</w:t>
            </w:r>
          </w:p>
        </w:tc>
        <w:tc>
          <w:tcPr>
            <w:tcW w:type="dxa" w:w="64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MAE</w:t>
            </w:r>
          </w:p>
        </w:tc>
        <w:tc>
          <w:tcPr>
            <w:tcW w:type="dxa" w:w="81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MAPE (%)</w:t>
            </w:r>
          </w:p>
        </w:tc>
        <w:tc>
          <w:tcPr>
            <w:tcW w:type="dxa" w:w="64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R²</w:t>
            </w:r>
          </w:p>
        </w:tc>
        <w:tc>
          <w:tcPr>
            <w:tcW w:type="dxa" w:w="101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Bias (ME)</w:t>
            </w:r>
          </w:p>
        </w:tc>
        <w:tc>
          <w:tcPr>
            <w:tcW w:type="dxa" w:w="111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Max |error|</w:t>
            </w:r>
          </w:p>
        </w:tc>
        <w:tc>
          <w:tcPr>
            <w:tcW w:type="dxa" w:w="132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 within ±0.3</w:t>
            </w:r>
          </w:p>
        </w:tc>
        <w:tc>
          <w:tcPr>
            <w:tcW w:type="dxa" w:w="132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 within ±0.5</w:t>
            </w:r>
          </w:p>
        </w:tc>
        <w:tc>
          <w:tcPr>
            <w:tcW w:type="dxa" w:w="1525"/>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95% CI for RMSE</w:t>
            </w:r>
          </w:p>
        </w:tc>
      </w:tr>
      <w:tr>
        <w:tc>
          <w:tcPr>
            <w:tcW w:type="dxa" w:w="264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Random Forest — training</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0.024</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0.155</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0.119</w:t>
            </w:r>
          </w:p>
        </w:tc>
        <w:tc>
          <w:tcPr>
            <w:tcW w:type="dxa" w:w="8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2.069</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0.909</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-4.624e-04</w:t>
            </w:r>
          </w:p>
        </w:tc>
        <w:tc>
          <w:tcPr>
            <w:tcW w:type="dxa" w:w="11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0.585</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93.000</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99.000</w:t>
            </w:r>
          </w:p>
        </w:tc>
        <w:tc>
          <w:tcPr>
            <w:tcW w:type="dxa" w:w="1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[0.127, 0.186]</w:t>
            </w:r>
          </w:p>
        </w:tc>
      </w:tr>
      <w:tr>
        <w:tc>
          <w:tcPr>
            <w:tcW w:type="dxa" w:w="264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Random Forest — validation</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0.175</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0.419</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0.332</w:t>
            </w:r>
          </w:p>
        </w:tc>
        <w:tc>
          <w:tcPr>
            <w:tcW w:type="dxa" w:w="8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5.694</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0.256</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-0.156</w:t>
            </w:r>
          </w:p>
        </w:tc>
        <w:tc>
          <w:tcPr>
            <w:tcW w:type="dxa" w:w="11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1.025</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54.545</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75.758</w:t>
            </w:r>
          </w:p>
        </w:tc>
        <w:tc>
          <w:tcPr>
            <w:tcW w:type="dxa" w:w="1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[0.319, 0.511]</w:t>
            </w:r>
          </w:p>
        </w:tc>
      </w:tr>
      <w:tr>
        <w:tc>
          <w:tcPr>
            <w:tcW w:type="dxa" w:w="264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Random Forest — test</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0.356</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0.596</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0.425</w:t>
            </w:r>
          </w:p>
        </w:tc>
        <w:tc>
          <w:tcPr>
            <w:tcW w:type="dxa" w:w="8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7.080</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-0.035</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-0.167</w:t>
            </w:r>
          </w:p>
        </w:tc>
        <w:tc>
          <w:tcPr>
            <w:tcW w:type="dxa" w:w="11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1.689</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51.515</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75.758</w:t>
            </w:r>
          </w:p>
        </w:tc>
        <w:tc>
          <w:tcPr>
            <w:tcW w:type="dxa" w:w="1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[0.393, 0.777]</w:t>
            </w:r>
          </w:p>
        </w:tc>
      </w:tr>
      <w:tr>
        <w:tc>
          <w:tcPr>
            <w:tcW w:type="dxa" w:w="264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LSTM — training</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100</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0.272</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0.522</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0.390</w:t>
            </w:r>
          </w:p>
        </w:tc>
        <w:tc>
          <w:tcPr>
            <w:tcW w:type="dxa" w:w="8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6.792</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-0.022</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-0.019</w:t>
            </w:r>
          </w:p>
        </w:tc>
        <w:tc>
          <w:tcPr>
            <w:tcW w:type="dxa" w:w="11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1.769</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44.000</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76.000</w:t>
            </w:r>
          </w:p>
        </w:tc>
        <w:tc>
          <w:tcPr>
            <w:tcW w:type="dxa" w:w="1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[0.420, 0.625]</w:t>
            </w:r>
          </w:p>
        </w:tc>
      </w:tr>
      <w:tr>
        <w:tc>
          <w:tcPr>
            <w:tcW w:type="dxa" w:w="264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LSTM — validation</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0.216</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0.465</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0.385</w:t>
            </w:r>
          </w:p>
        </w:tc>
        <w:tc>
          <w:tcPr>
            <w:tcW w:type="dxa" w:w="81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6.664</w:t>
            </w:r>
          </w:p>
        </w:tc>
        <w:tc>
          <w:tcPr>
            <w:tcW w:type="dxa" w:w="6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0.082</w:t>
            </w:r>
          </w:p>
        </w:tc>
        <w:tc>
          <w:tcPr>
            <w:tcW w:type="dxa" w:w="101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-0.095</w:t>
            </w:r>
          </w:p>
        </w:tc>
        <w:tc>
          <w:tcPr>
            <w:tcW w:type="dxa" w:w="111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1.041</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42.424</w:t>
            </w:r>
          </w:p>
        </w:tc>
        <w:tc>
          <w:tcPr>
            <w:tcW w:type="dxa" w:w="132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72.727</w:t>
            </w:r>
          </w:p>
        </w:tc>
        <w:tc>
          <w:tcPr>
            <w:tcW w:type="dxa" w:w="152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[0.360, 0.562]</w:t>
            </w:r>
          </w:p>
        </w:tc>
      </w:tr>
      <w:tr>
        <w:tc>
          <w:tcPr>
            <w:tcW w:type="dxa" w:w="264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LSTM — test</w:t>
            </w:r>
          </w:p>
        </w:tc>
        <w:tc>
          <w:tcPr>
            <w:tcW w:type="dxa" w:w="64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33</w:t>
            </w:r>
          </w:p>
        </w:tc>
        <w:tc>
          <w:tcPr>
            <w:tcW w:type="dxa" w:w="64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0.371</w:t>
            </w:r>
          </w:p>
        </w:tc>
        <w:tc>
          <w:tcPr>
            <w:tcW w:type="dxa" w:w="64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0.609</w:t>
            </w:r>
          </w:p>
        </w:tc>
        <w:tc>
          <w:tcPr>
            <w:tcW w:type="dxa" w:w="64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0.486</w:t>
            </w:r>
          </w:p>
        </w:tc>
        <w:tc>
          <w:tcPr>
            <w:tcW w:type="dxa" w:w="81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8.324</w:t>
            </w:r>
          </w:p>
        </w:tc>
        <w:tc>
          <w:tcPr>
            <w:tcW w:type="dxa" w:w="64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-0.081</w:t>
            </w:r>
          </w:p>
        </w:tc>
        <w:tc>
          <w:tcPr>
            <w:tcW w:type="dxa" w:w="101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-0.082</w:t>
            </w:r>
          </w:p>
        </w:tc>
        <w:tc>
          <w:tcPr>
            <w:tcW w:type="dxa" w:w="111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1.587</w:t>
            </w:r>
          </w:p>
        </w:tc>
        <w:tc>
          <w:tcPr>
            <w:tcW w:type="dxa" w:w="132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33.333</w:t>
            </w:r>
          </w:p>
        </w:tc>
        <w:tc>
          <w:tcPr>
            <w:tcW w:type="dxa" w:w="132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60.606</w:t>
            </w:r>
          </w:p>
        </w:tc>
        <w:tc>
          <w:tcPr>
            <w:tcW w:type="dxa" w:w="152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[0.447, 0.761]</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Both models here are fitted on the training partition alone, so the gap between training and test error is each model's optimism; a large gap indicates overfitting. Confidence intervals are percentile bootstrap intervals over 2,000 resamples. MSE, RMSE and MAE are in magnitude units.</w:t>
      </w:r>
    </w:p>
    <w:p>
      <w:pPr>
        <w:sectPr>
          <w:pgSz w:w="15840" w:h="12240" w:orient="landscape"/>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47</w:t>
      </w:r>
    </w:p>
    <w:p>
      <w:pPr>
        <w:spacing w:after="160"/>
      </w:pPr>
      <w:r>
        <w:rPr>
          <w:rFonts w:ascii="Times New Roman" w:hAnsi="Times New Roman" w:eastAsia="Times New Roman"/>
          <w:b w:val="0"/>
          <w:i/>
          <w:color w:val="000000"/>
          <w:sz w:val="24"/>
        </w:rPr>
        <w:t>Check That the Forecasts Respect the Largest Foreshock</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305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Model</w:t>
            </w:r>
          </w:p>
        </w:tc>
        <w:tc>
          <w:tcPr>
            <w:tcW w:type="dxa" w:w="1206"/>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RMSE as published</w:t>
            </w:r>
          </w:p>
        </w:tc>
        <w:tc>
          <w:tcPr>
            <w:tcW w:type="dxa" w:w="298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RMSE with a floor at the largest foreshock</w:t>
            </w:r>
          </w:p>
        </w:tc>
        <w:tc>
          <w:tcPr>
            <w:tcW w:type="dxa" w:w="63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Change</w:t>
            </w:r>
          </w:p>
        </w:tc>
        <w:tc>
          <w:tcPr>
            <w:tcW w:type="dxa" w:w="149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 of forecasts raised</w:t>
            </w:r>
          </w:p>
        </w:tc>
      </w:tr>
      <w:tr>
        <w:tc>
          <w:tcPr>
            <w:tcW w:type="dxa" w:w="3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Extra Trees</w:t>
            </w:r>
          </w:p>
        </w:tc>
        <w:tc>
          <w:tcPr>
            <w:tcW w:type="dxa" w:w="120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0.555</w:t>
            </w:r>
          </w:p>
        </w:tc>
        <w:tc>
          <w:tcPr>
            <w:tcW w:type="dxa" w:w="29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0.555</w:t>
            </w:r>
          </w:p>
        </w:tc>
        <w:tc>
          <w:tcPr>
            <w:tcW w:type="dxa" w:w="6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c>
          <w:tcPr>
            <w:tcW w:type="dxa" w:w="149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r>
      <w:tr>
        <w:tc>
          <w:tcPr>
            <w:tcW w:type="dxa" w:w="3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Random Forest</w:t>
            </w:r>
          </w:p>
        </w:tc>
        <w:tc>
          <w:tcPr>
            <w:tcW w:type="dxa" w:w="120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0.569</w:t>
            </w:r>
          </w:p>
        </w:tc>
        <w:tc>
          <w:tcPr>
            <w:tcW w:type="dxa" w:w="29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0.569</w:t>
            </w:r>
          </w:p>
        </w:tc>
        <w:tc>
          <w:tcPr>
            <w:tcW w:type="dxa" w:w="6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c>
          <w:tcPr>
            <w:tcW w:type="dxa" w:w="149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r>
      <w:tr>
        <w:tc>
          <w:tcPr>
            <w:tcW w:type="dxa" w:w="3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Support Vector Regression</w:t>
            </w:r>
          </w:p>
        </w:tc>
        <w:tc>
          <w:tcPr>
            <w:tcW w:type="dxa" w:w="120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0.571</w:t>
            </w:r>
          </w:p>
        </w:tc>
        <w:tc>
          <w:tcPr>
            <w:tcW w:type="dxa" w:w="29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0.571</w:t>
            </w:r>
          </w:p>
        </w:tc>
        <w:tc>
          <w:tcPr>
            <w:tcW w:type="dxa" w:w="6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c>
          <w:tcPr>
            <w:tcW w:type="dxa" w:w="149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r>
      <w:tr>
        <w:tc>
          <w:tcPr>
            <w:tcW w:type="dxa" w:w="305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k-Nearest Neighbours</w:t>
            </w:r>
          </w:p>
        </w:tc>
        <w:tc>
          <w:tcPr>
            <w:tcW w:type="dxa" w:w="1206"/>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0.589</w:t>
            </w:r>
          </w:p>
        </w:tc>
        <w:tc>
          <w:tcPr>
            <w:tcW w:type="dxa" w:w="29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0.584</w:t>
            </w:r>
          </w:p>
        </w:tc>
        <w:tc>
          <w:tcPr>
            <w:tcW w:type="dxa" w:w="63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-0.005</w:t>
            </w:r>
          </w:p>
        </w:tc>
        <w:tc>
          <w:tcPr>
            <w:tcW w:type="dxa" w:w="149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3.030</w:t>
            </w:r>
          </w:p>
        </w:tc>
      </w:tr>
      <w:tr>
        <w:tc>
          <w:tcPr>
            <w:tcW w:type="dxa" w:w="305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Rule: forecast the largest foreshock itself</w:t>
            </w:r>
          </w:p>
        </w:tc>
        <w:tc>
          <w:tcPr>
            <w:tcW w:type="dxa" w:w="1206"/>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298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1.047</w:t>
            </w:r>
          </w:p>
        </w:tc>
        <w:tc>
          <w:tcPr>
            <w:tcW w:type="dxa" w:w="63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149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Every forecast below the largest event in its own window is replaced by that event's magnitude and the partition is re-scored. With the mainshock-is-largest rule in force the correction barely moves any model, which is the test that the forecasts are already consistent with the definition rather than merely assumed to be. The final row forecasts the largest foreshock itself, with no model at all.</w:t>
      </w:r>
    </w:p>
    <w:p>
      <w:r>
        <w:br w:type="page"/>
      </w:r>
    </w:p>
    <w:p>
      <w:pPr>
        <w:spacing w:after="0"/>
      </w:pPr>
      <w:r>
        <w:rPr>
          <w:rFonts w:ascii="Times New Roman" w:hAnsi="Times New Roman" w:eastAsia="Times New Roman"/>
          <w:b/>
          <w:i w:val="0"/>
          <w:color w:val="000000"/>
          <w:sz w:val="24"/>
        </w:rPr>
        <w:t>Table 48</w:t>
      </w:r>
    </w:p>
    <w:p>
      <w:pPr>
        <w:spacing w:after="160"/>
      </w:pPr>
      <w:r>
        <w:rPr>
          <w:rFonts w:ascii="Times New Roman" w:hAnsi="Times New Roman" w:eastAsia="Times New Roman"/>
          <w:b w:val="0"/>
          <w:i/>
          <w:color w:val="000000"/>
          <w:sz w:val="24"/>
        </w:rPr>
        <w:t>Training Outcome of the Three Sequence Networks</w:t>
      </w:r>
    </w:p>
    <w:tbl>
      <w:tblPr>
        <w:tblW w:type="auto" w:w="0"/>
        <w:jc w:val="center"/>
        <w:tblLayout w:type="fixed"/>
        <w:tblLook w:firstColumn="1" w:firstRow="1" w:lastColumn="0" w:lastRow="0" w:noHBand="0" w:noVBand="1" w:val="04A0"/>
        <w:tblLayout w:type="fixed"/>
      </w:tblPr>
      <w:tblGrid>
        <w:gridCol w:w="2340"/>
        <w:gridCol w:w="2340"/>
        <w:gridCol w:w="2340"/>
        <w:gridCol w:w="2340"/>
      </w:tblGrid>
      <w:tr>
        <w:trPr>
          <w:tblHeader w:val="true"/>
        </w:trPr>
        <w:tc>
          <w:tcPr>
            <w:tcW w:type="dxa" w:w="3047"/>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Setting</w:t>
            </w:r>
          </w:p>
        </w:tc>
        <w:tc>
          <w:tcPr>
            <w:tcW w:type="dxa" w:w="206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LSTM</w:t>
            </w:r>
          </w:p>
        </w:tc>
        <w:tc>
          <w:tcPr>
            <w:tcW w:type="dxa" w:w="206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GRU</w:t>
            </w:r>
          </w:p>
        </w:tc>
        <w:tc>
          <w:tcPr>
            <w:tcW w:type="dxa" w:w="2177"/>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1D-CNN</w:t>
            </w:r>
          </w:p>
        </w:tc>
      </w:tr>
      <w:tr>
        <w:tc>
          <w:tcPr>
            <w:tcW w:type="dxa" w:w="30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Deep-learning backend in use</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numpy</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numpy</w:t>
            </w:r>
          </w:p>
        </w:tc>
        <w:tc>
          <w:tcPr>
            <w:tcW w:type="dxa" w:w="21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numpy</w:t>
            </w:r>
          </w:p>
        </w:tc>
      </w:tr>
      <w:tr>
        <w:tc>
          <w:tcPr>
            <w:tcW w:type="dxa" w:w="30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Architecture</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32 units</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32 units</w:t>
            </w:r>
          </w:p>
        </w:tc>
        <w:tc>
          <w:tcPr>
            <w:tcW w:type="dxa" w:w="21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24 filters, kernel 3</w:t>
            </w:r>
          </w:p>
        </w:tc>
      </w:tr>
      <w:tr>
        <w:tc>
          <w:tcPr>
            <w:tcW w:type="dxa" w:w="30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Trainable parameters</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4,897</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3,681</w:t>
            </w:r>
          </w:p>
        </w:tc>
        <w:tc>
          <w:tcPr>
            <w:tcW w:type="dxa" w:w="21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409</w:t>
            </w:r>
          </w:p>
        </w:tc>
      </w:tr>
      <w:tr>
        <w:tc>
          <w:tcPr>
            <w:tcW w:type="dxa" w:w="30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Epochs run (of 300 max)</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51</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53</w:t>
            </w:r>
          </w:p>
        </w:tc>
        <w:tc>
          <w:tcPr>
            <w:tcW w:type="dxa" w:w="21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60</w:t>
            </w:r>
          </w:p>
        </w:tc>
      </w:tr>
      <w:tr>
        <w:tc>
          <w:tcPr>
            <w:tcW w:type="dxa" w:w="30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Best validation MSE</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0.3381</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0.3459</w:t>
            </w:r>
          </w:p>
        </w:tc>
        <w:tc>
          <w:tcPr>
            <w:tcW w:type="dxa" w:w="21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0.7079</w:t>
            </w:r>
          </w:p>
        </w:tc>
      </w:tr>
      <w:tr>
        <w:tc>
          <w:tcPr>
            <w:tcW w:type="dxa" w:w="30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Optimiser</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Adam (lr = 0.01)</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Adam (lr = 0.01)</w:t>
            </w:r>
          </w:p>
        </w:tc>
        <w:tc>
          <w:tcPr>
            <w:tcW w:type="dxa" w:w="21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Adam (lr = 0.01)</w:t>
            </w:r>
          </w:p>
        </w:tc>
      </w:tr>
      <w:tr>
        <w:tc>
          <w:tcPr>
            <w:tcW w:type="dxa" w:w="304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Early stopping</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patience 40</w:t>
            </w:r>
          </w:p>
        </w:tc>
        <w:tc>
          <w:tcPr>
            <w:tcW w:type="dxa" w:w="206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patience 40</w:t>
            </w:r>
          </w:p>
        </w:tc>
        <w:tc>
          <w:tcPr>
            <w:tcW w:type="dxa" w:w="2177"/>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patience 40</w:t>
            </w:r>
          </w:p>
        </w:tc>
      </w:tr>
      <w:tr>
        <w:tc>
          <w:tcPr>
            <w:tcW w:type="dxa" w:w="304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Input</w:t>
            </w:r>
          </w:p>
        </w:tc>
        <w:tc>
          <w:tcPr>
            <w:tcW w:type="dxa" w:w="206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10 × 5 event stream</w:t>
            </w:r>
          </w:p>
        </w:tc>
        <w:tc>
          <w:tcPr>
            <w:tcW w:type="dxa" w:w="206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10 × 5 event stream</w:t>
            </w:r>
          </w:p>
        </w:tc>
        <w:tc>
          <w:tcPr>
            <w:tcW w:type="dxa" w:w="2177"/>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10 × 5 event stream</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All three networks share the optimiser, the early-stopping rule and the input tensor, so the comparison isolates the architecture. The GRU carries roughly a quarter fewer parameters than the LSTM; the convolutional net has no recurrence at all, and including it tests whether the task actually requires a memory of the sequence.</w:t>
      </w:r>
    </w:p>
    <w:p>
      <w:r>
        <w:br w:type="page"/>
      </w:r>
    </w:p>
    <w:p>
      <w:pPr>
        <w:spacing w:after="0"/>
      </w:pPr>
      <w:r>
        <w:rPr>
          <w:rFonts w:ascii="Times New Roman" w:hAnsi="Times New Roman" w:eastAsia="Times New Roman"/>
          <w:b/>
          <w:i w:val="0"/>
          <w:color w:val="000000"/>
          <w:sz w:val="24"/>
        </w:rPr>
        <w:t>Table 49</w:t>
      </w:r>
    </w:p>
    <w:p>
      <w:pPr>
        <w:spacing w:after="160"/>
      </w:pPr>
      <w:r>
        <w:rPr>
          <w:rFonts w:ascii="Times New Roman" w:hAnsi="Times New Roman" w:eastAsia="Times New Roman"/>
          <w:b w:val="0"/>
          <w:i/>
          <w:color w:val="000000"/>
          <w:sz w:val="24"/>
        </w:rPr>
        <w:t>Statistical Comparison of the Two Headline Models on the Test Partition</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239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Comparison</w:t>
            </w:r>
          </w:p>
        </w:tc>
        <w:tc>
          <w:tcPr>
            <w:tcW w:type="dxa" w:w="272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Statistic</w:t>
            </w:r>
          </w:p>
        </w:tc>
        <w:tc>
          <w:tcPr>
            <w:tcW w:type="dxa" w:w="87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Value</w:t>
            </w:r>
          </w:p>
        </w:tc>
        <w:tc>
          <w:tcPr>
            <w:tcW w:type="dxa" w:w="653"/>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w:t>
            </w:r>
          </w:p>
        </w:tc>
        <w:tc>
          <w:tcPr>
            <w:tcW w:type="dxa" w:w="2721"/>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Interpretation</w:t>
            </w:r>
          </w:p>
        </w:tc>
      </w:tr>
      <w:tr>
        <w:tc>
          <w:tcPr>
            <w:tcW w:type="dxa" w:w="23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Random Forest vs. LSTM</w:t>
            </w:r>
          </w:p>
        </w:tc>
        <w:tc>
          <w:tcPr>
            <w:tcW w:type="dxa" w:w="272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Mean |error| difference</w:t>
            </w:r>
          </w:p>
        </w:tc>
        <w:tc>
          <w:tcPr>
            <w:tcW w:type="dxa" w:w="8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-0.0836</w:t>
            </w:r>
          </w:p>
        </w:tc>
        <w:tc>
          <w:tcPr>
            <w:tcW w:type="dxa" w:w="65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272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positive favours LSTM</w:t>
            </w:r>
          </w:p>
        </w:tc>
      </w:tr>
      <w:tr>
        <w:tc>
          <w:tcPr>
            <w:tcW w:type="dxa" w:w="23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c>
          <w:tcPr>
            <w:tcW w:type="dxa" w:w="272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Paired t</w:t>
            </w:r>
          </w:p>
        </w:tc>
        <w:tc>
          <w:tcPr>
            <w:tcW w:type="dxa" w:w="8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-1.7866</w:t>
            </w:r>
          </w:p>
        </w:tc>
        <w:tc>
          <w:tcPr>
            <w:tcW w:type="dxa" w:w="65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.083</w:t>
            </w:r>
          </w:p>
        </w:tc>
        <w:tc>
          <w:tcPr>
            <w:tcW w:type="dxa" w:w="272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Not significant</w:t>
            </w:r>
          </w:p>
        </w:tc>
      </w:tr>
      <w:tr>
        <w:tc>
          <w:tcPr>
            <w:tcW w:type="dxa" w:w="23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c>
          <w:tcPr>
            <w:tcW w:type="dxa" w:w="272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Wilcoxon signed-rank W</w:t>
            </w:r>
          </w:p>
        </w:tc>
        <w:tc>
          <w:tcPr>
            <w:tcW w:type="dxa" w:w="8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183.0000</w:t>
            </w:r>
          </w:p>
        </w:tc>
        <w:tc>
          <w:tcPr>
            <w:tcW w:type="dxa" w:w="65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.083</w:t>
            </w:r>
          </w:p>
        </w:tc>
        <w:tc>
          <w:tcPr>
            <w:tcW w:type="dxa" w:w="272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Not significant</w:t>
            </w:r>
          </w:p>
        </w:tc>
      </w:tr>
      <w:tr>
        <w:tc>
          <w:tcPr>
            <w:tcW w:type="dxa" w:w="23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r>
          </w:p>
        </w:tc>
        <w:tc>
          <w:tcPr>
            <w:tcW w:type="dxa" w:w="272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Diebold–Mariano DM</w:t>
            </w:r>
          </w:p>
        </w:tc>
        <w:tc>
          <w:tcPr>
            <w:tcW w:type="dxa" w:w="87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-1.7866</w:t>
            </w:r>
          </w:p>
        </w:tc>
        <w:tc>
          <w:tcPr>
            <w:tcW w:type="dxa" w:w="653"/>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.074</w:t>
            </w:r>
          </w:p>
        </w:tc>
        <w:tc>
          <w:tcPr>
            <w:tcW w:type="dxa" w:w="2721"/>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Not significant</w:t>
            </w:r>
          </w:p>
        </w:tc>
      </w:tr>
      <w:tr>
        <w:tc>
          <w:tcPr>
            <w:tcW w:type="dxa" w:w="239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r>
          </w:p>
        </w:tc>
        <w:tc>
          <w:tcPr>
            <w:tcW w:type="dxa" w:w="272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Cohen's d (paired errors)</w:t>
            </w:r>
          </w:p>
        </w:tc>
        <w:tc>
          <w:tcPr>
            <w:tcW w:type="dxa" w:w="87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-0.2282</w:t>
            </w:r>
          </w:p>
        </w:tc>
        <w:tc>
          <w:tcPr>
            <w:tcW w:type="dxa" w:w="653"/>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w:t>
            </w:r>
          </w:p>
        </w:tc>
        <w:tc>
          <w:tcPr>
            <w:tcW w:type="dxa" w:w="2721"/>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No significant difference</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Tests are paired on the absolute errors of the same test sequences. Diebold–Mariano is the standard forecast-comparison test; the Wilcoxon signed-rank test is reported because the loss differentials are not normal.</w:t>
      </w:r>
    </w:p>
    <w:p>
      <w:r>
        <w:br w:type="page"/>
      </w:r>
    </w:p>
    <w:p>
      <w:pPr>
        <w:spacing w:after="0"/>
      </w:pPr>
      <w:r>
        <w:rPr>
          <w:rFonts w:ascii="Times New Roman" w:hAnsi="Times New Roman" w:eastAsia="Times New Roman"/>
          <w:b/>
          <w:i w:val="0"/>
          <w:color w:val="000000"/>
          <w:sz w:val="24"/>
        </w:rPr>
        <w:t>Table 50</w:t>
      </w:r>
    </w:p>
    <w:p>
      <w:pPr>
        <w:spacing w:after="160"/>
      </w:pPr>
      <w:r>
        <w:rPr>
          <w:rFonts w:ascii="Times New Roman" w:hAnsi="Times New Roman" w:eastAsia="Times New Roman"/>
          <w:b w:val="0"/>
          <w:i/>
          <w:color w:val="000000"/>
          <w:sz w:val="24"/>
        </w:rPr>
        <w:t>Random Forest Feature Importance for Mainshock Magnitude</w:t>
      </w:r>
    </w:p>
    <w:tbl>
      <w:tblPr>
        <w:tblW w:type="auto" w:w="0"/>
        <w:jc w:val="center"/>
        <w:tblLayout w:type="fixed"/>
        <w:tblLook w:firstColumn="1" w:firstRow="1" w:lastColumn="0" w:lastRow="0" w:noHBand="0" w:noVBand="1" w:val="04A0"/>
        <w:tblLayout w:type="fixed"/>
      </w:tblPr>
      <w:tblGrid>
        <w:gridCol w:w="1560"/>
        <w:gridCol w:w="1560"/>
        <w:gridCol w:w="1560"/>
        <w:gridCol w:w="1560"/>
        <w:gridCol w:w="1560"/>
        <w:gridCol w:w="1560"/>
      </w:tblGrid>
      <w:tr>
        <w:trPr>
          <w:tblHeader w:val="true"/>
        </w:trPr>
        <w:tc>
          <w:tcPr>
            <w:tcW w:type="dxa" w:w="64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Rank</w:t>
            </w:r>
          </w:p>
        </w:tc>
        <w:tc>
          <w:tcPr>
            <w:tcW w:type="dxa" w:w="99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8"/>
              </w:rPr>
              <w:t>Feature</w:t>
            </w:r>
          </w:p>
        </w:tc>
        <w:tc>
          <w:tcPr>
            <w:tcW w:type="dxa" w:w="188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Impurity importance</w:t>
            </w:r>
          </w:p>
        </w:tc>
        <w:tc>
          <w:tcPr>
            <w:tcW w:type="dxa" w:w="217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Permutation importance</w:t>
            </w:r>
          </w:p>
        </w:tc>
        <w:tc>
          <w:tcPr>
            <w:tcW w:type="dxa" w:w="158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SD (permutation)</w:t>
            </w:r>
          </w:p>
        </w:tc>
        <w:tc>
          <w:tcPr>
            <w:tcW w:type="dxa" w:w="208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8"/>
              </w:rPr>
              <w:t>Cumulative impurity %</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T_elaps7</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0.0392</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0.0374</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0.0337</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3.9168</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Energy</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0.1047</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0.0283</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0.0262</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14.3860</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Mag_mean</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0.0344</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0.0277</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0.0113</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17.8260</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Dist_mean</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0.0313</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0.0142</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0.0130</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20.9522</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T_elaps75</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0.0201</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0.0105</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0.0145</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22.9631</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T_elaps6</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0.0568</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0.0093</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0.0060</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28.6407</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zvalue</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0.0221</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0.0070</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0.0040</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30.8522</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Mag_max</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0.1388</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0.0069</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0.0438</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44.7367</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dM_mlk</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0.0417</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0.0066</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0.0101</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48.9033</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10</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b_lsq</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0.0198</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0.0039</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0.0047</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50.8784</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11</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x7_lsq</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0.0223</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0.0032</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0.0055</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53.1108</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12</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NO</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0.0212</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0.0025</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0.0043</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55.2302</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13</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T_elaps65</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0.0424</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0.0024</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0.0066</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59.4673</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14</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Dist_wmean</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0.0401</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0.0023</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0.0154</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63.4743</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15</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a_lsq</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0.0230</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0.0012</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0.0057</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65.7735</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16</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beta</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0.0239</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0.0007</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0.0104</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68.1624</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17</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Dist_min</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0.0205</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-0.0002</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0.0062</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70.2106</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18</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b_std_lsq</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0.0220</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-0.0041</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0.0037</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72.4096</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19</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Dist_trend</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0.0265</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-0.0056</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0.0070</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75.0601</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20</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x7_mlk</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0.0263</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-0.0061</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0.0050</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77.6917</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21</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b_mlk</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0.0256</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-0.0068</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0.0053</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80.2534</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22</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b_std_mlk</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0.0508</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-0.0073</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0.0094</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85.3360</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23</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std_gr_lsq</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0.0204</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-0.0076</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0.0052</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87.3775</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24</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a_mlk</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0.0187</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-0.0082</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0.0073</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89.2509</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25</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dM_lsq</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0.0383</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-0.0085</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0.0086</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93.0791</w:t>
            </w:r>
          </w:p>
        </w:tc>
      </w:tr>
      <w:tr>
        <w:tc>
          <w:tcPr>
            <w:tcW w:type="dxa" w:w="64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26</w:t>
            </w:r>
          </w:p>
        </w:tc>
        <w:tc>
          <w:tcPr>
            <w:tcW w:type="dxa" w:w="99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8"/>
              </w:rPr>
              <w:t>std_gr_mlk</w:t>
            </w:r>
          </w:p>
        </w:tc>
        <w:tc>
          <w:tcPr>
            <w:tcW w:type="dxa" w:w="188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0.0244</w:t>
            </w:r>
          </w:p>
        </w:tc>
        <w:tc>
          <w:tcPr>
            <w:tcW w:type="dxa" w:w="21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-0.0090</w:t>
            </w:r>
          </w:p>
        </w:tc>
        <w:tc>
          <w:tcPr>
            <w:tcW w:type="dxa" w:w="158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0.0065</w:t>
            </w:r>
          </w:p>
        </w:tc>
        <w:tc>
          <w:tcPr>
            <w:tcW w:type="dxa" w:w="2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8"/>
              </w:rPr>
              <w:t>95.5240</w:t>
            </w:r>
          </w:p>
        </w:tc>
      </w:tr>
      <w:tr>
        <w:tc>
          <w:tcPr>
            <w:tcW w:type="dxa" w:w="64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27</w:t>
            </w:r>
          </w:p>
        </w:tc>
        <w:tc>
          <w:tcPr>
            <w:tcW w:type="dxa" w:w="99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8"/>
              </w:rPr>
              <w:t>Dist_std</w:t>
            </w:r>
          </w:p>
        </w:tc>
        <w:tc>
          <w:tcPr>
            <w:tcW w:type="dxa" w:w="188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0.0448</w:t>
            </w:r>
          </w:p>
        </w:tc>
        <w:tc>
          <w:tcPr>
            <w:tcW w:type="dxa" w:w="217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-0.0339</w:t>
            </w:r>
          </w:p>
        </w:tc>
        <w:tc>
          <w:tcPr>
            <w:tcW w:type="dxa" w:w="158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0.0316</w:t>
            </w:r>
          </w:p>
        </w:tc>
        <w:tc>
          <w:tcPr>
            <w:tcW w:type="dxa" w:w="208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8"/>
              </w:rPr>
              <w:t>100.0000</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Impurity importance is the model's built-in metric and is biased toward high-cardinality continuous features. Permutation importance is measured on the held-out test partition and is the more trustworthy ranking; it reports the increase in error when a feature is randomly shuffled.</w:t>
      </w:r>
    </w:p>
    <w:p>
      <w:r>
        <w:br w:type="page"/>
      </w:r>
    </w:p>
    <w:p>
      <w:pPr>
        <w:spacing w:after="0"/>
      </w:pPr>
      <w:r>
        <w:rPr>
          <w:rFonts w:ascii="Times New Roman" w:hAnsi="Times New Roman" w:eastAsia="Times New Roman"/>
          <w:b/>
          <w:i w:val="0"/>
          <w:color w:val="000000"/>
          <w:sz w:val="24"/>
        </w:rPr>
        <w:t>Table 51</w:t>
      </w:r>
    </w:p>
    <w:p>
      <w:pPr>
        <w:spacing w:after="160"/>
      </w:pPr>
      <w:r>
        <w:rPr>
          <w:rFonts w:ascii="Times New Roman" w:hAnsi="Times New Roman" w:eastAsia="Times New Roman"/>
          <w:b w:val="0"/>
          <w:i/>
          <w:color w:val="000000"/>
          <w:sz w:val="24"/>
        </w:rPr>
        <w:t>Confusion Matrix for Magnitude-Class Forecasts on the Test Partition</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2188"/>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Actual class</w:t>
            </w:r>
          </w:p>
        </w:tc>
        <w:tc>
          <w:tcPr>
            <w:tcW w:type="dxa" w:w="218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Moderate (5.0-5.9)</w:t>
            </w:r>
          </w:p>
        </w:tc>
        <w:tc>
          <w:tcPr>
            <w:tcW w:type="dxa" w:w="194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Strong (6.0-6.9)</w:t>
            </w:r>
          </w:p>
        </w:tc>
        <w:tc>
          <w:tcPr>
            <w:tcW w:type="dxa" w:w="158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Major (&gt;=7.0)</w:t>
            </w:r>
          </w:p>
        </w:tc>
        <w:tc>
          <w:tcPr>
            <w:tcW w:type="dxa" w:w="145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Total actual</w:t>
            </w:r>
          </w:p>
        </w:tc>
      </w:tr>
      <w:tr>
        <w:tc>
          <w:tcPr>
            <w:tcW w:type="dxa" w:w="21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Moderate (5.0-5.9)</w:t>
            </w:r>
          </w:p>
        </w:tc>
        <w:tc>
          <w:tcPr>
            <w:tcW w:type="dxa" w:w="21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23 (92.0%)</w:t>
            </w:r>
          </w:p>
        </w:tc>
        <w:tc>
          <w:tcPr>
            <w:tcW w:type="dxa" w:w="194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2 (8.0%)</w:t>
            </w:r>
          </w:p>
        </w:tc>
        <w:tc>
          <w:tcPr>
            <w:tcW w:type="dxa" w:w="15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 (0.0%)</w:t>
            </w:r>
          </w:p>
        </w:tc>
        <w:tc>
          <w:tcPr>
            <w:tcW w:type="dxa" w:w="145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25</w:t>
            </w:r>
          </w:p>
        </w:tc>
      </w:tr>
      <w:tr>
        <w:tc>
          <w:tcPr>
            <w:tcW w:type="dxa" w:w="21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Strong (6.0-6.9)</w:t>
            </w:r>
          </w:p>
        </w:tc>
        <w:tc>
          <w:tcPr>
            <w:tcW w:type="dxa" w:w="2188"/>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5 (83.3%)</w:t>
            </w:r>
          </w:p>
        </w:tc>
        <w:tc>
          <w:tcPr>
            <w:tcW w:type="dxa" w:w="1945"/>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1 (16.7%)</w:t>
            </w:r>
          </w:p>
        </w:tc>
        <w:tc>
          <w:tcPr>
            <w:tcW w:type="dxa" w:w="15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 (0.0%)</w:t>
            </w:r>
          </w:p>
        </w:tc>
        <w:tc>
          <w:tcPr>
            <w:tcW w:type="dxa" w:w="145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w:t>
            </w:r>
          </w:p>
        </w:tc>
      </w:tr>
      <w:tr>
        <w:tc>
          <w:tcPr>
            <w:tcW w:type="dxa" w:w="218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Major (&gt;=7.0)</w:t>
            </w:r>
          </w:p>
        </w:tc>
        <w:tc>
          <w:tcPr>
            <w:tcW w:type="dxa" w:w="2188"/>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2 (100.0%)</w:t>
            </w:r>
          </w:p>
        </w:tc>
        <w:tc>
          <w:tcPr>
            <w:tcW w:type="dxa" w:w="1945"/>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0 (0.0%)</w:t>
            </w:r>
          </w:p>
        </w:tc>
        <w:tc>
          <w:tcPr>
            <w:tcW w:type="dxa" w:w="158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0 (0.0%)</w:t>
            </w:r>
          </w:p>
        </w:tc>
        <w:tc>
          <w:tcPr>
            <w:tcW w:type="dxa" w:w="145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Rows are observed classes, columns are forecast classes. Cell entries are counts with row percentages in parentheses; the diagonal holds the correct forecasts. An empty column means the classifier never issued that forecast: under this degree of class imbalance the majority vote of the forest is the common class for every sequence, even with balanced class weights. Tables 48 and 49 assess the same forecasts without relying on that vote.</w:t>
      </w:r>
    </w:p>
    <w:p>
      <w:r>
        <w:br w:type="page"/>
      </w:r>
    </w:p>
    <w:p>
      <w:pPr>
        <w:spacing w:after="0"/>
      </w:pPr>
      <w:r>
        <w:rPr>
          <w:rFonts w:ascii="Times New Roman" w:hAnsi="Times New Roman" w:eastAsia="Times New Roman"/>
          <w:b/>
          <w:i w:val="0"/>
          <w:color w:val="000000"/>
          <w:sz w:val="24"/>
        </w:rPr>
        <w:t>Table 52</w:t>
      </w:r>
    </w:p>
    <w:p>
      <w:pPr>
        <w:spacing w:after="160"/>
      </w:pPr>
      <w:r>
        <w:rPr>
          <w:rFonts w:ascii="Times New Roman" w:hAnsi="Times New Roman" w:eastAsia="Times New Roman"/>
          <w:b w:val="0"/>
          <w:i/>
          <w:color w:val="000000"/>
          <w:sz w:val="24"/>
        </w:rPr>
        <w:t>Per-Class Precision, Recall and F1-Score on the Test Partition</w:t>
      </w:r>
    </w:p>
    <w:tbl>
      <w:tblPr>
        <w:tblW w:type="auto" w:w="0"/>
        <w:jc w:val="center"/>
        <w:tblLayout w:type="fixed"/>
        <w:tblLook w:firstColumn="1" w:firstRow="1" w:lastColumn="0" w:lastRow="0" w:noHBand="0" w:noVBand="1" w:val="04A0"/>
        <w:tblLayout w:type="fixed"/>
      </w:tblPr>
      <w:tblGrid>
        <w:gridCol w:w="1872"/>
        <w:gridCol w:w="1872"/>
        <w:gridCol w:w="1872"/>
        <w:gridCol w:w="1872"/>
        <w:gridCol w:w="1872"/>
      </w:tblGrid>
      <w:tr>
        <w:trPr>
          <w:tblHeader w:val="true"/>
        </w:trPr>
        <w:tc>
          <w:tcPr>
            <w:tcW w:type="dxa" w:w="351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Magnitude class</w:t>
            </w:r>
          </w:p>
        </w:tc>
        <w:tc>
          <w:tcPr>
            <w:tcW w:type="dxa" w:w="175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Precision</w:t>
            </w:r>
          </w:p>
        </w:tc>
        <w:tc>
          <w:tcPr>
            <w:tcW w:type="dxa" w:w="117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Recall</w:t>
            </w:r>
          </w:p>
        </w:tc>
        <w:tc>
          <w:tcPr>
            <w:tcW w:type="dxa" w:w="156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F1-score</w:t>
            </w:r>
          </w:p>
        </w:tc>
        <w:tc>
          <w:tcPr>
            <w:tcW w:type="dxa" w:w="136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Support</w:t>
            </w:r>
          </w:p>
        </w:tc>
      </w:tr>
      <w:tr>
        <w:tc>
          <w:tcPr>
            <w:tcW w:type="dxa" w:w="35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Moderate (5.0-5.9)</w:t>
            </w:r>
          </w:p>
        </w:tc>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.767</w:t>
            </w:r>
          </w:p>
        </w:tc>
        <w:tc>
          <w:tcPr>
            <w:tcW w:type="dxa" w:w="1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.920</w:t>
            </w:r>
          </w:p>
        </w:tc>
        <w:tc>
          <w:tcPr>
            <w:tcW w:type="dxa" w:w="15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.836</w:t>
            </w:r>
          </w:p>
        </w:tc>
        <w:tc>
          <w:tcPr>
            <w:tcW w:type="dxa" w:w="13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25</w:t>
            </w:r>
          </w:p>
        </w:tc>
      </w:tr>
      <w:tr>
        <w:tc>
          <w:tcPr>
            <w:tcW w:type="dxa" w:w="35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Strong (6.0-6.9)</w:t>
            </w:r>
          </w:p>
        </w:tc>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.333</w:t>
            </w:r>
          </w:p>
        </w:tc>
        <w:tc>
          <w:tcPr>
            <w:tcW w:type="dxa" w:w="1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.167</w:t>
            </w:r>
          </w:p>
        </w:tc>
        <w:tc>
          <w:tcPr>
            <w:tcW w:type="dxa" w:w="15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.222</w:t>
            </w:r>
          </w:p>
        </w:tc>
        <w:tc>
          <w:tcPr>
            <w:tcW w:type="dxa" w:w="13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6</w:t>
            </w:r>
          </w:p>
        </w:tc>
      </w:tr>
      <w:tr>
        <w:tc>
          <w:tcPr>
            <w:tcW w:type="dxa" w:w="35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Major (&gt;=7.0)</w:t>
            </w:r>
          </w:p>
        </w:tc>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w:t>
            </w:r>
          </w:p>
        </w:tc>
        <w:tc>
          <w:tcPr>
            <w:tcW w:type="dxa" w:w="1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w:t>
            </w:r>
          </w:p>
        </w:tc>
        <w:tc>
          <w:tcPr>
            <w:tcW w:type="dxa" w:w="15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w:t>
            </w:r>
          </w:p>
        </w:tc>
        <w:tc>
          <w:tcPr>
            <w:tcW w:type="dxa" w:w="13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w:t>
            </w:r>
          </w:p>
        </w:tc>
      </w:tr>
      <w:tr>
        <w:tc>
          <w:tcPr>
            <w:tcW w:type="dxa" w:w="35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Macro average</w:t>
            </w:r>
          </w:p>
        </w:tc>
        <w:tc>
          <w:tcPr>
            <w:tcW w:type="dxa" w:w="17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.367</w:t>
            </w:r>
          </w:p>
        </w:tc>
        <w:tc>
          <w:tcPr>
            <w:tcW w:type="dxa" w:w="117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.362</w:t>
            </w:r>
          </w:p>
        </w:tc>
        <w:tc>
          <w:tcPr>
            <w:tcW w:type="dxa" w:w="156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.353</w:t>
            </w:r>
          </w:p>
        </w:tc>
        <w:tc>
          <w:tcPr>
            <w:tcW w:type="dxa" w:w="136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w:t>
            </w:r>
          </w:p>
        </w:tc>
      </w:tr>
      <w:tr>
        <w:tc>
          <w:tcPr>
            <w:tcW w:type="dxa" w:w="351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Weighted average</w:t>
            </w:r>
          </w:p>
        </w:tc>
        <w:tc>
          <w:tcPr>
            <w:tcW w:type="dxa" w:w="175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.641</w:t>
            </w:r>
          </w:p>
        </w:tc>
        <w:tc>
          <w:tcPr>
            <w:tcW w:type="dxa" w:w="117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.727</w:t>
            </w:r>
          </w:p>
        </w:tc>
        <w:tc>
          <w:tcPr>
            <w:tcW w:type="dxa" w:w="156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.674</w:t>
            </w:r>
          </w:p>
        </w:tc>
        <w:tc>
          <w:tcPr>
            <w:tcW w:type="dxa" w:w="136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33</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Support is the number of test sequences observed in each class. The macro average weights every class equally and is the fairer summary under imbalance.</w:t>
      </w:r>
    </w:p>
    <w:p>
      <w:r>
        <w:br w:type="page"/>
      </w:r>
    </w:p>
    <w:p>
      <w:pPr>
        <w:spacing w:after="0"/>
      </w:pPr>
      <w:r>
        <w:rPr>
          <w:rFonts w:ascii="Times New Roman" w:hAnsi="Times New Roman" w:eastAsia="Times New Roman"/>
          <w:b/>
          <w:i w:val="0"/>
          <w:color w:val="000000"/>
          <w:sz w:val="24"/>
        </w:rPr>
        <w:t>Table 53</w:t>
      </w:r>
    </w:p>
    <w:p>
      <w:pPr>
        <w:spacing w:after="160"/>
      </w:pPr>
      <w:r>
        <w:rPr>
          <w:rFonts w:ascii="Times New Roman" w:hAnsi="Times New Roman" w:eastAsia="Times New Roman"/>
          <w:b w:val="0"/>
          <w:i/>
          <w:color w:val="000000"/>
          <w:sz w:val="24"/>
        </w:rPr>
        <w:t>Overall Classification Agreement, Including Cohen's Weighted Kappa</w:t>
      </w:r>
    </w:p>
    <w:tbl>
      <w:tblPr>
        <w:tblW w:type="auto" w:w="0"/>
        <w:jc w:val="center"/>
        <w:tblLayout w:type="fixed"/>
        <w:tblLook w:firstColumn="1" w:firstRow="1" w:lastColumn="0" w:lastRow="0" w:noHBand="0" w:noVBand="1" w:val="04A0"/>
        <w:tblLayout w:type="fixed"/>
      </w:tblPr>
      <w:tblGrid>
        <w:gridCol w:w="2340"/>
        <w:gridCol w:w="2340"/>
        <w:gridCol w:w="2340"/>
        <w:gridCol w:w="2340"/>
      </w:tblGrid>
      <w:tr>
        <w:trPr>
          <w:tblHeader w:val="true"/>
        </w:trPr>
        <w:tc>
          <w:tcPr>
            <w:tcW w:type="dxa" w:w="388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Metric</w:t>
            </w:r>
          </w:p>
        </w:tc>
        <w:tc>
          <w:tcPr>
            <w:tcW w:type="dxa" w:w="79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Estimate</w:t>
            </w:r>
          </w:p>
        </w:tc>
        <w:tc>
          <w:tcPr>
            <w:tcW w:type="dxa" w:w="1494"/>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95% CI</w:t>
            </w:r>
          </w:p>
        </w:tc>
        <w:tc>
          <w:tcPr>
            <w:tcW w:type="dxa" w:w="3186"/>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Interpretation</w:t>
            </w:r>
          </w:p>
        </w:tc>
      </w:tr>
      <w:tr>
        <w:tc>
          <w:tcPr>
            <w:tcW w:type="dxa" w:w="3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Accuracy</w:t>
            </w:r>
          </w:p>
        </w:tc>
        <w:tc>
          <w:tcPr>
            <w:tcW w:type="dxa" w:w="79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.727</w:t>
            </w:r>
          </w:p>
        </w:tc>
        <w:tc>
          <w:tcPr>
            <w:tcW w:type="dxa" w:w="14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[0.576, 0.879]</w:t>
            </w:r>
          </w:p>
        </w:tc>
        <w:tc>
          <w:tcPr>
            <w:tcW w:type="dxa" w:w="318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r>
      <w:tr>
        <w:tc>
          <w:tcPr>
            <w:tcW w:type="dxa" w:w="3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Macro F1</w:t>
            </w:r>
          </w:p>
        </w:tc>
        <w:tc>
          <w:tcPr>
            <w:tcW w:type="dxa" w:w="79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.353</w:t>
            </w:r>
          </w:p>
        </w:tc>
        <w:tc>
          <w:tcPr>
            <w:tcW w:type="dxa" w:w="14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[0.252, 0.493]</w:t>
            </w:r>
          </w:p>
        </w:tc>
        <w:tc>
          <w:tcPr>
            <w:tcW w:type="dxa" w:w="318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r>
      <w:tr>
        <w:tc>
          <w:tcPr>
            <w:tcW w:type="dxa" w:w="3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Cohen's κ</w:t>
            </w:r>
          </w:p>
        </w:tc>
        <w:tc>
          <w:tcPr>
            <w:tcW w:type="dxa" w:w="79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.075</w:t>
            </w:r>
          </w:p>
        </w:tc>
        <w:tc>
          <w:tcPr>
            <w:tcW w:type="dxa" w:w="14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[-0.160, 0.431]</w:t>
            </w:r>
          </w:p>
        </w:tc>
        <w:tc>
          <w:tcPr>
            <w:tcW w:type="dxa" w:w="318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Slight</w:t>
            </w:r>
          </w:p>
        </w:tc>
      </w:tr>
      <w:tr>
        <w:tc>
          <w:tcPr>
            <w:tcW w:type="dxa" w:w="3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Weighted κ (quadratic)</w:t>
            </w:r>
          </w:p>
        </w:tc>
        <w:tc>
          <w:tcPr>
            <w:tcW w:type="dxa" w:w="79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.012</w:t>
            </w:r>
          </w:p>
        </w:tc>
        <w:tc>
          <w:tcPr>
            <w:tcW w:type="dxa" w:w="14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[-0.158, 0.311]</w:t>
            </w:r>
          </w:p>
        </w:tc>
        <w:tc>
          <w:tcPr>
            <w:tcW w:type="dxa" w:w="318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Slight</w:t>
            </w:r>
          </w:p>
        </w:tc>
      </w:tr>
      <w:tr>
        <w:tc>
          <w:tcPr>
            <w:tcW w:type="dxa" w:w="388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Test sequences (N)</w:t>
            </w:r>
          </w:p>
        </w:tc>
        <w:tc>
          <w:tcPr>
            <w:tcW w:type="dxa" w:w="79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33</w:t>
            </w:r>
          </w:p>
        </w:tc>
        <w:tc>
          <w:tcPr>
            <w:tcW w:type="dxa" w:w="1494"/>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3186"/>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w:t>
            </w:r>
          </w:p>
        </w:tc>
      </w:tr>
      <w:tr>
        <w:tc>
          <w:tcPr>
            <w:tcW w:type="dxa" w:w="388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Majority-class rate (no-skill accuracy)</w:t>
            </w:r>
          </w:p>
        </w:tc>
        <w:tc>
          <w:tcPr>
            <w:tcW w:type="dxa" w:w="79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.758</w:t>
            </w:r>
          </w:p>
        </w:tc>
        <w:tc>
          <w:tcPr>
            <w:tcW w:type="dxa" w:w="1494"/>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w:t>
            </w:r>
          </w:p>
        </w:tc>
        <w:tc>
          <w:tcPr>
            <w:tcW w:type="dxa" w:w="3186"/>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Reference for the accuracy above</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Quadratic weighting penalises a forecast that misses by two classes far more than one that misses by one, as the study methodology requires. Interpretation follows the Landis and Koch benchmarks. Compare the accuracy against the majority-class rate in the final row before reading it as skill.</w:t>
      </w:r>
    </w:p>
    <w:p>
      <w:r>
        <w:br w:type="page"/>
      </w:r>
    </w:p>
    <w:p>
      <w:pPr>
        <w:spacing w:after="0"/>
      </w:pPr>
      <w:r>
        <w:rPr>
          <w:rFonts w:ascii="Times New Roman" w:hAnsi="Times New Roman" w:eastAsia="Times New Roman"/>
          <w:b/>
          <w:i w:val="0"/>
          <w:color w:val="000000"/>
          <w:sz w:val="24"/>
        </w:rPr>
        <w:t>Table 54</w:t>
      </w:r>
    </w:p>
    <w:p>
      <w:pPr>
        <w:spacing w:after="160"/>
      </w:pPr>
      <w:r>
        <w:rPr>
          <w:rFonts w:ascii="Times New Roman" w:hAnsi="Times New Roman" w:eastAsia="Times New Roman"/>
          <w:b w:val="0"/>
          <w:i/>
          <w:color w:val="000000"/>
          <w:sz w:val="24"/>
        </w:rPr>
        <w:t>Threshold-Free Probabilistic Skill for the M ≥ 6.0 Forecast</w:t>
      </w:r>
    </w:p>
    <w:tbl>
      <w:tblPr>
        <w:tblW w:type="auto" w:w="0"/>
        <w:jc w:val="center"/>
        <w:tblLayout w:type="fixed"/>
        <w:tblLook w:firstColumn="1" w:firstRow="1" w:lastColumn="0" w:lastRow="0" w:noHBand="0" w:noVBand="1" w:val="04A0"/>
        <w:tblLayout w:type="fixed"/>
      </w:tblPr>
      <w:tblGrid>
        <w:gridCol w:w="1560"/>
        <w:gridCol w:w="1560"/>
        <w:gridCol w:w="1560"/>
        <w:gridCol w:w="1560"/>
        <w:gridCol w:w="1560"/>
        <w:gridCol w:w="1560"/>
      </w:tblGrid>
      <w:tr>
        <w:trPr>
          <w:tblHeader w:val="true"/>
        </w:trPr>
        <w:tc>
          <w:tcPr>
            <w:tcW w:type="dxa" w:w="3593"/>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Probability source</w:t>
            </w:r>
          </w:p>
        </w:tc>
        <w:tc>
          <w:tcPr>
            <w:tcW w:type="dxa" w:w="662"/>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ROC AUC</w:t>
            </w:r>
          </w:p>
        </w:tc>
        <w:tc>
          <w:tcPr>
            <w:tcW w:type="dxa" w:w="160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Average precision</w:t>
            </w:r>
          </w:p>
        </w:tc>
        <w:tc>
          <w:tcPr>
            <w:tcW w:type="dxa" w:w="104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Brier score</w:t>
            </w:r>
          </w:p>
        </w:tc>
        <w:tc>
          <w:tcPr>
            <w:tcW w:type="dxa" w:w="1607"/>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Brier skill score</w:t>
            </w:r>
          </w:p>
        </w:tc>
        <w:tc>
          <w:tcPr>
            <w:tcW w:type="dxa" w:w="851"/>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Base rate</w:t>
            </w:r>
          </w:p>
        </w:tc>
      </w:tr>
      <w:tr>
        <w:tc>
          <w:tcPr>
            <w:tcW w:type="dxa" w:w="3593"/>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Random Forest classifier P(M ≥ 6.0)</w:t>
            </w:r>
          </w:p>
        </w:tc>
        <w:tc>
          <w:tcPr>
            <w:tcW w:type="dxa" w:w="662"/>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.705</w:t>
            </w:r>
          </w:p>
        </w:tc>
        <w:tc>
          <w:tcPr>
            <w:tcW w:type="dxa" w:w="160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.388</w:t>
            </w:r>
          </w:p>
        </w:tc>
        <w:tc>
          <w:tcPr>
            <w:tcW w:type="dxa" w:w="104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.185</w:t>
            </w:r>
          </w:p>
        </w:tc>
        <w:tc>
          <w:tcPr>
            <w:tcW w:type="dxa" w:w="1607"/>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-.005</w:t>
            </w:r>
          </w:p>
        </w:tc>
        <w:tc>
          <w:tcPr>
            <w:tcW w:type="dxa" w:w="851"/>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.242</w:t>
            </w:r>
          </w:p>
        </w:tc>
      </w:tr>
      <w:tr>
        <w:tc>
          <w:tcPr>
            <w:tcW w:type="dxa" w:w="3593"/>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Random Forest regression, Platt-scaled</w:t>
            </w:r>
          </w:p>
        </w:tc>
        <w:tc>
          <w:tcPr>
            <w:tcW w:type="dxa" w:w="662"/>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.735</w:t>
            </w:r>
          </w:p>
        </w:tc>
        <w:tc>
          <w:tcPr>
            <w:tcW w:type="dxa" w:w="160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.394</w:t>
            </w:r>
          </w:p>
        </w:tc>
        <w:tc>
          <w:tcPr>
            <w:tcW w:type="dxa" w:w="104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.198</w:t>
            </w:r>
          </w:p>
        </w:tc>
        <w:tc>
          <w:tcPr>
            <w:tcW w:type="dxa" w:w="1607"/>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-.076</w:t>
            </w:r>
          </w:p>
        </w:tc>
        <w:tc>
          <w:tcPr>
            <w:tcW w:type="dxa" w:w="851"/>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.242</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ROC AUC above .50 and a positive Brier skill score indicate discrimination beyond the base rate. This is the evidence for whether the model carries any usable signal about strong events, independent of where the decision threshold is placed — a classifier whose argmax is degenerate can still rank correctly. The regression forecast is converted to a probability by Platt scaling fitted on the training and validation partitions alone.</w:t>
      </w:r>
    </w:p>
    <w:p>
      <w:r>
        <w:br w:type="page"/>
      </w:r>
    </w:p>
    <w:p>
      <w:pPr>
        <w:spacing w:after="0"/>
      </w:pPr>
      <w:r>
        <w:rPr>
          <w:rFonts w:ascii="Times New Roman" w:hAnsi="Times New Roman" w:eastAsia="Times New Roman"/>
          <w:b/>
          <w:i w:val="0"/>
          <w:color w:val="000000"/>
          <w:sz w:val="24"/>
        </w:rPr>
        <w:t>Table 55</w:t>
      </w:r>
    </w:p>
    <w:p>
      <w:pPr>
        <w:spacing w:after="160"/>
      </w:pPr>
      <w:r>
        <w:rPr>
          <w:rFonts w:ascii="Times New Roman" w:hAnsi="Times New Roman" w:eastAsia="Times New Roman"/>
          <w:b w:val="0"/>
          <w:i/>
          <w:color w:val="000000"/>
          <w:sz w:val="24"/>
        </w:rPr>
        <w:t>Operational Skill of the Forecast Treated as an M ≥ 6.0 Alarm</w:t>
      </w:r>
    </w:p>
    <w:tbl>
      <w:tblPr>
        <w:tblW w:type="auto" w:w="0"/>
        <w:jc w:val="center"/>
        <w:tblLayout w:type="fixed"/>
        <w:tblLook w:firstColumn="1" w:firstRow="1" w:lastColumn="0" w:lastRow="0" w:noHBand="0" w:noVBand="1" w:val="04A0"/>
        <w:tblLayout w:type="fixed"/>
      </w:tblPr>
      <w:tblGrid>
        <w:gridCol w:w="4680"/>
        <w:gridCol w:w="4680"/>
      </w:tblGrid>
      <w:tr>
        <w:trPr>
          <w:tblHeader w:val="true"/>
        </w:trPr>
        <w:tc>
          <w:tcPr>
            <w:tcW w:type="dxa" w:w="828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20"/>
              </w:rPr>
              <w:t>Quantity</w:t>
            </w:r>
          </w:p>
        </w:tc>
        <w:tc>
          <w:tcPr>
            <w:tcW w:type="dxa" w:w="108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20"/>
              </w:rPr>
              <w:t>Value</w:t>
            </w:r>
          </w:p>
        </w:tc>
      </w:tr>
      <w:tr>
        <w:tc>
          <w:tcPr>
            <w:tcW w:type="dxa" w:w="82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True positives (forecast and observed M ≥ 6.0)</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r>
      <w:tr>
        <w:tc>
          <w:tcPr>
            <w:tcW w:type="dxa" w:w="82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False positives (false alarms)</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2.000</w:t>
            </w:r>
          </w:p>
        </w:tc>
      </w:tr>
      <w:tr>
        <w:tc>
          <w:tcPr>
            <w:tcW w:type="dxa" w:w="82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False negatives (missed events)</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8.000</w:t>
            </w:r>
          </w:p>
        </w:tc>
      </w:tr>
      <w:tr>
        <w:tc>
          <w:tcPr>
            <w:tcW w:type="dxa" w:w="82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True negatives</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23.000</w:t>
            </w:r>
          </w:p>
        </w:tc>
      </w:tr>
      <w:tr>
        <w:tc>
          <w:tcPr>
            <w:tcW w:type="dxa" w:w="82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Probability of detection (POD / recall)</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r>
      <w:tr>
        <w:tc>
          <w:tcPr>
            <w:tcW w:type="dxa" w:w="82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False-alarm ratio (FAR)</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1.000</w:t>
            </w:r>
          </w:p>
        </w:tc>
      </w:tr>
      <w:tr>
        <w:tc>
          <w:tcPr>
            <w:tcW w:type="dxa" w:w="82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Probability of false detection (POFD)</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0.080</w:t>
            </w:r>
          </w:p>
        </w:tc>
      </w:tr>
      <w:tr>
        <w:tc>
          <w:tcPr>
            <w:tcW w:type="dxa" w:w="828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20"/>
              </w:rPr>
              <w:t>Critical success index (CSI)</w:t>
            </w:r>
          </w:p>
        </w:tc>
        <w:tc>
          <w:tcPr>
            <w:tcW w:type="dxa" w:w="108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20"/>
              </w:rPr>
              <w:t>0.000</w:t>
            </w:r>
          </w:p>
        </w:tc>
      </w:tr>
      <w:tr>
        <w:tc>
          <w:tcPr>
            <w:tcW w:type="dxa" w:w="828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20"/>
              </w:rPr>
              <w:t>Hanssen–Kuipers skill score (POD − POFD)</w:t>
            </w:r>
          </w:p>
        </w:tc>
        <w:tc>
          <w:tcPr>
            <w:tcW w:type="dxa" w:w="108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20"/>
              </w:rPr>
              <w:t>-0.080</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Derived from the regression forecasts by thresholding at M 6.0. POD and FAR answer the question a disaster-management reader has, which class accuracy does not: how many strong events are caught, and at what cost in false alarms.</w:t>
      </w:r>
    </w:p>
    <w:p>
      <w:pPr>
        <w:sectPr>
          <w:pgSz w:w="12240" w:h="15840"/>
          <w:pgMar w:top="1440" w:right="1440" w:bottom="1440" w:left="1440" w:header="720" w:footer="720" w:gutter="0"/>
          <w:cols w:space="720"/>
          <w:docGrid w:linePitch="360"/>
        </w:sectPr>
      </w:pPr>
    </w:p>
    <w:p>
      <w:pPr>
        <w:spacing w:after="0"/>
      </w:pPr>
      <w:r>
        <w:rPr>
          <w:rFonts w:ascii="Times New Roman" w:hAnsi="Times New Roman" w:eastAsia="Times New Roman"/>
          <w:b/>
          <w:i w:val="0"/>
          <w:color w:val="000000"/>
          <w:sz w:val="24"/>
        </w:rPr>
        <w:t>Table 56</w:t>
      </w:r>
    </w:p>
    <w:p>
      <w:pPr>
        <w:spacing w:after="160"/>
      </w:pPr>
      <w:r>
        <w:rPr>
          <w:rFonts w:ascii="Times New Roman" w:hAnsi="Times New Roman" w:eastAsia="Times New Roman"/>
          <w:b w:val="0"/>
          <w:i/>
          <w:color w:val="000000"/>
          <w:sz w:val="24"/>
        </w:rPr>
        <w:t>Residual Diagnostics for the Three Leading Models</w:t>
      </w:r>
    </w:p>
    <w:tbl>
      <w:tblPr>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gridCol w:w="1080"/>
        <w:gridCol w:w="1080"/>
        <w:gridCol w:w="1080"/>
        <w:gridCol w:w="1080"/>
      </w:tblGrid>
      <w:tr>
        <w:trPr>
          <w:tblHeader w:val="true"/>
        </w:trPr>
        <w:tc>
          <w:tcPr>
            <w:tcW w:type="dxa" w:w="2410"/>
            <w:tcBorders>
              <w:top w:val="single" w:sz="8" w:color="000000"/>
              <w:left w:val="nil"/>
              <w:bottom w:val="single" w:sz="4" w:color="000000"/>
              <w:right w:val="nil"/>
            </w:tcBorders>
          </w:tcPr>
          <w:p>
            <w:pPr>
              <w:spacing w:before="40" w:after="40" w:line="240" w:lineRule="auto"/>
              <w:jc w:val="left"/>
            </w:pPr>
            <w:r/>
            <w:r>
              <w:rPr>
                <w:rFonts w:ascii="Times New Roman" w:hAnsi="Times New Roman" w:eastAsia="Times New Roman"/>
                <w:b w:val="0"/>
                <w:i w:val="0"/>
                <w:color w:val="000000"/>
                <w:sz w:val="17"/>
              </w:rPr>
              <w:t>Model</w:t>
            </w:r>
          </w:p>
        </w:tc>
        <w:tc>
          <w:tcPr>
            <w:tcW w:type="dxa" w:w="62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n</w:t>
            </w:r>
          </w:p>
        </w:tc>
        <w:tc>
          <w:tcPr>
            <w:tcW w:type="dxa" w:w="97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Mean residual</w:t>
            </w:r>
          </w:p>
        </w:tc>
        <w:tc>
          <w:tcPr>
            <w:tcW w:type="dxa" w:w="62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SD</w:t>
            </w:r>
          </w:p>
        </w:tc>
        <w:tc>
          <w:tcPr>
            <w:tcW w:type="dxa" w:w="904"/>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t (mean = 0)</w:t>
            </w:r>
          </w:p>
        </w:tc>
        <w:tc>
          <w:tcPr>
            <w:tcW w:type="dxa" w:w="62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p (bias)</w:t>
            </w:r>
          </w:p>
        </w:tc>
        <w:tc>
          <w:tcPr>
            <w:tcW w:type="dxa" w:w="1055"/>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Shapiro–Wilk W</w:t>
            </w:r>
          </w:p>
        </w:tc>
        <w:tc>
          <w:tcPr>
            <w:tcW w:type="dxa" w:w="97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p (normality)</w:t>
            </w:r>
          </w:p>
        </w:tc>
        <w:tc>
          <w:tcPr>
            <w:tcW w:type="dxa" w:w="1808"/>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Heteroscedasticity slope</w:t>
            </w:r>
          </w:p>
        </w:tc>
        <w:tc>
          <w:tcPr>
            <w:tcW w:type="dxa" w:w="1130"/>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p (heterosced.)</w:t>
            </w:r>
          </w:p>
        </w:tc>
        <w:tc>
          <w:tcPr>
            <w:tcW w:type="dxa" w:w="82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Ljung–Box Q</w:t>
            </w:r>
          </w:p>
        </w:tc>
        <w:tc>
          <w:tcPr>
            <w:tcW w:type="dxa" w:w="979"/>
            <w:tcBorders>
              <w:top w:val="single" w:sz="8" w:color="000000"/>
              <w:left w:val="nil"/>
              <w:bottom w:val="single" w:sz="4" w:color="000000"/>
              <w:right w:val="nil"/>
            </w:tcBorders>
          </w:tcPr>
          <w:p>
            <w:pPr>
              <w:spacing w:before="40" w:after="40" w:line="240" w:lineRule="auto"/>
              <w:jc w:val="center"/>
            </w:pPr>
            <w:r/>
            <w:r>
              <w:rPr>
                <w:rFonts w:ascii="Times New Roman" w:hAnsi="Times New Roman" w:eastAsia="Times New Roman"/>
                <w:b w:val="0"/>
                <w:i w:val="0"/>
                <w:color w:val="000000"/>
                <w:sz w:val="17"/>
              </w:rPr>
              <w:t>p (autocorr.)</w:t>
            </w:r>
          </w:p>
        </w:tc>
      </w:tr>
      <w:tr>
        <w:tc>
          <w:tcPr>
            <w:tcW w:type="dxa" w:w="24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Extra Trees (test)</w:t>
            </w:r>
          </w:p>
        </w:tc>
        <w:tc>
          <w:tcPr>
            <w:tcW w:type="dxa" w:w="6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w:t>
            </w:r>
          </w:p>
        </w:tc>
        <w:tc>
          <w:tcPr>
            <w:tcW w:type="dxa" w:w="9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-0.096</w:t>
            </w:r>
          </w:p>
        </w:tc>
        <w:tc>
          <w:tcPr>
            <w:tcW w:type="dxa" w:w="6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0.555</w:t>
            </w:r>
          </w:p>
        </w:tc>
        <w:tc>
          <w:tcPr>
            <w:tcW w:type="dxa" w:w="90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-0.998</w:t>
            </w:r>
          </w:p>
        </w:tc>
        <w:tc>
          <w:tcPr>
            <w:tcW w:type="dxa" w:w="6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.326</w:t>
            </w:r>
          </w:p>
        </w:tc>
        <w:tc>
          <w:tcPr>
            <w:tcW w:type="dxa" w:w="10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0.926</w:t>
            </w:r>
          </w:p>
        </w:tc>
        <w:tc>
          <w:tcPr>
            <w:tcW w:type="dxa" w:w="9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.026</w:t>
            </w:r>
          </w:p>
        </w:tc>
        <w:tc>
          <w:tcPr>
            <w:tcW w:type="dxa" w:w="180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0.473</w:t>
            </w:r>
          </w:p>
        </w:tc>
        <w:tc>
          <w:tcPr>
            <w:tcW w:type="dxa" w:w="113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.195</w:t>
            </w:r>
          </w:p>
        </w:tc>
        <w:tc>
          <w:tcPr>
            <w:tcW w:type="dxa" w:w="8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3.204</w:t>
            </w:r>
          </w:p>
        </w:tc>
        <w:tc>
          <w:tcPr>
            <w:tcW w:type="dxa" w:w="9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.783</w:t>
            </w:r>
          </w:p>
        </w:tc>
      </w:tr>
      <w:tr>
        <w:tc>
          <w:tcPr>
            <w:tcW w:type="dxa" w:w="2410"/>
            <w:tcBorders>
              <w:top w:val="nil"/>
              <w:left w:val="nil"/>
              <w:bottom w:val="nil"/>
              <w:right w:val="nil"/>
            </w:tcBorders>
          </w:tcPr>
          <w:p>
            <w:pPr>
              <w:spacing w:before="40" w:after="40" w:line="240" w:lineRule="auto"/>
              <w:jc w:val="left"/>
            </w:pPr>
            <w:r/>
            <w:r>
              <w:rPr>
                <w:rFonts w:ascii="Times New Roman" w:hAnsi="Times New Roman" w:eastAsia="Times New Roman"/>
                <w:b w:val="0"/>
                <w:i w:val="0"/>
                <w:color w:val="000000"/>
                <w:sz w:val="17"/>
              </w:rPr>
              <w:t>Random Forest (test)</w:t>
            </w:r>
          </w:p>
        </w:tc>
        <w:tc>
          <w:tcPr>
            <w:tcW w:type="dxa" w:w="6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33</w:t>
            </w:r>
          </w:p>
        </w:tc>
        <w:tc>
          <w:tcPr>
            <w:tcW w:type="dxa" w:w="9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-0.101</w:t>
            </w:r>
          </w:p>
        </w:tc>
        <w:tc>
          <w:tcPr>
            <w:tcW w:type="dxa" w:w="6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0.568</w:t>
            </w:r>
          </w:p>
        </w:tc>
        <w:tc>
          <w:tcPr>
            <w:tcW w:type="dxa" w:w="904"/>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-1.019</w:t>
            </w:r>
          </w:p>
        </w:tc>
        <w:tc>
          <w:tcPr>
            <w:tcW w:type="dxa" w:w="6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.316</w:t>
            </w:r>
          </w:p>
        </w:tc>
        <w:tc>
          <w:tcPr>
            <w:tcW w:type="dxa" w:w="1055"/>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0.901</w:t>
            </w:r>
          </w:p>
        </w:tc>
        <w:tc>
          <w:tcPr>
            <w:tcW w:type="dxa" w:w="9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.006</w:t>
            </w:r>
          </w:p>
        </w:tc>
        <w:tc>
          <w:tcPr>
            <w:tcW w:type="dxa" w:w="1808"/>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0.242</w:t>
            </w:r>
          </w:p>
        </w:tc>
        <w:tc>
          <w:tcPr>
            <w:tcW w:type="dxa" w:w="1130"/>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.604</w:t>
            </w:r>
          </w:p>
        </w:tc>
        <w:tc>
          <w:tcPr>
            <w:tcW w:type="dxa" w:w="82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3.424</w:t>
            </w:r>
          </w:p>
        </w:tc>
        <w:tc>
          <w:tcPr>
            <w:tcW w:type="dxa" w:w="979"/>
            <w:tcBorders>
              <w:top w:val="nil"/>
              <w:left w:val="nil"/>
              <w:bottom w:val="nil"/>
              <w:right w:val="nil"/>
            </w:tcBorders>
          </w:tcPr>
          <w:p>
            <w:pPr>
              <w:spacing w:before="40" w:after="40" w:line="240" w:lineRule="auto"/>
              <w:jc w:val="right"/>
            </w:pPr>
            <w:r/>
            <w:r>
              <w:rPr>
                <w:rFonts w:ascii="Times New Roman" w:hAnsi="Times New Roman" w:eastAsia="Times New Roman"/>
                <w:b w:val="0"/>
                <w:i w:val="0"/>
                <w:color w:val="000000"/>
                <w:sz w:val="17"/>
              </w:rPr>
              <w:t>.754</w:t>
            </w:r>
          </w:p>
        </w:tc>
      </w:tr>
      <w:tr>
        <w:tc>
          <w:tcPr>
            <w:tcW w:type="dxa" w:w="2410"/>
            <w:tcBorders>
              <w:top w:val="nil"/>
              <w:left w:val="nil"/>
              <w:bottom w:val="single" w:sz="8" w:color="000000"/>
              <w:right w:val="nil"/>
            </w:tcBorders>
          </w:tcPr>
          <w:p>
            <w:pPr>
              <w:spacing w:before="40" w:after="40" w:line="240" w:lineRule="auto"/>
              <w:jc w:val="left"/>
            </w:pPr>
            <w:r/>
            <w:r>
              <w:rPr>
                <w:rFonts w:ascii="Times New Roman" w:hAnsi="Times New Roman" w:eastAsia="Times New Roman"/>
                <w:b w:val="0"/>
                <w:i w:val="0"/>
                <w:color w:val="000000"/>
                <w:sz w:val="17"/>
              </w:rPr>
              <w:t>Support Vector Regression (test)</w:t>
            </w:r>
          </w:p>
        </w:tc>
        <w:tc>
          <w:tcPr>
            <w:tcW w:type="dxa" w:w="62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33</w:t>
            </w:r>
          </w:p>
        </w:tc>
        <w:tc>
          <w:tcPr>
            <w:tcW w:type="dxa" w:w="97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0.034</w:t>
            </w:r>
          </w:p>
        </w:tc>
        <w:tc>
          <w:tcPr>
            <w:tcW w:type="dxa" w:w="62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0.579</w:t>
            </w:r>
          </w:p>
        </w:tc>
        <w:tc>
          <w:tcPr>
            <w:tcW w:type="dxa" w:w="904"/>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0.338</w:t>
            </w:r>
          </w:p>
        </w:tc>
        <w:tc>
          <w:tcPr>
            <w:tcW w:type="dxa" w:w="62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.738</w:t>
            </w:r>
          </w:p>
        </w:tc>
        <w:tc>
          <w:tcPr>
            <w:tcW w:type="dxa" w:w="1055"/>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0.965</w:t>
            </w:r>
          </w:p>
        </w:tc>
        <w:tc>
          <w:tcPr>
            <w:tcW w:type="dxa" w:w="97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.364</w:t>
            </w:r>
          </w:p>
        </w:tc>
        <w:tc>
          <w:tcPr>
            <w:tcW w:type="dxa" w:w="1808"/>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0.342</w:t>
            </w:r>
          </w:p>
        </w:tc>
        <w:tc>
          <w:tcPr>
            <w:tcW w:type="dxa" w:w="1130"/>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.182</w:t>
            </w:r>
          </w:p>
        </w:tc>
        <w:tc>
          <w:tcPr>
            <w:tcW w:type="dxa" w:w="82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3.174</w:t>
            </w:r>
          </w:p>
        </w:tc>
        <w:tc>
          <w:tcPr>
            <w:tcW w:type="dxa" w:w="979"/>
            <w:tcBorders>
              <w:top w:val="nil"/>
              <w:left w:val="nil"/>
              <w:bottom w:val="single" w:sz="8" w:color="000000"/>
              <w:right w:val="nil"/>
            </w:tcBorders>
          </w:tcPr>
          <w:p>
            <w:pPr>
              <w:spacing w:before="40" w:after="40" w:line="240" w:lineRule="auto"/>
              <w:jc w:val="right"/>
            </w:pPr>
            <w:r/>
            <w:r>
              <w:rPr>
                <w:rFonts w:ascii="Times New Roman" w:hAnsi="Times New Roman" w:eastAsia="Times New Roman"/>
                <w:b w:val="0"/>
                <w:i w:val="0"/>
                <w:color w:val="000000"/>
                <w:sz w:val="17"/>
              </w:rPr>
              <w:t>.787</w:t>
            </w:r>
          </w:p>
        </w:tc>
      </w:tr>
    </w:tbl>
    <w:p>
      <w:pPr>
        <w:spacing w:before="120"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A significant mean residual indicates systematic bias; a significant heteroscedasticity slope indicates error that grows with the forecast magnitude; a significant Ljung–Box Q indicates residuals that remain autocorrelated in time.</w:t>
      </w:r>
    </w:p>
    <w:p>
      <w:pPr>
        <w:sectPr>
          <w:pgSz w:w="15840" w:h="12240" w:orient="landscape"/>
          <w:pgMar w:top="1440" w:right="1440" w:bottom="1440" w:left="1440" w:header="720" w:footer="720" w:gutter="0"/>
          <w:cols w:space="720"/>
          <w:docGrid w:linePitch="360"/>
        </w:sectPr>
      </w:pPr>
    </w:p>
    <w:p>
      <w:pPr>
        <w:spacing w:before="360" w:after="120"/>
        <w:jc w:val="center"/>
      </w:pPr>
      <w:r>
        <w:rPr>
          <w:rFonts w:ascii="Times New Roman" w:hAnsi="Times New Roman" w:eastAsia="Times New Roman"/>
          <w:b/>
          <w:i w:val="0"/>
          <w:color w:val="000000"/>
          <w:sz w:val="24"/>
        </w:rPr>
        <w:t>Section G. Figures</w:t>
      </w:r>
    </w:p>
    <w:p>
      <w:r>
        <w:br w:type="page"/>
      </w:r>
    </w:p>
    <w:p>
      <w:pPr>
        <w:spacing w:after="0"/>
      </w:pPr>
      <w:r>
        <w:rPr>
          <w:rFonts w:ascii="Times New Roman" w:hAnsi="Times New Roman" w:eastAsia="Times New Roman"/>
          <w:b/>
          <w:i w:val="0"/>
          <w:color w:val="000000"/>
          <w:sz w:val="24"/>
        </w:rPr>
        <w:t>Figure 1</w:t>
      </w:r>
    </w:p>
    <w:p>
      <w:pPr>
        <w:spacing w:after="160"/>
      </w:pPr>
      <w:r>
        <w:rPr>
          <w:rFonts w:ascii="Times New Roman" w:hAnsi="Times New Roman" w:eastAsia="Times New Roman"/>
          <w:b w:val="0"/>
          <w:i/>
          <w:color w:val="000000"/>
          <w:sz w:val="24"/>
        </w:rPr>
        <w:t>Distribution of Magnitude and Focal Depth in the Cleaned Catalogue</w:t>
      </w:r>
    </w:p>
    <w:p>
      <w:pPr>
        <w:jc w:val="center"/>
      </w:pPr>
      <w:r>
        <w:drawing>
          <wp:inline xmlns:a="http://schemas.openxmlformats.org/drawingml/2006/main" xmlns:pic="http://schemas.openxmlformats.org/drawingml/2006/picture">
            <wp:extent cx="5852160" cy="2381496"/>
            <wp:docPr id="1" name="Picture 1"/>
            <wp:cNvGraphicFramePr>
              <a:graphicFrameLocks noChangeAspect="1"/>
            </wp:cNvGraphicFramePr>
            <a:graphic>
              <a:graphicData uri="http://schemas.openxmlformats.org/drawingml/2006/picture">
                <pic:pic>
                  <pic:nvPicPr>
                    <pic:cNvPr id="0" name="fig_distributions.png"/>
                    <pic:cNvPicPr/>
                  </pic:nvPicPr>
                  <pic:blipFill>
                    <a:blip r:embed="rId9"/>
                    <a:stretch>
                      <a:fillRect/>
                    </a:stretch>
                  </pic:blipFill>
                  <pic:spPr>
                    <a:xfrm>
                      <a:off x="0" y="0"/>
                      <a:ext cx="5852160" cy="2381496"/>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N = 17,667 events.</w:t>
      </w:r>
    </w:p>
    <w:p>
      <w:r>
        <w:br w:type="page"/>
      </w:r>
    </w:p>
    <w:p>
      <w:pPr>
        <w:spacing w:after="0"/>
      </w:pPr>
      <w:r>
        <w:rPr>
          <w:rFonts w:ascii="Times New Roman" w:hAnsi="Times New Roman" w:eastAsia="Times New Roman"/>
          <w:b/>
          <w:i w:val="0"/>
          <w:color w:val="000000"/>
          <w:sz w:val="24"/>
        </w:rPr>
        <w:t>Figure 2</w:t>
      </w:r>
    </w:p>
    <w:p>
      <w:pPr>
        <w:spacing w:after="160"/>
      </w:pPr>
      <w:r>
        <w:rPr>
          <w:rFonts w:ascii="Times New Roman" w:hAnsi="Times New Roman" w:eastAsia="Times New Roman"/>
          <w:b w:val="0"/>
          <w:i/>
          <w:color w:val="000000"/>
          <w:sz w:val="24"/>
        </w:rPr>
        <w:t>Epicentral Distribution of Catalogued Earthquakes</w:t>
      </w:r>
    </w:p>
    <w:p>
      <w:pPr>
        <w:jc w:val="center"/>
      </w:pPr>
      <w:r>
        <w:drawing>
          <wp:inline xmlns:a="http://schemas.openxmlformats.org/drawingml/2006/main" xmlns:pic="http://schemas.openxmlformats.org/drawingml/2006/picture">
            <wp:extent cx="3840480" cy="4352937"/>
            <wp:docPr id="2" name="Picture 2"/>
            <wp:cNvGraphicFramePr>
              <a:graphicFrameLocks noChangeAspect="1"/>
            </wp:cNvGraphicFramePr>
            <a:graphic>
              <a:graphicData uri="http://schemas.openxmlformats.org/drawingml/2006/picture">
                <pic:pic>
                  <pic:nvPicPr>
                    <pic:cNvPr id="0" name="fig_epicentres.png"/>
                    <pic:cNvPicPr/>
                  </pic:nvPicPr>
                  <pic:blipFill>
                    <a:blip r:embed="rId10"/>
                    <a:stretch>
                      <a:fillRect/>
                    </a:stretch>
                  </pic:blipFill>
                  <pic:spPr>
                    <a:xfrm>
                      <a:off x="0" y="0"/>
                      <a:ext cx="3840480" cy="4352937"/>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Open circles mark events of M ≥ 6.0.</w:t>
      </w:r>
    </w:p>
    <w:p>
      <w:r>
        <w:br w:type="page"/>
      </w:r>
    </w:p>
    <w:p>
      <w:pPr>
        <w:spacing w:after="0"/>
      </w:pPr>
      <w:r>
        <w:rPr>
          <w:rFonts w:ascii="Times New Roman" w:hAnsi="Times New Roman" w:eastAsia="Times New Roman"/>
          <w:b/>
          <w:i w:val="0"/>
          <w:color w:val="000000"/>
          <w:sz w:val="24"/>
        </w:rPr>
        <w:t>Figure 3</w:t>
      </w:r>
    </w:p>
    <w:p>
      <w:pPr>
        <w:spacing w:after="160"/>
      </w:pPr>
      <w:r>
        <w:rPr>
          <w:rFonts w:ascii="Times New Roman" w:hAnsi="Times New Roman" w:eastAsia="Times New Roman"/>
          <w:b w:val="0"/>
          <w:i/>
          <w:color w:val="000000"/>
          <w:sz w:val="24"/>
        </w:rPr>
        <w:t>Frequency–Magnitude Distribution and the Gutenberg–Richter Fit</w:t>
      </w:r>
    </w:p>
    <w:p>
      <w:pPr>
        <w:jc w:val="center"/>
      </w:pPr>
      <w:r>
        <w:drawing>
          <wp:inline xmlns:a="http://schemas.openxmlformats.org/drawingml/2006/main" xmlns:pic="http://schemas.openxmlformats.org/drawingml/2006/picture">
            <wp:extent cx="4023360" cy="2953634"/>
            <wp:docPr id="3" name="Picture 3"/>
            <wp:cNvGraphicFramePr>
              <a:graphicFrameLocks noChangeAspect="1"/>
            </wp:cNvGraphicFramePr>
            <a:graphic>
              <a:graphicData uri="http://schemas.openxmlformats.org/drawingml/2006/picture">
                <pic:pic>
                  <pic:nvPicPr>
                    <pic:cNvPr id="0" name="fig_gutenberg_richter.png"/>
                    <pic:cNvPicPr/>
                  </pic:nvPicPr>
                  <pic:blipFill>
                    <a:blip r:embed="rId11"/>
                    <a:stretch>
                      <a:fillRect/>
                    </a:stretch>
                  </pic:blipFill>
                  <pic:spPr>
                    <a:xfrm>
                      <a:off x="0" y="0"/>
                      <a:ext cx="4023360" cy="2953634"/>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The fitted line uses the Aki–Utsu maximum-likelihood b-value above Mc.</w:t>
      </w:r>
    </w:p>
    <w:p>
      <w:r>
        <w:br w:type="page"/>
      </w:r>
    </w:p>
    <w:p>
      <w:pPr>
        <w:spacing w:after="0"/>
      </w:pPr>
      <w:r>
        <w:rPr>
          <w:rFonts w:ascii="Times New Roman" w:hAnsi="Times New Roman" w:eastAsia="Times New Roman"/>
          <w:b/>
          <w:i w:val="0"/>
          <w:color w:val="000000"/>
          <w:sz w:val="24"/>
        </w:rPr>
        <w:t>Figure 4</w:t>
      </w:r>
    </w:p>
    <w:p>
      <w:pPr>
        <w:spacing w:after="160"/>
      </w:pPr>
      <w:r>
        <w:rPr>
          <w:rFonts w:ascii="Times New Roman" w:hAnsi="Times New Roman" w:eastAsia="Times New Roman"/>
          <w:b w:val="0"/>
          <w:i/>
          <w:color w:val="000000"/>
          <w:sz w:val="24"/>
        </w:rPr>
        <w:t>Annual Recorded Seismicity and Annual Maximum Magnitude</w:t>
      </w:r>
    </w:p>
    <w:p>
      <w:pPr>
        <w:jc w:val="center"/>
      </w:pPr>
      <w:r>
        <w:drawing>
          <wp:inline xmlns:a="http://schemas.openxmlformats.org/drawingml/2006/main" xmlns:pic="http://schemas.openxmlformats.org/drawingml/2006/picture">
            <wp:extent cx="5852160" cy="2381496"/>
            <wp:docPr id="4" name="Picture 4"/>
            <wp:cNvGraphicFramePr>
              <a:graphicFrameLocks noChangeAspect="1"/>
            </wp:cNvGraphicFramePr>
            <a:graphic>
              <a:graphicData uri="http://schemas.openxmlformats.org/drawingml/2006/picture">
                <pic:pic>
                  <pic:nvPicPr>
                    <pic:cNvPr id="0" name="fig_temporal.png"/>
                    <pic:cNvPicPr/>
                  </pic:nvPicPr>
                  <pic:blipFill>
                    <a:blip r:embed="rId12"/>
                    <a:stretch>
                      <a:fillRect/>
                    </a:stretch>
                  </pic:blipFill>
                  <pic:spPr>
                    <a:xfrm>
                      <a:off x="0" y="0"/>
                      <a:ext cx="5852160" cy="2381496"/>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Bars are event counts (left axis); the line is the annual maximum magnitude (right axis).</w:t>
      </w:r>
    </w:p>
    <w:p>
      <w:r>
        <w:br w:type="page"/>
      </w:r>
    </w:p>
    <w:p>
      <w:pPr>
        <w:spacing w:after="0"/>
      </w:pPr>
      <w:r>
        <w:rPr>
          <w:rFonts w:ascii="Times New Roman" w:hAnsi="Times New Roman" w:eastAsia="Times New Roman"/>
          <w:b/>
          <w:i w:val="0"/>
          <w:color w:val="000000"/>
          <w:sz w:val="24"/>
        </w:rPr>
        <w:t>Figure 5</w:t>
      </w:r>
    </w:p>
    <w:p>
      <w:pPr>
        <w:spacing w:after="160"/>
      </w:pPr>
      <w:r>
        <w:rPr>
          <w:rFonts w:ascii="Times New Roman" w:hAnsi="Times New Roman" w:eastAsia="Times New Roman"/>
          <w:b w:val="0"/>
          <w:i/>
          <w:color w:val="000000"/>
          <w:sz w:val="24"/>
        </w:rPr>
        <w:t>Distribution of Validation RMSE Across Rolling-Origin Folds</w:t>
      </w:r>
    </w:p>
    <w:p>
      <w:pPr>
        <w:jc w:val="center"/>
      </w:pPr>
      <w:r>
        <w:drawing>
          <wp:inline xmlns:a="http://schemas.openxmlformats.org/drawingml/2006/main" xmlns:pic="http://schemas.openxmlformats.org/drawingml/2006/picture">
            <wp:extent cx="5669280" cy="4890295"/>
            <wp:docPr id="5" name="Picture 5"/>
            <wp:cNvGraphicFramePr>
              <a:graphicFrameLocks noChangeAspect="1"/>
            </wp:cNvGraphicFramePr>
            <a:graphic>
              <a:graphicData uri="http://schemas.openxmlformats.org/drawingml/2006/picture">
                <pic:pic>
                  <pic:nvPicPr>
                    <pic:cNvPr id="0" name="fig_cv_distribution.png"/>
                    <pic:cNvPicPr/>
                  </pic:nvPicPr>
                  <pic:blipFill>
                    <a:blip r:embed="rId13"/>
                    <a:stretch>
                      <a:fillRect/>
                    </a:stretch>
                  </pic:blipFill>
                  <pic:spPr>
                    <a:xfrm>
                      <a:off x="0" y="0"/>
                      <a:ext cx="5669280" cy="4890295"/>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Models ordered by mean RMSE. The width of each box is the model's instability across folds, which a single test score cannot show.</w:t>
      </w:r>
    </w:p>
    <w:p>
      <w:r>
        <w:br w:type="page"/>
      </w:r>
    </w:p>
    <w:p>
      <w:pPr>
        <w:spacing w:after="0"/>
      </w:pPr>
      <w:r>
        <w:rPr>
          <w:rFonts w:ascii="Times New Roman" w:hAnsi="Times New Roman" w:eastAsia="Times New Roman"/>
          <w:b/>
          <w:i w:val="0"/>
          <w:color w:val="000000"/>
          <w:sz w:val="24"/>
        </w:rPr>
        <w:t>Figure 6</w:t>
      </w:r>
    </w:p>
    <w:p>
      <w:pPr>
        <w:spacing w:after="160"/>
      </w:pPr>
      <w:r>
        <w:rPr>
          <w:rFonts w:ascii="Times New Roman" w:hAnsi="Times New Roman" w:eastAsia="Times New Roman"/>
          <w:b w:val="0"/>
          <w:i/>
          <w:color w:val="000000"/>
          <w:sz w:val="24"/>
        </w:rPr>
        <w:t>Test-Partition RMSE for All 16 Models</w:t>
      </w:r>
    </w:p>
    <w:p>
      <w:pPr>
        <w:jc w:val="center"/>
      </w:pPr>
      <w:r>
        <w:drawing>
          <wp:inline xmlns:a="http://schemas.openxmlformats.org/drawingml/2006/main" xmlns:pic="http://schemas.openxmlformats.org/drawingml/2006/picture">
            <wp:extent cx="5669280" cy="4951986"/>
            <wp:docPr id="6" name="Picture 6"/>
            <wp:cNvGraphicFramePr>
              <a:graphicFrameLocks noChangeAspect="1"/>
            </wp:cNvGraphicFramePr>
            <a:graphic>
              <a:graphicData uri="http://schemas.openxmlformats.org/drawingml/2006/picture">
                <pic:pic>
                  <pic:nvPicPr>
                    <pic:cNvPr id="0" name="fig_leaderboard.png"/>
                    <pic:cNvPicPr/>
                  </pic:nvPicPr>
                  <pic:blipFill>
                    <a:blip r:embed="rId14"/>
                    <a:stretch>
                      <a:fillRect/>
                    </a:stretch>
                  </pic:blipFill>
                  <pic:spPr>
                    <a:xfrm>
                      <a:off x="0" y="0"/>
                      <a:ext cx="5669280" cy="4951986"/>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The dashed line marks the climatology baseline; any bar to its right is a model that fails to beat the historical average.</w:t>
      </w:r>
    </w:p>
    <w:p>
      <w:r>
        <w:br w:type="page"/>
      </w:r>
    </w:p>
    <w:p>
      <w:pPr>
        <w:spacing w:after="0"/>
      </w:pPr>
      <w:r>
        <w:rPr>
          <w:rFonts w:ascii="Times New Roman" w:hAnsi="Times New Roman" w:eastAsia="Times New Roman"/>
          <w:b/>
          <w:i w:val="0"/>
          <w:color w:val="000000"/>
          <w:sz w:val="24"/>
        </w:rPr>
        <w:t>Figure 7</w:t>
      </w:r>
    </w:p>
    <w:p>
      <w:pPr>
        <w:spacing w:after="160"/>
      </w:pPr>
      <w:r>
        <w:rPr>
          <w:rFonts w:ascii="Times New Roman" w:hAnsi="Times New Roman" w:eastAsia="Times New Roman"/>
          <w:b w:val="0"/>
          <w:i/>
          <w:color w:val="000000"/>
          <w:sz w:val="24"/>
        </w:rPr>
        <w:t>Validation Learning Curves for the Three Sequence Networks</w:t>
      </w:r>
    </w:p>
    <w:p>
      <w:pPr>
        <w:jc w:val="center"/>
      </w:pPr>
      <w:r>
        <w:drawing>
          <wp:inline xmlns:a="http://schemas.openxmlformats.org/drawingml/2006/main" xmlns:pic="http://schemas.openxmlformats.org/drawingml/2006/picture">
            <wp:extent cx="4754880" cy="2895083"/>
            <wp:docPr id="7" name="Picture 7"/>
            <wp:cNvGraphicFramePr>
              <a:graphicFrameLocks noChangeAspect="1"/>
            </wp:cNvGraphicFramePr>
            <a:graphic>
              <a:graphicData uri="http://schemas.openxmlformats.org/drawingml/2006/picture">
                <pic:pic>
                  <pic:nvPicPr>
                    <pic:cNvPr id="0" name="fig_learning_curves.png"/>
                    <pic:cNvPicPr/>
                  </pic:nvPicPr>
                  <pic:blipFill>
                    <a:blip r:embed="rId15"/>
                    <a:stretch>
                      <a:fillRect/>
                    </a:stretch>
                  </pic:blipFill>
                  <pic:spPr>
                    <a:xfrm>
                      <a:off x="0" y="0"/>
                      <a:ext cx="4754880" cy="2895083"/>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Early stopping restores the weights at each curve's minimum.</w:t>
      </w:r>
    </w:p>
    <w:p>
      <w:r>
        <w:br w:type="page"/>
      </w:r>
    </w:p>
    <w:p>
      <w:pPr>
        <w:spacing w:after="0"/>
      </w:pPr>
      <w:r>
        <w:rPr>
          <w:rFonts w:ascii="Times New Roman" w:hAnsi="Times New Roman" w:eastAsia="Times New Roman"/>
          <w:b/>
          <w:i w:val="0"/>
          <w:color w:val="000000"/>
          <w:sz w:val="24"/>
        </w:rPr>
        <w:t>Figure 8</w:t>
      </w:r>
    </w:p>
    <w:p>
      <w:pPr>
        <w:spacing w:after="160"/>
      </w:pPr>
      <w:r>
        <w:rPr>
          <w:rFonts w:ascii="Times New Roman" w:hAnsi="Times New Roman" w:eastAsia="Times New Roman"/>
          <w:b w:val="0"/>
          <w:i/>
          <w:color w:val="000000"/>
          <w:sz w:val="24"/>
        </w:rPr>
        <w:t>Permutation Feature Importance for the Random Forest Model</w:t>
      </w:r>
    </w:p>
    <w:p>
      <w:pPr>
        <w:jc w:val="center"/>
      </w:pPr>
      <w:r>
        <w:drawing>
          <wp:inline xmlns:a="http://schemas.openxmlformats.org/drawingml/2006/main" xmlns:pic="http://schemas.openxmlformats.org/drawingml/2006/picture">
            <wp:extent cx="4572000" cy="3455365"/>
            <wp:docPr id="8" name="Picture 8"/>
            <wp:cNvGraphicFramePr>
              <a:graphicFrameLocks noChangeAspect="1"/>
            </wp:cNvGraphicFramePr>
            <a:graphic>
              <a:graphicData uri="http://schemas.openxmlformats.org/drawingml/2006/picture">
                <pic:pic>
                  <pic:nvPicPr>
                    <pic:cNvPr id="0" name="fig_importance.png"/>
                    <pic:cNvPicPr/>
                  </pic:nvPicPr>
                  <pic:blipFill>
                    <a:blip r:embed="rId16"/>
                    <a:stretch>
                      <a:fillRect/>
                    </a:stretch>
                  </pic:blipFill>
                  <pic:spPr>
                    <a:xfrm>
                      <a:off x="0" y="0"/>
                      <a:ext cx="4572000" cy="3455365"/>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Error bars are ±1 SD over 20 permutation repeats on the test partition.</w:t>
      </w:r>
    </w:p>
    <w:p>
      <w:r>
        <w:br w:type="page"/>
      </w:r>
    </w:p>
    <w:p>
      <w:pPr>
        <w:spacing w:after="0"/>
      </w:pPr>
      <w:r>
        <w:rPr>
          <w:rFonts w:ascii="Times New Roman" w:hAnsi="Times New Roman" w:eastAsia="Times New Roman"/>
          <w:b/>
          <w:i w:val="0"/>
          <w:color w:val="000000"/>
          <w:sz w:val="24"/>
        </w:rPr>
        <w:t>Figure 9</w:t>
      </w:r>
    </w:p>
    <w:p>
      <w:pPr>
        <w:spacing w:after="160"/>
      </w:pPr>
      <w:r>
        <w:rPr>
          <w:rFonts w:ascii="Times New Roman" w:hAnsi="Times New Roman" w:eastAsia="Times New Roman"/>
          <w:b w:val="0"/>
          <w:i/>
          <w:color w:val="000000"/>
          <w:sz w:val="24"/>
        </w:rPr>
        <w:t>Forecast Versus Observed Mainshock Magnitude for the Three Leading Models</w:t>
      </w:r>
    </w:p>
    <w:p>
      <w:pPr>
        <w:jc w:val="center"/>
      </w:pPr>
      <w:r>
        <w:drawing>
          <wp:inline xmlns:a="http://schemas.openxmlformats.org/drawingml/2006/main" xmlns:pic="http://schemas.openxmlformats.org/drawingml/2006/picture">
            <wp:extent cx="5852160" cy="2046411"/>
            <wp:docPr id="9" name="Picture 9"/>
            <wp:cNvGraphicFramePr>
              <a:graphicFrameLocks noChangeAspect="1"/>
            </wp:cNvGraphicFramePr>
            <a:graphic>
              <a:graphicData uri="http://schemas.openxmlformats.org/drawingml/2006/picture">
                <pic:pic>
                  <pic:nvPicPr>
                    <pic:cNvPr id="0" name="fig_predictions.png"/>
                    <pic:cNvPicPr/>
                  </pic:nvPicPr>
                  <pic:blipFill>
                    <a:blip r:embed="rId17"/>
                    <a:stretch>
                      <a:fillRect/>
                    </a:stretch>
                  </pic:blipFill>
                  <pic:spPr>
                    <a:xfrm>
                      <a:off x="0" y="0"/>
                      <a:ext cx="5852160" cy="2046411"/>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The dashed line is perfect agreement.</w:t>
      </w:r>
    </w:p>
    <w:p>
      <w:r>
        <w:br w:type="page"/>
      </w:r>
    </w:p>
    <w:p>
      <w:pPr>
        <w:spacing w:after="0"/>
      </w:pPr>
      <w:r>
        <w:rPr>
          <w:rFonts w:ascii="Times New Roman" w:hAnsi="Times New Roman" w:eastAsia="Times New Roman"/>
          <w:b/>
          <w:i w:val="0"/>
          <w:color w:val="000000"/>
          <w:sz w:val="24"/>
        </w:rPr>
        <w:t>Figure 10</w:t>
      </w:r>
    </w:p>
    <w:p>
      <w:pPr>
        <w:spacing w:after="160"/>
      </w:pPr>
      <w:r>
        <w:rPr>
          <w:rFonts w:ascii="Times New Roman" w:hAnsi="Times New Roman" w:eastAsia="Times New Roman"/>
          <w:b w:val="0"/>
          <w:i/>
          <w:color w:val="000000"/>
          <w:sz w:val="24"/>
        </w:rPr>
        <w:t>Sequences Rejected by the Mainshock-Is-Largest Rule</w:t>
      </w:r>
    </w:p>
    <w:p>
      <w:pPr>
        <w:jc w:val="center"/>
      </w:pPr>
      <w:r>
        <w:drawing>
          <wp:inline xmlns:a="http://schemas.openxmlformats.org/drawingml/2006/main" xmlns:pic="http://schemas.openxmlformats.org/drawingml/2006/picture">
            <wp:extent cx="5852160" cy="2706481"/>
            <wp:docPr id="10" name="Picture 10"/>
            <wp:cNvGraphicFramePr>
              <a:graphicFrameLocks noChangeAspect="1"/>
            </wp:cNvGraphicFramePr>
            <a:graphic>
              <a:graphicData uri="http://schemas.openxmlformats.org/drawingml/2006/picture">
                <pic:pic>
                  <pic:nvPicPr>
                    <pic:cNvPr id="0" name="fig_foreshock_gap.png"/>
                    <pic:cNvPicPr/>
                  </pic:nvPicPr>
                  <pic:blipFill>
                    <a:blip r:embed="rId18"/>
                    <a:stretch>
                      <a:fillRect/>
                    </a:stretch>
                  </pic:blipFill>
                  <pic:spPr>
                    <a:xfrm>
                      <a:off x="0" y="0"/>
                      <a:ext cx="5852160" cy="2706481"/>
                    </a:xfrm>
                    <a:prstGeom prst="rect"/>
                  </pic:spPr>
                </pic:pic>
              </a:graphicData>
            </a:graphic>
          </wp:inline>
        </w:drawing>
      </w:r>
    </w:p>
    <w:p>
      <w:pPr>
        <w:spacing w:line="240" w:lineRule="auto"/>
      </w:pPr>
      <w:r>
        <w:rPr>
          <w:rFonts w:ascii="Times New Roman" w:hAnsi="Times New Roman" w:eastAsia="Times New Roman"/>
          <w:b w:val="0"/>
          <w:i/>
          <w:color w:val="000000"/>
          <w:sz w:val="20"/>
        </w:rPr>
        <w:t xml:space="preserve">Note. </w:t>
      </w:r>
      <w:r>
        <w:rPr>
          <w:rFonts w:ascii="Times New Roman" w:hAnsi="Times New Roman" w:eastAsia="Times New Roman"/>
          <w:b w:val="0"/>
          <w:i w:val="0"/>
          <w:color w:val="000000"/>
          <w:sz w:val="20"/>
        </w:rPr>
        <w:t>Built without the rule, to show what it removes. Panel (a) plots the two magnitudes against each other; the dashed line is equality and every point in the shaded half is a window that held an earthquake larger than the mainshock it was supposed to precede. Panel (b) is the distribution of the difference. The analysis retains only the points on or above the line.</w:t>
      </w:r>
    </w:p>
    <w:p>
      <w:r>
        <w:br w:type="page"/>
      </w:r>
    </w:p>
    <w:p>
      <w:pPr>
        <w:spacing w:after="0"/>
      </w:pPr>
      <w:r>
        <w:rPr>
          <w:rFonts w:ascii="Times New Roman" w:hAnsi="Times New Roman" w:eastAsia="Times New Roman"/>
          <w:b/>
          <w:i w:val="0"/>
          <w:color w:val="000000"/>
          <w:sz w:val="24"/>
        </w:rPr>
        <w:t>Figure 11</w:t>
      </w:r>
    </w:p>
    <w:p>
      <w:pPr>
        <w:spacing w:after="160"/>
      </w:pPr>
      <w:r>
        <w:rPr>
          <w:rFonts w:ascii="Times New Roman" w:hAnsi="Times New Roman" w:eastAsia="Times New Roman"/>
          <w:b w:val="0"/>
          <w:i/>
          <w:color w:val="000000"/>
          <w:sz w:val="24"/>
        </w:rPr>
        <w:t>Residuals Against Forecast Magnitude</w:t>
      </w:r>
    </w:p>
    <w:p>
      <w:pPr>
        <w:jc w:val="center"/>
      </w:pPr>
      <w:r>
        <w:drawing>
          <wp:inline xmlns:a="http://schemas.openxmlformats.org/drawingml/2006/main" xmlns:pic="http://schemas.openxmlformats.org/drawingml/2006/picture">
            <wp:extent cx="4572000" cy="2897047"/>
            <wp:docPr id="11" name="Picture 11"/>
            <wp:cNvGraphicFramePr>
              <a:graphicFrameLocks noChangeAspect="1"/>
            </wp:cNvGraphicFramePr>
            <a:graphic>
              <a:graphicData uri="http://schemas.openxmlformats.org/drawingml/2006/picture">
                <pic:pic>
                  <pic:nvPicPr>
                    <pic:cNvPr id="0" name="fig_residuals.png"/>
                    <pic:cNvPicPr/>
                  </pic:nvPicPr>
                  <pic:blipFill>
                    <a:blip r:embed="rId19"/>
                    <a:stretch>
                      <a:fillRect/>
                    </a:stretch>
                  </pic:blipFill>
                  <pic:spPr>
                    <a:xfrm>
                      <a:off x="0" y="0"/>
                      <a:ext cx="4572000" cy="2897047"/>
                    </a:xfrm>
                    <a:prstGeom prst="rect"/>
                  </pic:spPr>
                </pic:pic>
              </a:graphicData>
            </a:graphic>
          </wp:inline>
        </w:drawing>
      </w:r>
    </w:p>
    <w:p>
      <w:r>
        <w:br w:type="page"/>
      </w:r>
    </w:p>
    <w:p>
      <w:pPr>
        <w:spacing w:after="0"/>
      </w:pPr>
      <w:r>
        <w:rPr>
          <w:rFonts w:ascii="Times New Roman" w:hAnsi="Times New Roman" w:eastAsia="Times New Roman"/>
          <w:b/>
          <w:i w:val="0"/>
          <w:color w:val="000000"/>
          <w:sz w:val="24"/>
        </w:rPr>
        <w:t>Figure 12</w:t>
      </w:r>
    </w:p>
    <w:p>
      <w:pPr>
        <w:spacing w:after="160"/>
      </w:pPr>
      <w:r>
        <w:rPr>
          <w:rFonts w:ascii="Times New Roman" w:hAnsi="Times New Roman" w:eastAsia="Times New Roman"/>
          <w:b w:val="0"/>
          <w:i/>
          <w:color w:val="000000"/>
          <w:sz w:val="24"/>
        </w:rPr>
        <w:t>Confusion Matrix for Magnitude-Class Forecasts</w:t>
      </w:r>
    </w:p>
    <w:p>
      <w:pPr>
        <w:jc w:val="center"/>
      </w:pPr>
      <w:r>
        <w:drawing>
          <wp:inline xmlns:a="http://schemas.openxmlformats.org/drawingml/2006/main" xmlns:pic="http://schemas.openxmlformats.org/drawingml/2006/picture">
            <wp:extent cx="4023360" cy="3488497"/>
            <wp:docPr id="12" name="Picture 12"/>
            <wp:cNvGraphicFramePr>
              <a:graphicFrameLocks noChangeAspect="1"/>
            </wp:cNvGraphicFramePr>
            <a:graphic>
              <a:graphicData uri="http://schemas.openxmlformats.org/drawingml/2006/picture">
                <pic:pic>
                  <pic:nvPicPr>
                    <pic:cNvPr id="0" name="fig_confusion.png"/>
                    <pic:cNvPicPr/>
                  </pic:nvPicPr>
                  <pic:blipFill>
                    <a:blip r:embed="rId20"/>
                    <a:stretch>
                      <a:fillRect/>
                    </a:stretch>
                  </pic:blipFill>
                  <pic:spPr>
                    <a:xfrm>
                      <a:off x="0" y="0"/>
                      <a:ext cx="4023360" cy="3488497"/>
                    </a:xfrm>
                    <a:prstGeom prst="rect"/>
                  </pic:spPr>
                </pic:pic>
              </a:graphicData>
            </a:graphic>
          </wp:inline>
        </w:drawing>
      </w:r>
    </w:p>
    <w:p>
      <w:pPr>
        <w:spacing w:before="360" w:after="120"/>
        <w:jc w:val="center"/>
      </w:pPr>
      <w:r>
        <w:rPr>
          <w:rFonts w:ascii="Times New Roman" w:hAnsi="Times New Roman" w:eastAsia="Times New Roman"/>
          <w:b/>
          <w:i w:val="0"/>
          <w:color w:val="000000"/>
          <w:sz w:val="24"/>
        </w:rPr>
        <w:t>List of Tables</w:t>
      </w:r>
    </w:p>
    <w:p>
      <w:pPr>
        <w:spacing w:after="120" w:line="360" w:lineRule="auto"/>
      </w:pPr>
      <w:r>
        <w:rPr>
          <w:rFonts w:ascii="Times New Roman" w:hAnsi="Times New Roman" w:eastAsia="Times New Roman"/>
          <w:b w:val="0"/>
          <w:i w:val="0"/>
          <w:color w:val="000000"/>
          <w:sz w:val="22"/>
        </w:rPr>
        <w:t>Table 1. Profile of the PHIVOLCS Earthquake Catalogue After Cleaning</w:t>
      </w:r>
    </w:p>
    <w:p>
      <w:pPr>
        <w:spacing w:after="120" w:line="360" w:lineRule="auto"/>
      </w:pPr>
      <w:r>
        <w:rPr>
          <w:rFonts w:ascii="Times New Roman" w:hAnsi="Times New Roman" w:eastAsia="Times New Roman"/>
          <w:b w:val="0"/>
          <w:i w:val="0"/>
          <w:color w:val="000000"/>
          <w:sz w:val="22"/>
        </w:rPr>
        <w:t>Table 2. Data-Cleaning Audit Trail</w:t>
      </w:r>
    </w:p>
    <w:p>
      <w:pPr>
        <w:spacing w:after="120" w:line="360" w:lineRule="auto"/>
      </w:pPr>
      <w:r>
        <w:rPr>
          <w:rFonts w:ascii="Times New Roman" w:hAnsi="Times New Roman" w:eastAsia="Times New Roman"/>
          <w:b w:val="0"/>
          <w:i w:val="0"/>
          <w:color w:val="000000"/>
          <w:sz w:val="22"/>
        </w:rPr>
        <w:t>Table 3. Availability and Distribution of the Four Reported Magnitude Scales</w:t>
      </w:r>
    </w:p>
    <w:p>
      <w:pPr>
        <w:spacing w:after="120" w:line="360" w:lineRule="auto"/>
      </w:pPr>
      <w:r>
        <w:rPr>
          <w:rFonts w:ascii="Times New Roman" w:hAnsi="Times New Roman" w:eastAsia="Times New Roman"/>
          <w:b w:val="0"/>
          <w:i w:val="0"/>
          <w:color w:val="000000"/>
          <w:sz w:val="22"/>
        </w:rPr>
        <w:t>Table 4. Co-Reporting of Magnitude Scales Within the Catalogue</w:t>
      </w:r>
    </w:p>
    <w:p>
      <w:pPr>
        <w:spacing w:after="120" w:line="360" w:lineRule="auto"/>
      </w:pPr>
      <w:r>
        <w:rPr>
          <w:rFonts w:ascii="Times New Roman" w:hAnsi="Times New Roman" w:eastAsia="Times New Roman"/>
          <w:b w:val="0"/>
          <w:i w:val="0"/>
          <w:color w:val="000000"/>
          <w:sz w:val="22"/>
        </w:rPr>
        <w:t>Table 5. Orthogonal Regression Relations Between Magnitude Scales</w:t>
      </w:r>
    </w:p>
    <w:p>
      <w:pPr>
        <w:spacing w:after="120" w:line="360" w:lineRule="auto"/>
      </w:pPr>
      <w:r>
        <w:rPr>
          <w:rFonts w:ascii="Times New Roman" w:hAnsi="Times New Roman" w:eastAsia="Times New Roman"/>
          <w:b w:val="0"/>
          <w:i w:val="0"/>
          <w:color w:val="000000"/>
          <w:sz w:val="22"/>
        </w:rPr>
        <w:t>Table 6. Distance to the Nearest Active Fault, and Its Verification</w:t>
      </w:r>
    </w:p>
    <w:p>
      <w:pPr>
        <w:spacing w:after="120" w:line="360" w:lineRule="auto"/>
      </w:pPr>
      <w:r>
        <w:rPr>
          <w:rFonts w:ascii="Times New Roman" w:hAnsi="Times New Roman" w:eastAsia="Times New Roman"/>
          <w:b w:val="0"/>
          <w:i w:val="0"/>
          <w:color w:val="000000"/>
          <w:sz w:val="22"/>
        </w:rPr>
        <w:t>Table 7. Descriptive Statistics for the Principal Seismic Parameters</w:t>
      </w:r>
    </w:p>
    <w:p>
      <w:pPr>
        <w:spacing w:after="120" w:line="360" w:lineRule="auto"/>
      </w:pPr>
      <w:r>
        <w:rPr>
          <w:rFonts w:ascii="Times New Roman" w:hAnsi="Times New Roman" w:eastAsia="Times New Roman"/>
          <w:b w:val="0"/>
          <w:i w:val="0"/>
          <w:color w:val="000000"/>
          <w:sz w:val="22"/>
        </w:rPr>
        <w:t>Table 8. Frequency Distribution of Events by Magnitude Class</w:t>
      </w:r>
    </w:p>
    <w:p>
      <w:pPr>
        <w:spacing w:after="120" w:line="360" w:lineRule="auto"/>
      </w:pPr>
      <w:r>
        <w:rPr>
          <w:rFonts w:ascii="Times New Roman" w:hAnsi="Times New Roman" w:eastAsia="Times New Roman"/>
          <w:b w:val="0"/>
          <w:i w:val="0"/>
          <w:color w:val="000000"/>
          <w:sz w:val="22"/>
        </w:rPr>
        <w:t>Table 9. Recorded Seismicity by Decade</w:t>
      </w:r>
    </w:p>
    <w:p>
      <w:pPr>
        <w:spacing w:after="120" w:line="360" w:lineRule="auto"/>
      </w:pPr>
      <w:r>
        <w:rPr>
          <w:rFonts w:ascii="Times New Roman" w:hAnsi="Times New Roman" w:eastAsia="Times New Roman"/>
          <w:b w:val="0"/>
          <w:i w:val="0"/>
          <w:color w:val="000000"/>
          <w:sz w:val="22"/>
        </w:rPr>
        <w:t>Table 10. Frequency Distribution of Events by Hypocentral Depth Class</w:t>
      </w:r>
    </w:p>
    <w:p>
      <w:pPr>
        <w:spacing w:after="120" w:line="360" w:lineRule="auto"/>
      </w:pPr>
      <w:r>
        <w:rPr>
          <w:rFonts w:ascii="Times New Roman" w:hAnsi="Times New Roman" w:eastAsia="Times New Roman"/>
          <w:b w:val="0"/>
          <w:i w:val="0"/>
          <w:color w:val="000000"/>
          <w:sz w:val="22"/>
        </w:rPr>
        <w:t>Table 11. Cross-Tabulation of Magnitude Class by Hypocentral Depth Class</w:t>
      </w:r>
    </w:p>
    <w:p>
      <w:pPr>
        <w:spacing w:after="120" w:line="360" w:lineRule="auto"/>
      </w:pPr>
      <w:r>
        <w:rPr>
          <w:rFonts w:ascii="Times New Roman" w:hAnsi="Times New Roman" w:eastAsia="Times New Roman"/>
          <w:b w:val="0"/>
          <w:i w:val="0"/>
          <w:color w:val="000000"/>
          <w:sz w:val="22"/>
        </w:rPr>
        <w:t>Table 12. Tests of Normality for the Seismic Parameters</w:t>
      </w:r>
    </w:p>
    <w:p>
      <w:pPr>
        <w:spacing w:after="120" w:line="360" w:lineRule="auto"/>
      </w:pPr>
      <w:r>
        <w:rPr>
          <w:rFonts w:ascii="Times New Roman" w:hAnsi="Times New Roman" w:eastAsia="Times New Roman"/>
          <w:b w:val="0"/>
          <w:i w:val="0"/>
          <w:color w:val="000000"/>
          <w:sz w:val="22"/>
        </w:rPr>
        <w:t>Table 13. Pearson Correlation Matrix for the Seismic Parameters</w:t>
      </w:r>
    </w:p>
    <w:p>
      <w:pPr>
        <w:spacing w:after="120" w:line="360" w:lineRule="auto"/>
      </w:pPr>
      <w:r>
        <w:rPr>
          <w:rFonts w:ascii="Times New Roman" w:hAnsi="Times New Roman" w:eastAsia="Times New Roman"/>
          <w:b w:val="0"/>
          <w:i w:val="0"/>
          <w:color w:val="000000"/>
          <w:sz w:val="22"/>
        </w:rPr>
        <w:t>Table 14. Pairwise Associations Among the Seismic Parameters</w:t>
      </w:r>
    </w:p>
    <w:p>
      <w:pPr>
        <w:spacing w:after="120" w:line="360" w:lineRule="auto"/>
      </w:pPr>
      <w:r>
        <w:rPr>
          <w:rFonts w:ascii="Times New Roman" w:hAnsi="Times New Roman" w:eastAsia="Times New Roman"/>
          <w:b w:val="0"/>
          <w:i w:val="0"/>
          <w:color w:val="000000"/>
          <w:sz w:val="22"/>
        </w:rPr>
        <w:t>Table 15. Magnitude by Depth Class: Group Descriptive Statistics</w:t>
      </w:r>
    </w:p>
    <w:p>
      <w:pPr>
        <w:spacing w:after="120" w:line="360" w:lineRule="auto"/>
      </w:pPr>
      <w:r>
        <w:rPr>
          <w:rFonts w:ascii="Times New Roman" w:hAnsi="Times New Roman" w:eastAsia="Times New Roman"/>
          <w:b w:val="0"/>
          <w:i w:val="0"/>
          <w:color w:val="000000"/>
          <w:sz w:val="22"/>
        </w:rPr>
        <w:t>Table 16. Omnibus Tests of Magnitude Differences Across Depth Classes</w:t>
      </w:r>
    </w:p>
    <w:p>
      <w:pPr>
        <w:spacing w:after="120" w:line="360" w:lineRule="auto"/>
      </w:pPr>
      <w:r>
        <w:rPr>
          <w:rFonts w:ascii="Times New Roman" w:hAnsi="Times New Roman" w:eastAsia="Times New Roman"/>
          <w:b w:val="0"/>
          <w:i w:val="0"/>
          <w:color w:val="000000"/>
          <w:sz w:val="22"/>
        </w:rPr>
        <w:t>Table 17. Dunn's Post Hoc Comparisons of Magnitude Across Depth Classes</w:t>
      </w:r>
    </w:p>
    <w:p>
      <w:pPr>
        <w:spacing w:after="120" w:line="360" w:lineRule="auto"/>
      </w:pPr>
      <w:r>
        <w:rPr>
          <w:rFonts w:ascii="Times New Roman" w:hAnsi="Times New Roman" w:eastAsia="Times New Roman"/>
          <w:b w:val="0"/>
          <w:i w:val="0"/>
          <w:color w:val="000000"/>
          <w:sz w:val="22"/>
        </w:rPr>
        <w:t>Table 18. Chi-Square Test of Independence: Magnitude Class by Depth Class</w:t>
      </w:r>
    </w:p>
    <w:p>
      <w:pPr>
        <w:spacing w:after="120" w:line="360" w:lineRule="auto"/>
      </w:pPr>
      <w:r>
        <w:rPr>
          <w:rFonts w:ascii="Times New Roman" w:hAnsi="Times New Roman" w:eastAsia="Times New Roman"/>
          <w:b w:val="0"/>
          <w:i w:val="0"/>
          <w:color w:val="000000"/>
          <w:sz w:val="22"/>
        </w:rPr>
        <w:t>Table 19. Standardised Residuals for the Magnitude-by-Depth Cross-Tabulation</w:t>
      </w:r>
    </w:p>
    <w:p>
      <w:pPr>
        <w:spacing w:after="120" w:line="360" w:lineRule="auto"/>
      </w:pPr>
      <w:r>
        <w:rPr>
          <w:rFonts w:ascii="Times New Roman" w:hAnsi="Times New Roman" w:eastAsia="Times New Roman"/>
          <w:b w:val="0"/>
          <w:i w:val="0"/>
          <w:color w:val="000000"/>
          <w:sz w:val="22"/>
        </w:rPr>
        <w:t>Table 20. Mann–Kendall Trend Tests on the Annual Seismicity Series</w:t>
      </w:r>
    </w:p>
    <w:p>
      <w:pPr>
        <w:spacing w:after="120" w:line="360" w:lineRule="auto"/>
      </w:pPr>
      <w:r>
        <w:rPr>
          <w:rFonts w:ascii="Times New Roman" w:hAnsi="Times New Roman" w:eastAsia="Times New Roman"/>
          <w:b w:val="0"/>
          <w:i w:val="0"/>
          <w:color w:val="000000"/>
          <w:sz w:val="22"/>
        </w:rPr>
        <w:t>Table 21. Comparison of Recorded Magnitudes Before and After 1980</w:t>
      </w:r>
    </w:p>
    <w:p>
      <w:pPr>
        <w:spacing w:after="120" w:line="360" w:lineRule="auto"/>
      </w:pPr>
      <w:r>
        <w:rPr>
          <w:rFonts w:ascii="Times New Roman" w:hAnsi="Times New Roman" w:eastAsia="Times New Roman"/>
          <w:b w:val="0"/>
          <w:i w:val="0"/>
          <w:color w:val="000000"/>
          <w:sz w:val="22"/>
        </w:rPr>
        <w:t>Table 22. Completeness Magnitude and Gutenberg–Richter Parameters for the Full Catalogue</w:t>
      </w:r>
    </w:p>
    <w:p>
      <w:pPr>
        <w:spacing w:after="120" w:line="360" w:lineRule="auto"/>
      </w:pPr>
      <w:r>
        <w:rPr>
          <w:rFonts w:ascii="Times New Roman" w:hAnsi="Times New Roman" w:eastAsia="Times New Roman"/>
          <w:b w:val="0"/>
          <w:i w:val="0"/>
          <w:color w:val="000000"/>
          <w:sz w:val="22"/>
        </w:rPr>
        <w:t>Table 23. Gutenberg–Richter Parameters by Decade, 1980 to Present</w:t>
      </w:r>
    </w:p>
    <w:p>
      <w:pPr>
        <w:spacing w:after="120" w:line="360" w:lineRule="auto"/>
      </w:pPr>
      <w:r>
        <w:rPr>
          <w:rFonts w:ascii="Times New Roman" w:hAnsi="Times New Roman" w:eastAsia="Times New Roman"/>
          <w:b w:val="0"/>
          <w:i w:val="0"/>
          <w:color w:val="000000"/>
          <w:sz w:val="22"/>
        </w:rPr>
        <w:t>Table 24. Gutenberg–Richter Parameters by Hypocentral Depth Class</w:t>
      </w:r>
    </w:p>
    <w:p>
      <w:pPr>
        <w:spacing w:after="120" w:line="360" w:lineRule="auto"/>
      </w:pPr>
      <w:r>
        <w:rPr>
          <w:rFonts w:ascii="Times New Roman" w:hAnsi="Times New Roman" w:eastAsia="Times New Roman"/>
          <w:b w:val="0"/>
          <w:i w:val="0"/>
          <w:color w:val="000000"/>
          <w:sz w:val="22"/>
        </w:rPr>
        <w:t>Table 25. Space–Time Windows Implied by Maeda's Method</w:t>
      </w:r>
    </w:p>
    <w:p>
      <w:pPr>
        <w:spacing w:after="120" w:line="360" w:lineRule="auto"/>
      </w:pPr>
      <w:r>
        <w:rPr>
          <w:rFonts w:ascii="Times New Roman" w:hAnsi="Times New Roman" w:eastAsia="Times New Roman"/>
          <w:b w:val="0"/>
          <w:i w:val="0"/>
          <w:color w:val="000000"/>
          <w:sz w:val="22"/>
        </w:rPr>
        <w:t>Table 26. Outcome of Maeda's Declustering Procedure</w:t>
      </w:r>
    </w:p>
    <w:p>
      <w:pPr>
        <w:spacing w:after="120" w:line="360" w:lineRule="auto"/>
      </w:pPr>
      <w:r>
        <w:rPr>
          <w:rFonts w:ascii="Times New Roman" w:hAnsi="Times New Roman" w:eastAsia="Times New Roman"/>
          <w:b w:val="0"/>
          <w:i w:val="0"/>
          <w:color w:val="000000"/>
          <w:sz w:val="22"/>
        </w:rPr>
        <w:t>Table 27. Catalogue Descriptive Statistics Before and After Declustering</w:t>
      </w:r>
    </w:p>
    <w:p>
      <w:pPr>
        <w:spacing w:after="120" w:line="360" w:lineRule="auto"/>
      </w:pPr>
      <w:r>
        <w:rPr>
          <w:rFonts w:ascii="Times New Roman" w:hAnsi="Times New Roman" w:eastAsia="Times New Roman"/>
          <w:b w:val="0"/>
          <w:i w:val="0"/>
          <w:color w:val="000000"/>
          <w:sz w:val="22"/>
        </w:rPr>
        <w:t>Table 28. Gutenberg–Richter Parameters for the Declustered Catalogue</w:t>
      </w:r>
    </w:p>
    <w:p>
      <w:pPr>
        <w:spacing w:after="120" w:line="360" w:lineRule="auto"/>
      </w:pPr>
      <w:r>
        <w:rPr>
          <w:rFonts w:ascii="Times New Roman" w:hAnsi="Times New Roman" w:eastAsia="Times New Roman"/>
          <w:b w:val="0"/>
          <w:i w:val="0"/>
          <w:color w:val="000000"/>
          <w:sz w:val="22"/>
        </w:rPr>
        <w:t>Table 29. The 27 Engineered Seismic Features</w:t>
      </w:r>
    </w:p>
    <w:p>
      <w:pPr>
        <w:spacing w:after="120" w:line="360" w:lineRule="auto"/>
      </w:pPr>
      <w:r>
        <w:rPr>
          <w:rFonts w:ascii="Times New Roman" w:hAnsi="Times New Roman" w:eastAsia="Times New Roman"/>
          <w:b w:val="0"/>
          <w:i w:val="0"/>
          <w:color w:val="000000"/>
          <w:sz w:val="22"/>
        </w:rPr>
        <w:t>Table 30. Construction of the Forecast Sequence Data Set</w:t>
      </w:r>
    </w:p>
    <w:p>
      <w:pPr>
        <w:spacing w:after="120" w:line="360" w:lineRule="auto"/>
      </w:pPr>
      <w:r>
        <w:rPr>
          <w:rFonts w:ascii="Times New Roman" w:hAnsi="Times New Roman" w:eastAsia="Times New Roman"/>
          <w:b w:val="0"/>
          <w:i w:val="0"/>
          <w:color w:val="000000"/>
          <w:sz w:val="22"/>
        </w:rPr>
        <w:t>Table 31. Descriptive Statistics for the 27 Engineered Features</w:t>
      </w:r>
    </w:p>
    <w:p>
      <w:pPr>
        <w:spacing w:after="120" w:line="360" w:lineRule="auto"/>
      </w:pPr>
      <w:r>
        <w:rPr>
          <w:rFonts w:ascii="Times New Roman" w:hAnsi="Times New Roman" w:eastAsia="Times New Roman"/>
          <w:b w:val="0"/>
          <w:i w:val="0"/>
          <w:color w:val="000000"/>
          <w:sz w:val="22"/>
        </w:rPr>
        <w:t>Table 32. Correlations Between Each Engineered Feature and the Mainshock Magnitude</w:t>
      </w:r>
    </w:p>
    <w:p>
      <w:pPr>
        <w:spacing w:after="120" w:line="360" w:lineRule="auto"/>
      </w:pPr>
      <w:r>
        <w:rPr>
          <w:rFonts w:ascii="Times New Roman" w:hAnsi="Times New Roman" w:eastAsia="Times New Roman"/>
          <w:b w:val="0"/>
          <w:i w:val="0"/>
          <w:color w:val="000000"/>
          <w:sz w:val="22"/>
        </w:rPr>
        <w:t>Table 33. Why the Mainshock-Is-Largest Rule Is Needed</w:t>
      </w:r>
    </w:p>
    <w:p>
      <w:pPr>
        <w:spacing w:after="120" w:line="360" w:lineRule="auto"/>
      </w:pPr>
      <w:r>
        <w:rPr>
          <w:rFonts w:ascii="Times New Roman" w:hAnsi="Times New Roman" w:eastAsia="Times New Roman"/>
          <w:b w:val="0"/>
          <w:i w:val="0"/>
          <w:color w:val="000000"/>
          <w:sz w:val="22"/>
        </w:rPr>
        <w:t>Table 34. Construction of the Occurrence Data Set</w:t>
      </w:r>
    </w:p>
    <w:p>
      <w:pPr>
        <w:spacing w:after="120" w:line="360" w:lineRule="auto"/>
      </w:pPr>
      <w:r>
        <w:rPr>
          <w:rFonts w:ascii="Times New Roman" w:hAnsi="Times New Roman" w:eastAsia="Times New Roman"/>
          <w:b w:val="0"/>
          <w:i w:val="0"/>
          <w:color w:val="000000"/>
          <w:sz w:val="22"/>
        </w:rPr>
        <w:t>Table 35. Does the Model Beat the Historical Rate? Rolling-Origin Scores</w:t>
      </w:r>
    </w:p>
    <w:p>
      <w:pPr>
        <w:spacing w:after="120" w:line="360" w:lineRule="auto"/>
      </w:pPr>
      <w:r>
        <w:rPr>
          <w:rFonts w:ascii="Times New Roman" w:hAnsi="Times New Roman" w:eastAsia="Times New Roman"/>
          <w:b w:val="0"/>
          <w:i w:val="0"/>
          <w:color w:val="000000"/>
          <w:sz w:val="22"/>
        </w:rPr>
        <w:t>Table 36. Probability of Occurrence With 95% Confidence Intervals</w:t>
      </w:r>
    </w:p>
    <w:p>
      <w:pPr>
        <w:spacing w:after="120" w:line="360" w:lineRule="auto"/>
      </w:pPr>
      <w:r>
        <w:rPr>
          <w:rFonts w:ascii="Times New Roman" w:hAnsi="Times New Roman" w:eastAsia="Times New Roman"/>
          <w:b w:val="0"/>
          <w:i w:val="0"/>
          <w:color w:val="000000"/>
          <w:sz w:val="22"/>
        </w:rPr>
        <w:t>Table 37. Chronological 60:20:20 Partitioning of the Sequence Data Set</w:t>
      </w:r>
    </w:p>
    <w:p>
      <w:pPr>
        <w:spacing w:after="120" w:line="360" w:lineRule="auto"/>
      </w:pPr>
      <w:r>
        <w:rPr>
          <w:rFonts w:ascii="Times New Roman" w:hAnsi="Times New Roman" w:eastAsia="Times New Roman"/>
          <w:b w:val="0"/>
          <w:i w:val="0"/>
          <w:color w:val="000000"/>
          <w:sz w:val="22"/>
        </w:rPr>
        <w:t>Table 38. Magnitude-Class Distribution Across the Three Partitions</w:t>
      </w:r>
    </w:p>
    <w:p>
      <w:pPr>
        <w:spacing w:after="120" w:line="360" w:lineRule="auto"/>
      </w:pPr>
      <w:r>
        <w:rPr>
          <w:rFonts w:ascii="Times New Roman" w:hAnsi="Times New Roman" w:eastAsia="Times New Roman"/>
          <w:b w:val="0"/>
          <w:i w:val="0"/>
          <w:color w:val="000000"/>
          <w:sz w:val="22"/>
        </w:rPr>
        <w:t>Table 39. Random Forest Hyperparameter Search (Top 12 Configurations)</w:t>
      </w:r>
    </w:p>
    <w:p>
      <w:pPr>
        <w:spacing w:after="120" w:line="360" w:lineRule="auto"/>
      </w:pPr>
      <w:r>
        <w:rPr>
          <w:rFonts w:ascii="Times New Roman" w:hAnsi="Times New Roman" w:eastAsia="Times New Roman"/>
          <w:b w:val="0"/>
          <w:i w:val="0"/>
          <w:color w:val="000000"/>
          <w:sz w:val="22"/>
        </w:rPr>
        <w:t>Table 40. Inventory of the Forecasting Models Compared</w:t>
      </w:r>
    </w:p>
    <w:p>
      <w:pPr>
        <w:spacing w:after="120" w:line="360" w:lineRule="auto"/>
      </w:pPr>
      <w:r>
        <w:rPr>
          <w:rFonts w:ascii="Times New Roman" w:hAnsi="Times New Roman" w:eastAsia="Times New Roman"/>
          <w:b w:val="0"/>
          <w:i w:val="0"/>
          <w:color w:val="000000"/>
          <w:sz w:val="22"/>
        </w:rPr>
        <w:t>Table 41. Rolling-Origin Cross-Validation Results Across All Models</w:t>
      </w:r>
    </w:p>
    <w:p>
      <w:pPr>
        <w:spacing w:after="120" w:line="360" w:lineRule="auto"/>
      </w:pPr>
      <w:r>
        <w:rPr>
          <w:rFonts w:ascii="Times New Roman" w:hAnsi="Times New Roman" w:eastAsia="Times New Roman"/>
          <w:b w:val="0"/>
          <w:i w:val="0"/>
          <w:color w:val="000000"/>
          <w:sz w:val="22"/>
        </w:rPr>
        <w:t>Table 42. Friedman Test for Differences Among the Models</w:t>
      </w:r>
    </w:p>
    <w:p>
      <w:pPr>
        <w:spacing w:after="120" w:line="360" w:lineRule="auto"/>
      </w:pPr>
      <w:r>
        <w:rPr>
          <w:rFonts w:ascii="Times New Roman" w:hAnsi="Times New Roman" w:eastAsia="Times New Roman"/>
          <w:b w:val="0"/>
          <w:i w:val="0"/>
          <w:color w:val="000000"/>
          <w:sz w:val="22"/>
        </w:rPr>
        <w:t>Table 43. Mean Ranks and Nemenyi Post Hoc Comparison Against the Leading Model</w:t>
      </w:r>
    </w:p>
    <w:p>
      <w:pPr>
        <w:spacing w:after="120" w:line="360" w:lineRule="auto"/>
      </w:pPr>
      <w:r>
        <w:rPr>
          <w:rFonts w:ascii="Times New Roman" w:hAnsi="Times New Roman" w:eastAsia="Times New Roman"/>
          <w:b w:val="0"/>
          <w:i w:val="0"/>
          <w:color w:val="000000"/>
          <w:sz w:val="22"/>
        </w:rPr>
        <w:t>Table 44. Test-Partition Leaderboard for All 16 Models</w:t>
      </w:r>
    </w:p>
    <w:p>
      <w:pPr>
        <w:spacing w:after="120" w:line="360" w:lineRule="auto"/>
      </w:pPr>
      <w:r>
        <w:rPr>
          <w:rFonts w:ascii="Times New Roman" w:hAnsi="Times New Roman" w:eastAsia="Times New Roman"/>
          <w:b w:val="0"/>
          <w:i w:val="0"/>
          <w:color w:val="000000"/>
          <w:sz w:val="22"/>
        </w:rPr>
        <w:t>Table 45. Diebold–Mariano Comparisons Among the Five Leading Models</w:t>
      </w:r>
    </w:p>
    <w:p>
      <w:pPr>
        <w:spacing w:after="120" w:line="360" w:lineRule="auto"/>
      </w:pPr>
      <w:r>
        <w:rPr>
          <w:rFonts w:ascii="Times New Roman" w:hAnsi="Times New Roman" w:eastAsia="Times New Roman"/>
          <w:b w:val="0"/>
          <w:i w:val="0"/>
          <w:color w:val="000000"/>
          <w:sz w:val="22"/>
        </w:rPr>
        <w:t>Table 46. Regression Performance Across the Three Partitions for the Two Headline Models</w:t>
      </w:r>
    </w:p>
    <w:p>
      <w:pPr>
        <w:spacing w:after="120" w:line="360" w:lineRule="auto"/>
      </w:pPr>
      <w:r>
        <w:rPr>
          <w:rFonts w:ascii="Times New Roman" w:hAnsi="Times New Roman" w:eastAsia="Times New Roman"/>
          <w:b w:val="0"/>
          <w:i w:val="0"/>
          <w:color w:val="000000"/>
          <w:sz w:val="22"/>
        </w:rPr>
        <w:t>Table 47. Check That the Forecasts Respect the Largest Foreshock</w:t>
      </w:r>
    </w:p>
    <w:p>
      <w:pPr>
        <w:spacing w:after="120" w:line="360" w:lineRule="auto"/>
      </w:pPr>
      <w:r>
        <w:rPr>
          <w:rFonts w:ascii="Times New Roman" w:hAnsi="Times New Roman" w:eastAsia="Times New Roman"/>
          <w:b w:val="0"/>
          <w:i w:val="0"/>
          <w:color w:val="000000"/>
          <w:sz w:val="22"/>
        </w:rPr>
        <w:t>Table 48. Training Outcome of the Three Sequence Networks</w:t>
      </w:r>
    </w:p>
    <w:p>
      <w:pPr>
        <w:spacing w:after="120" w:line="360" w:lineRule="auto"/>
      </w:pPr>
      <w:r>
        <w:rPr>
          <w:rFonts w:ascii="Times New Roman" w:hAnsi="Times New Roman" w:eastAsia="Times New Roman"/>
          <w:b w:val="0"/>
          <w:i w:val="0"/>
          <w:color w:val="000000"/>
          <w:sz w:val="22"/>
        </w:rPr>
        <w:t>Table 49. Statistical Comparison of the Two Headline Models on the Test Partition</w:t>
      </w:r>
    </w:p>
    <w:p>
      <w:pPr>
        <w:spacing w:after="120" w:line="360" w:lineRule="auto"/>
      </w:pPr>
      <w:r>
        <w:rPr>
          <w:rFonts w:ascii="Times New Roman" w:hAnsi="Times New Roman" w:eastAsia="Times New Roman"/>
          <w:b w:val="0"/>
          <w:i w:val="0"/>
          <w:color w:val="000000"/>
          <w:sz w:val="22"/>
        </w:rPr>
        <w:t>Table 50. Random Forest Feature Importance for Mainshock Magnitude</w:t>
      </w:r>
    </w:p>
    <w:p>
      <w:pPr>
        <w:spacing w:after="120" w:line="360" w:lineRule="auto"/>
      </w:pPr>
      <w:r>
        <w:rPr>
          <w:rFonts w:ascii="Times New Roman" w:hAnsi="Times New Roman" w:eastAsia="Times New Roman"/>
          <w:b w:val="0"/>
          <w:i w:val="0"/>
          <w:color w:val="000000"/>
          <w:sz w:val="22"/>
        </w:rPr>
        <w:t>Table 51. Confusion Matrix for Magnitude-Class Forecasts on the Test Partition</w:t>
      </w:r>
    </w:p>
    <w:p>
      <w:pPr>
        <w:spacing w:after="120" w:line="360" w:lineRule="auto"/>
      </w:pPr>
      <w:r>
        <w:rPr>
          <w:rFonts w:ascii="Times New Roman" w:hAnsi="Times New Roman" w:eastAsia="Times New Roman"/>
          <w:b w:val="0"/>
          <w:i w:val="0"/>
          <w:color w:val="000000"/>
          <w:sz w:val="22"/>
        </w:rPr>
        <w:t>Table 52. Per-Class Precision, Recall and F1-Score on the Test Partition</w:t>
      </w:r>
    </w:p>
    <w:p>
      <w:pPr>
        <w:spacing w:after="120" w:line="360" w:lineRule="auto"/>
      </w:pPr>
      <w:r>
        <w:rPr>
          <w:rFonts w:ascii="Times New Roman" w:hAnsi="Times New Roman" w:eastAsia="Times New Roman"/>
          <w:b w:val="0"/>
          <w:i w:val="0"/>
          <w:color w:val="000000"/>
          <w:sz w:val="22"/>
        </w:rPr>
        <w:t>Table 53. Overall Classification Agreement, Including Cohen's Weighted Kappa</w:t>
      </w:r>
    </w:p>
    <w:p>
      <w:pPr>
        <w:spacing w:after="120" w:line="360" w:lineRule="auto"/>
      </w:pPr>
      <w:r>
        <w:rPr>
          <w:rFonts w:ascii="Times New Roman" w:hAnsi="Times New Roman" w:eastAsia="Times New Roman"/>
          <w:b w:val="0"/>
          <w:i w:val="0"/>
          <w:color w:val="000000"/>
          <w:sz w:val="22"/>
        </w:rPr>
        <w:t>Table 54. Threshold-Free Probabilistic Skill for the M ≥ 6.0 Forecast</w:t>
      </w:r>
    </w:p>
    <w:p>
      <w:pPr>
        <w:spacing w:after="120" w:line="360" w:lineRule="auto"/>
      </w:pPr>
      <w:r>
        <w:rPr>
          <w:rFonts w:ascii="Times New Roman" w:hAnsi="Times New Roman" w:eastAsia="Times New Roman"/>
          <w:b w:val="0"/>
          <w:i w:val="0"/>
          <w:color w:val="000000"/>
          <w:sz w:val="22"/>
        </w:rPr>
        <w:t>Table 55. Operational Skill of the Forecast Treated as an M ≥ 6.0 Alarm</w:t>
      </w:r>
    </w:p>
    <w:p>
      <w:pPr>
        <w:spacing w:after="120" w:line="360" w:lineRule="auto"/>
      </w:pPr>
      <w:r>
        <w:rPr>
          <w:rFonts w:ascii="Times New Roman" w:hAnsi="Times New Roman" w:eastAsia="Times New Roman"/>
          <w:b w:val="0"/>
          <w:i w:val="0"/>
          <w:color w:val="000000"/>
          <w:sz w:val="22"/>
        </w:rPr>
        <w:t>Table 56. Residual Diagnostics for the Three Leading Models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