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ind w:left="0"/>
      </w:pPr>
      <w:r>
        <w:rPr>
          <w:sz w:val="4"/>
          <w:szCs w:val="4"/>
        </w:rPr>
        <w:t xml:space="preserve"> 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Facturación Electrónica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Arquitectura en la Nube (Cloud-Native)</w:t>
      </w:r>
    </w:p>
    <w:p>
      <w:pPr>
        <w:pBdr>
          <w:bottom w:val="single" w:color="2E75B6" w:sz="8"/>
        </w:pBd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Documento de Visión y Alcance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Artefacto 1 de 5 — Ingeniería de Requerimientos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Ingeniería de Requerimientos · Versión 1.0</w:t>
      </w:r>
    </w:p>
    <w:p>
      <w:pPr>
        <w:pStyle w:val="Heading1"/>
      </w:pPr>
      <w:r>
        <w:rPr>
          <w:rFonts w:ascii="Arial" w:cs="Arial" w:eastAsia="Arial" w:hAnsi="Arial"/>
        </w:rPr>
        <w:t xml:space="preserve">1. Visión y Alcance del Sistema</w:t>
      </w:r>
    </w:p>
    <w:p>
      <w:pPr>
        <w:pStyle w:val="Heading2"/>
      </w:pPr>
      <w:r>
        <w:rPr>
          <w:rFonts w:ascii="Arial" w:cs="Arial" w:eastAsia="Arial" w:hAnsi="Arial"/>
        </w:rPr>
        <w:t xml:space="preserve">1.1 Declaración de Visión</w:t>
      </w:r>
    </w:p>
    <w:p>
      <w:pPr>
        <w:pBdr>
          <w:left w:val="single" w:color="2E75B6" w:sz="12"/>
        </w:pBdr>
        <w:shd w:fill="DEEAF1" w:val="clear"/>
        <w:spacing w:after="120"/>
        <w:ind w:left="360" w:righ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"Para empresas obligadas a facturar electrónicamente, desarrollamos una plataforma SaaS cloud-native que automatiza la emisión, validación y gestión de documentos fiscales. A diferencia de soluciones legadas, ofrece SLA 99.9%, integración API REST y escalabilidad automática bajo demanda."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Objetivos del Producto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80"/>
        <w:gridCol w:w="2000"/>
        <w:gridCol w:w="1600"/>
      </w:tblGrid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OBJ-01</w:t>
            </w:r>
          </w:p>
        </w:tc>
        <w:tc>
          <w:tcPr>
            <w:tcW w:type="dxa" w:w="5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Cumplir la normativa de la autoridad tributaria (DIAN/SAT/SII).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rechazos normativos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OBJ-02</w:t>
            </w:r>
          </w:p>
        </w:tc>
        <w:tc>
          <w:tcPr>
            <w:tcW w:type="dxa" w:w="5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Reducir el tiempo de emisión de documentos.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3 seg/doc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OBJ-03</w:t>
            </w:r>
          </w:p>
        </w:tc>
        <w:tc>
          <w:tcPr>
            <w:tcW w:type="dxa" w:w="5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Garantizar disponibilidad continua del servicio.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 ≥ 99.9%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OBJ-04</w:t>
            </w:r>
          </w:p>
        </w:tc>
        <w:tc>
          <w:tcPr>
            <w:tcW w:type="dxa" w:w="5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Integrar con ERP/CRM mediante API documentada.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OpenAPI 3.0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OBJ-05</w:t>
            </w:r>
          </w:p>
        </w:tc>
        <w:tc>
          <w:tcPr>
            <w:tcW w:type="dxa" w:w="5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Escalar automáticamente en picos de demanda.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10.000 doc/min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Alcance del Sistema</w:t>
      </w:r>
    </w:p>
    <w:p>
      <w:pPr>
        <w:pStyle w:val="Heading3"/>
      </w:pPr>
      <w:r>
        <w:rPr>
          <w:rFonts w:ascii="Arial" w:cs="Arial" w:eastAsia="Arial" w:hAnsi="Arial"/>
        </w:rPr>
        <w:t xml:space="preserve">Dentro del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Emisión de facturas electrónicas, notas crédito y notas débito en formato XML UBL 2.1.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Firma digital con certificado PKI y generación del CUFE/CUDE.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Transmisión automática a la autoridad tributaria y gestión del ciclo de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Recepción, validación y gestión de eventos sobre documentos de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REST con OAuth 2.0 para integración con sistemas externos.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Módulo de consulta, descarga PDF/XML y reportes exportables.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Gestión multi-empresa, multi-usuario con roles y auditoría completa.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Fuera del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Contabilidad general, declaraciones de impuestos y estados financieros.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Gestión de inventarios, catálogos de productos o pasarelas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Desarrollo de conectores para ERPs distintos a SAP, Oracle y Microsoft Dynamics.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Stakeholders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880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Interés Principal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Empresa Emisora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4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Emitir documentos válidos rápidamente.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Área Contable / Financiera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Consumidor de Reportes</w:t>
            </w:r>
          </w:p>
        </w:tc>
        <w:tc>
          <w:tcPr>
            <w:tcW w:type="dxa" w:w="4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Conciliación y auditoría de documentos.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Autoridad Tributaria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Ente Regulador Externo</w:t>
            </w:r>
          </w:p>
        </w:tc>
        <w:tc>
          <w:tcPr>
            <w:tcW w:type="dxa" w:w="4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Recibir documentos técnica y legalmente válidos.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Equipo de TI del Cliente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Integrador</w:t>
            </w:r>
          </w:p>
        </w:tc>
        <w:tc>
          <w:tcPr>
            <w:tcW w:type="dxa" w:w="4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Integración estable con ERP vía API.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Gerencia General</w:t>
            </w:r>
          </w:p>
        </w:tc>
        <w:tc>
          <w:tcPr>
            <w:tcW w:type="dxa" w:w="2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4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Reducción de costos y cumplimiento normativo.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8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Arquitectura Cloud-Native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Documento de Visión y Alcance</w:t>
    </w:r>
    <w:r>
      <w:rPr>
        <w:rFonts w:ascii="Arial" w:cs="Arial" w:eastAsia="Arial" w:hAnsi="Arial"/>
        <w:color w:val="888888"/>
        <w:sz w:val="18"/>
        <w:szCs w:val="18"/>
      </w:rPr>
      <w:t xml:space="preserve">    |   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2026-06-11T11:14:17.051Z</dcterms:created>
  <dcterms:modified xsi:type="dcterms:W3CDTF">2026-06-11T11:14:17.051Z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