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80" w:before="480"/>
        <w:ind w:left="0"/>
      </w:pPr>
      <w:r>
        <w:rPr>
          <w:sz w:val="4"/>
          <w:szCs w:val="4"/>
        </w:rPr>
        <w:t xml:space="preserve"> 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Sistema de Facturación Electrónica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Arquitectura en la Nube (Cloud-Native)</w:t>
      </w:r>
    </w:p>
    <w:p>
      <w:pPr>
        <w:pBdr>
          <w:bottom w:val="single" w:color="2E75B6" w:sz="8"/>
        </w:pBdr>
        <w:spacing w:after="20" w:before="2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Especificación de Requerimientos (ERS)</w:t>
      </w:r>
    </w:p>
    <w:p>
      <w:pPr>
        <w:spacing w:after="4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Artefacto 2 de 5 — Ingeniería de Requerimientos</w:t>
      </w:r>
    </w:p>
    <w:p>
      <w:pPr>
        <w:spacing w:after="400" w:before="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Ingeniería de Requerimientos · Versión 1.0</w:t>
      </w:r>
    </w:p>
    <w:p>
      <w:pPr>
        <w:pStyle w:val="Heading1"/>
      </w:pPr>
      <w:r>
        <w:rPr>
          <w:rFonts w:ascii="Arial" w:cs="Arial" w:eastAsia="Arial" w:hAnsi="Arial"/>
        </w:rPr>
        <w:t xml:space="preserve">2. Especificación de Requerimientos del Sistema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Catálogo de requerimientos funcionales (RF) y no funcionales (RNF) del sistema, siguiendo el estándar IEEE 830.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2.1 Requerimientos Funcionales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000"/>
        <w:gridCol w:w="4430"/>
        <w:gridCol w:w="950"/>
        <w:gridCol w:w="1350"/>
      </w:tblGrid>
      <w:tr>
        <w:tc>
          <w:tcPr>
            <w:tcW w:type="dxa" w:w="8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43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9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</w:tr>
      <w:tr>
        <w:tc>
          <w:tcPr>
            <w:tcW w:type="dxa" w:w="8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RF-01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Crear Factura</w:t>
            </w:r>
          </w:p>
        </w:tc>
        <w:tc>
          <w:tcPr>
            <w:tcW w:type="dxa" w:w="443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Crear factura electrónica con datos de emisor, receptor, ítems, impuestos y totales.</w:t>
            </w:r>
          </w:p>
        </w:tc>
        <w:tc>
          <w:tcPr>
            <w:tcW w:type="dxa" w:w="9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Alta</w:t>
            </w:r>
          </w:p>
        </w:tc>
        <w:tc>
          <w:tcPr>
            <w:tcW w:type="dxa" w:w="13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Emisión</w:t>
            </w:r>
          </w:p>
        </w:tc>
      </w:tr>
      <w:tr>
        <w:tc>
          <w:tcPr>
            <w:tcW w:type="dxa" w:w="8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RF-02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Generar XML UBL 2.1</w:t>
            </w:r>
          </w:p>
        </w:tc>
        <w:tc>
          <w:tcPr>
            <w:tcW w:type="dxa" w:w="443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Generar el documento XML conforme al anexo técnico de la autoridad tributaria.</w:t>
            </w:r>
          </w:p>
        </w:tc>
        <w:tc>
          <w:tcPr>
            <w:tcW w:type="dxa" w:w="9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Alta</w:t>
            </w:r>
          </w:p>
        </w:tc>
        <w:tc>
          <w:tcPr>
            <w:tcW w:type="dxa" w:w="13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Emisión</w:t>
            </w:r>
          </w:p>
        </w:tc>
      </w:tr>
      <w:tr>
        <w:tc>
          <w:tcPr>
            <w:tcW w:type="dxa" w:w="8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RF-03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Firma Digital</w:t>
            </w:r>
          </w:p>
        </w:tc>
        <w:tc>
          <w:tcPr>
            <w:tcW w:type="dxa" w:w="443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Firmar el XML con certificado PKI del emisor usando algoritmo XAdES-BES.</w:t>
            </w:r>
          </w:p>
        </w:tc>
        <w:tc>
          <w:tcPr>
            <w:tcW w:type="dxa" w:w="9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Alta</w:t>
            </w:r>
          </w:p>
        </w:tc>
        <w:tc>
          <w:tcPr>
            <w:tcW w:type="dxa" w:w="13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Emisión</w:t>
            </w:r>
          </w:p>
        </w:tc>
      </w:tr>
      <w:tr>
        <w:tc>
          <w:tcPr>
            <w:tcW w:type="dxa" w:w="8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RF-04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Generar CUFE/CUDE</w:t>
            </w:r>
          </w:p>
        </w:tc>
        <w:tc>
          <w:tcPr>
            <w:tcW w:type="dxa" w:w="443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Calcular el código único del documento mediante la fórmula SHA-384 establecida.</w:t>
            </w:r>
          </w:p>
        </w:tc>
        <w:tc>
          <w:tcPr>
            <w:tcW w:type="dxa" w:w="9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Alta</w:t>
            </w:r>
          </w:p>
        </w:tc>
        <w:tc>
          <w:tcPr>
            <w:tcW w:type="dxa" w:w="13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Emisión</w:t>
            </w:r>
          </w:p>
        </w:tc>
      </w:tr>
      <w:tr>
        <w:tc>
          <w:tcPr>
            <w:tcW w:type="dxa" w:w="8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RF-05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Envío a Autoridad</w:t>
            </w:r>
          </w:p>
        </w:tc>
        <w:tc>
          <w:tcPr>
            <w:tcW w:type="dxa" w:w="443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Transmitir el documento firmado al web service de la autoridad y procesar la respuesta.</w:t>
            </w:r>
          </w:p>
        </w:tc>
        <w:tc>
          <w:tcPr>
            <w:tcW w:type="dxa" w:w="9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Alta</w:t>
            </w:r>
          </w:p>
        </w:tc>
        <w:tc>
          <w:tcPr>
            <w:tcW w:type="dxa" w:w="13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Emisión</w:t>
            </w:r>
          </w:p>
        </w:tc>
      </w:tr>
      <w:tr>
        <w:tc>
          <w:tcPr>
            <w:tcW w:type="dxa" w:w="8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RF-06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Nota Crédito/Débito</w:t>
            </w:r>
          </w:p>
        </w:tc>
        <w:tc>
          <w:tcPr>
            <w:tcW w:type="dxa" w:w="443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Emitir notas crédito y débito vinculadas a una factura original con concepto de ajuste.</w:t>
            </w:r>
          </w:p>
        </w:tc>
        <w:tc>
          <w:tcPr>
            <w:tcW w:type="dxa" w:w="9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Alta</w:t>
            </w:r>
          </w:p>
        </w:tc>
        <w:tc>
          <w:tcPr>
            <w:tcW w:type="dxa" w:w="13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Emisión</w:t>
            </w:r>
          </w:p>
        </w:tc>
      </w:tr>
      <w:tr>
        <w:tc>
          <w:tcPr>
            <w:tcW w:type="dxa" w:w="8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RF-07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Notificación al Receptor</w:t>
            </w:r>
          </w:p>
        </w:tc>
        <w:tc>
          <w:tcPr>
            <w:tcW w:type="dxa" w:w="443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Enviar al receptor el PDF y XML del documento por correo electrónico automáticamente.</w:t>
            </w:r>
          </w:p>
        </w:tc>
        <w:tc>
          <w:tcPr>
            <w:tcW w:type="dxa" w:w="9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Alta</w:t>
            </w:r>
          </w:p>
        </w:tc>
        <w:tc>
          <w:tcPr>
            <w:tcW w:type="dxa" w:w="13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Emisión</w:t>
            </w:r>
          </w:p>
        </w:tc>
      </w:tr>
      <w:tr>
        <w:tc>
          <w:tcPr>
            <w:tcW w:type="dxa" w:w="8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RF-08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Recibir Facturas</w:t>
            </w:r>
          </w:p>
        </w:tc>
        <w:tc>
          <w:tcPr>
            <w:tcW w:type="dxa" w:w="443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Recibir facturas de proveedores, validarlas y generar el acuse de recibo.</w:t>
            </w:r>
          </w:p>
        </w:tc>
        <w:tc>
          <w:tcPr>
            <w:tcW w:type="dxa" w:w="9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Alta</w:t>
            </w:r>
          </w:p>
        </w:tc>
        <w:tc>
          <w:tcPr>
            <w:tcW w:type="dxa" w:w="13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Recepción</w:t>
            </w:r>
          </w:p>
        </w:tc>
      </w:tr>
      <w:tr>
        <w:tc>
          <w:tcPr>
            <w:tcW w:type="dxa" w:w="8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RF-09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Aceptar / Rechazar</w:t>
            </w:r>
          </w:p>
        </w:tc>
        <w:tc>
          <w:tcPr>
            <w:tcW w:type="dxa" w:w="443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Permitir aceptar o rechazar documentos recibidos, enviando el evento a la autoridad.</w:t>
            </w:r>
          </w:p>
        </w:tc>
        <w:tc>
          <w:tcPr>
            <w:tcW w:type="dxa" w:w="9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Alta</w:t>
            </w:r>
          </w:p>
        </w:tc>
        <w:tc>
          <w:tcPr>
            <w:tcW w:type="dxa" w:w="13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Recepción</w:t>
            </w:r>
          </w:p>
        </w:tc>
      </w:tr>
      <w:tr>
        <w:tc>
          <w:tcPr>
            <w:tcW w:type="dxa" w:w="8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RF-10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Consultar Documentos</w:t>
            </w:r>
          </w:p>
        </w:tc>
        <w:tc>
          <w:tcPr>
            <w:tcW w:type="dxa" w:w="443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Buscar documentos por fecha, número, NIT/RUT, estado y monto con paginación.</w:t>
            </w:r>
          </w:p>
        </w:tc>
        <w:tc>
          <w:tcPr>
            <w:tcW w:type="dxa" w:w="9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Alta</w:t>
            </w:r>
          </w:p>
        </w:tc>
        <w:tc>
          <w:tcPr>
            <w:tcW w:type="dxa" w:w="13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Gestión</w:t>
            </w:r>
          </w:p>
        </w:tc>
      </w:tr>
      <w:tr>
        <w:tc>
          <w:tcPr>
            <w:tcW w:type="dxa" w:w="8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RF-11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Descargar PDF / XML</w:t>
            </w:r>
          </w:p>
        </w:tc>
        <w:tc>
          <w:tcPr>
            <w:tcW w:type="dxa" w:w="443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Generar y descargar la representación gráfica PDF y el XML original de cualquier documento.</w:t>
            </w:r>
          </w:p>
        </w:tc>
        <w:tc>
          <w:tcPr>
            <w:tcW w:type="dxa" w:w="9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Alta</w:t>
            </w:r>
          </w:p>
        </w:tc>
        <w:tc>
          <w:tcPr>
            <w:tcW w:type="dxa" w:w="13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Gestión</w:t>
            </w:r>
          </w:p>
        </w:tc>
      </w:tr>
      <w:tr>
        <w:tc>
          <w:tcPr>
            <w:tcW w:type="dxa" w:w="8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RF-12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Reportes</w:t>
            </w:r>
          </w:p>
        </w:tc>
        <w:tc>
          <w:tcPr>
            <w:tcW w:type="dxa" w:w="443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Generar reportes de emisión y recepción por período, exportables en Excel y PDF.</w:t>
            </w:r>
          </w:p>
        </w:tc>
        <w:tc>
          <w:tcPr>
            <w:tcW w:type="dxa" w:w="9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Media</w:t>
            </w:r>
          </w:p>
        </w:tc>
        <w:tc>
          <w:tcPr>
            <w:tcW w:type="dxa" w:w="13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Gestión</w:t>
            </w:r>
          </w:p>
        </w:tc>
      </w:tr>
      <w:tr>
        <w:tc>
          <w:tcPr>
            <w:tcW w:type="dxa" w:w="8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RF-13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API REST</w:t>
            </w:r>
          </w:p>
        </w:tc>
        <w:tc>
          <w:tcPr>
            <w:tcW w:type="dxa" w:w="443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Exponer API REST documentada (OpenAPI 3.0) con autenticación OAuth 2.0 / JWT.</w:t>
            </w:r>
          </w:p>
        </w:tc>
        <w:tc>
          <w:tcPr>
            <w:tcW w:type="dxa" w:w="9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Alta</w:t>
            </w:r>
          </w:p>
        </w:tc>
        <w:tc>
          <w:tcPr>
            <w:tcW w:type="dxa" w:w="13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Integr.</w:t>
            </w:r>
          </w:p>
        </w:tc>
      </w:tr>
      <w:tr>
        <w:tc>
          <w:tcPr>
            <w:tcW w:type="dxa" w:w="8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RF-14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Webhooks</w:t>
            </w:r>
          </w:p>
        </w:tc>
        <w:tc>
          <w:tcPr>
            <w:tcW w:type="dxa" w:w="443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Enviar notificaciones de eventos del ciclo de vida a URLs configuradas por el cliente.</w:t>
            </w:r>
          </w:p>
        </w:tc>
        <w:tc>
          <w:tcPr>
            <w:tcW w:type="dxa" w:w="9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Media</w:t>
            </w:r>
          </w:p>
        </w:tc>
        <w:tc>
          <w:tcPr>
            <w:tcW w:type="dxa" w:w="13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Integr.</w:t>
            </w:r>
          </w:p>
        </w:tc>
      </w:tr>
      <w:tr>
        <w:tc>
          <w:tcPr>
            <w:tcW w:type="dxa" w:w="8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RF-15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Gestión de Usuarios</w:t>
            </w:r>
          </w:p>
        </w:tc>
        <w:tc>
          <w:tcPr>
            <w:tcW w:type="dxa" w:w="443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Crear usuarios con roles (Admin, Facturador, Auditor, Lectura) y permisos granulares.</w:t>
            </w:r>
          </w:p>
        </w:tc>
        <w:tc>
          <w:tcPr>
            <w:tcW w:type="dxa" w:w="9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Alta</w:t>
            </w:r>
          </w:p>
        </w:tc>
        <w:tc>
          <w:tcPr>
            <w:tcW w:type="dxa" w:w="13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RF-16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Multi-empresa</w:t>
            </w:r>
          </w:p>
        </w:tc>
        <w:tc>
          <w:tcPr>
            <w:tcW w:type="dxa" w:w="443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Gestionar múltiples empresas emisoras desde una cuenta con segregación total de datos.</w:t>
            </w:r>
          </w:p>
        </w:tc>
        <w:tc>
          <w:tcPr>
            <w:tcW w:type="dxa" w:w="9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Alta</w:t>
            </w:r>
          </w:p>
        </w:tc>
        <w:tc>
          <w:tcPr>
            <w:tcW w:type="dxa" w:w="13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RF-17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Auditoría</w:t>
            </w:r>
          </w:p>
        </w:tc>
        <w:tc>
          <w:tcPr>
            <w:tcW w:type="dxa" w:w="443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Registrar todas las operaciones críticas con usuario, fecha/hora e IP.</w:t>
            </w:r>
          </w:p>
        </w:tc>
        <w:tc>
          <w:tcPr>
            <w:tcW w:type="dxa" w:w="9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Alta</w:t>
            </w:r>
          </w:p>
        </w:tc>
        <w:tc>
          <w:tcPr>
            <w:tcW w:type="dxa" w:w="13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RF-18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Gestión Certificados</w:t>
            </w:r>
          </w:p>
        </w:tc>
        <w:tc>
          <w:tcPr>
            <w:tcW w:type="dxa" w:w="443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Administrar certificados PKI del emisor con alertas de vencimiento a 60, 30 y 15 días.</w:t>
            </w:r>
          </w:p>
        </w:tc>
        <w:tc>
          <w:tcPr>
            <w:tcW w:type="dxa" w:w="9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Alta</w:t>
            </w:r>
          </w:p>
        </w:tc>
        <w:tc>
          <w:tcPr>
            <w:tcW w:type="dxa" w:w="13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Requerimientos No Funcionales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4580"/>
        <w:gridCol w:w="1400"/>
        <w:gridCol w:w="1000"/>
      </w:tblGrid>
      <w:t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45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</w:tr>
      <w:tr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RNF-01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45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Tiempo de emisión de extremo a extremo.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3 seg (P95)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RNF-02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45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Capacidad de procesamiento en pico.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10.000 doc/min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RNF-03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45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Disponibilidad mensual del servicio.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≥ 99.9% SLA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RNF-04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45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Tiempo de recuperación ante fallo de zona.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RTO &lt; 15 min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RNF-05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Seguridad</w:t>
            </w:r>
          </w:p>
        </w:tc>
        <w:tc>
          <w:tcPr>
            <w:tcW w:type="dxa" w:w="45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Cifrado de comunicaciones.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TLS 1.3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RNF-06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Seguridad</w:t>
            </w:r>
          </w:p>
        </w:tc>
        <w:tc>
          <w:tcPr>
            <w:tcW w:type="dxa" w:w="45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Cifrado de datos almacenados y backups.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AES-256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RNF-07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Seguridad</w:t>
            </w:r>
          </w:p>
        </w:tc>
        <w:tc>
          <w:tcPr>
            <w:tcW w:type="dxa" w:w="45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MFA obligatorio para roles administrativos.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100% cumplimiento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RNF-08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45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Autoescalado horizontal ante picos.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2→20 nodos &lt; 2 min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RNF-09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45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Cobertura de pruebas automatizadas.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80% cobertura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RNF-10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Retención</w:t>
            </w:r>
          </w:p>
        </w:tc>
        <w:tc>
          <w:tcPr>
            <w:tcW w:type="dxa" w:w="45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Conservación legal de documentos.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Mínimo 5 años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Alta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880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Arquitectura Cloud-Native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  <w:fldSimple w:instr="PAGE">
      <w:r>
        <w:rPr>
          <w:rFonts w:ascii="Arial" w:cs="Arial" w:eastAsia="Arial" w:hAnsi="Arial"/>
          <w:color w:val="888888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8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Especificación de Requerimientos (ERS)</w:t>
    </w:r>
    <w:r>
      <w:rPr>
        <w:rFonts w:ascii="Arial" w:cs="Arial" w:eastAsia="Arial" w:hAnsi="Arial"/>
        <w:color w:val="888888"/>
        <w:sz w:val="18"/>
        <w:szCs w:val="18"/>
      </w:rPr>
      <w:t xml:space="preserve">    |    Sistema de Facturación Electrónica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2026-06-11T11:14:17.067Z</dcterms:created>
  <dcterms:modified xsi:type="dcterms:W3CDTF">2026-06-11T11:14:17.067Z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