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46E4" w14:textId="0683DE45" w:rsidR="00657E61" w:rsidRDefault="00000000" w:rsidP="00855998">
      <w:pPr>
        <w:pStyle w:val="MdHeading1"/>
      </w:pPr>
      <w:r>
        <w:t>Documento de Diseño: Diagramas de Arquitectura</w:t>
      </w:r>
    </w:p>
    <w:p w14:paraId="6C015777" w14:textId="77777777" w:rsidR="00657E61" w:rsidRDefault="00000000">
      <w:pPr>
        <w:pStyle w:val="MdHeading2"/>
      </w:pPr>
      <w:r>
        <w:t>1. Diagrama de Arquitectura de Software</w:t>
      </w:r>
    </w:p>
    <w:p w14:paraId="0A856ABE" w14:textId="77777777" w:rsidR="00657E61" w:rsidRDefault="00000000">
      <w:pPr>
        <w:pStyle w:val="MdParagraph"/>
      </w:pPr>
      <w:r>
        <w:t xml:space="preserve">El diagrama de arquitectura de software ilustra la estructura general del sistema, sus componentes principales y las interacciones entre ellos, así como con sistemas externos. Este diagrama se basa en el enfoque de microservicios y la arquitectura Cloud-Native descrita en los requerimientos, destacando </w:t>
      </w:r>
      <w:proofErr w:type="gramStart"/>
      <w:r>
        <w:t>la modularidad</w:t>
      </w:r>
      <w:proofErr w:type="gramEnd"/>
      <w:r>
        <w:t xml:space="preserve"> y la escalabilidad.</w:t>
      </w:r>
    </w:p>
    <w:p w14:paraId="3B5CADE6" w14:textId="77777777" w:rsidR="00657E61" w:rsidRDefault="00657E61">
      <w:pPr>
        <w:pStyle w:val="MdSpace"/>
        <w:spacing w:after="60"/>
      </w:pPr>
    </w:p>
    <w:p w14:paraId="6D883734" w14:textId="77777777" w:rsidR="00657E61" w:rsidRDefault="00000000">
      <w:pPr>
        <w:pStyle w:val="MdParagraph"/>
      </w:pPr>
      <w:r>
        <w:rPr>
          <w:noProof/>
        </w:rPr>
        <w:drawing>
          <wp:inline distT="0" distB="0" distL="0" distR="0" wp14:anchorId="36FB3B43" wp14:editId="1328751E">
            <wp:extent cx="6324600" cy="2371725"/>
            <wp:effectExtent l="0" t="0" r="0" b="9525"/>
            <wp:docPr id="1" name="Diagrama de Arquitectura de Software" descr="Diagrama de Arquitectura de Software" title="Diagrama de Arquitectura de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C040" w14:textId="77777777" w:rsidR="00657E61" w:rsidRDefault="00657E61">
      <w:pPr>
        <w:pStyle w:val="MdSpace"/>
        <w:spacing w:after="60"/>
      </w:pPr>
    </w:p>
    <w:p w14:paraId="206E228E" w14:textId="77777777" w:rsidR="00657E61" w:rsidRDefault="00000000">
      <w:pPr>
        <w:pStyle w:val="MdParagraph"/>
      </w:pPr>
      <w:r>
        <w:rPr>
          <w:rStyle w:val="MdStrong"/>
        </w:rPr>
        <w:t>Descripción de Capas y Componentes:</w:t>
      </w:r>
    </w:p>
    <w:p w14:paraId="3C306A1E" w14:textId="77777777" w:rsidR="00657E61" w:rsidRDefault="00657E61">
      <w:pPr>
        <w:pStyle w:val="MdSpace"/>
        <w:spacing w:after="60"/>
      </w:pPr>
    </w:p>
    <w:p w14:paraId="2863D425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Interfaces de Usuario:</w:t>
      </w:r>
      <w:r>
        <w:t xml:space="preserve"> Incluye el </w:t>
      </w:r>
      <w:r>
        <w:rPr>
          <w:rStyle w:val="MdStrong"/>
        </w:rPr>
        <w:t>Portal Web</w:t>
      </w:r>
      <w:r>
        <w:t xml:space="preserve"> (</w:t>
      </w:r>
      <w:proofErr w:type="spellStart"/>
      <w:r>
        <w:t>React</w:t>
      </w:r>
      <w:proofErr w:type="spellEnd"/>
      <w:r>
        <w:t xml:space="preserve">) y la </w:t>
      </w:r>
      <w:r>
        <w:rPr>
          <w:rStyle w:val="MdStrong"/>
        </w:rPr>
        <w:t>App Móvil</w:t>
      </w:r>
      <w:r>
        <w:t xml:space="preserve"> (</w:t>
      </w:r>
      <w:proofErr w:type="spellStart"/>
      <w:r>
        <w:t>React</w:t>
      </w:r>
      <w:proofErr w:type="spellEnd"/>
      <w:r>
        <w:t xml:space="preserve"> Native), que son los puntos de interacción para los usuarios finales.</w:t>
      </w:r>
    </w:p>
    <w:p w14:paraId="18CE61B7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Capa de API &amp; Seguridad:</w:t>
      </w:r>
      <w:r>
        <w:t xml:space="preserve"> El </w:t>
      </w:r>
      <w:r>
        <w:rPr>
          <w:rStyle w:val="MdStrong"/>
        </w:rPr>
        <w:t>API Gateway / Auth Service</w:t>
      </w:r>
      <w:r>
        <w:t xml:space="preserve"> actúa como el punto de entrada unificado, gestionando la autenticación, autorización y el enrutamiento de las solicitudes a los microservicios.</w:t>
      </w:r>
    </w:p>
    <w:p w14:paraId="40876DE4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Capa de Servicios (Microservicios):</w:t>
      </w:r>
      <w:r>
        <w:t xml:space="preserve"> Compuesta por servicios especializados como </w:t>
      </w:r>
      <w:r>
        <w:rPr>
          <w:rStyle w:val="MdStrong"/>
        </w:rPr>
        <w:t>Emisión</w:t>
      </w:r>
      <w:r>
        <w:t xml:space="preserve">, </w:t>
      </w:r>
      <w:r>
        <w:rPr>
          <w:rStyle w:val="MdStrong"/>
        </w:rPr>
        <w:t>Recepción</w:t>
      </w:r>
      <w:r>
        <w:t xml:space="preserve">, </w:t>
      </w:r>
      <w:r>
        <w:rPr>
          <w:rStyle w:val="MdStrong"/>
        </w:rPr>
        <w:t>PKI</w:t>
      </w:r>
      <w:r>
        <w:t xml:space="preserve"> (para firma digital), </w:t>
      </w:r>
      <w:r>
        <w:rPr>
          <w:rStyle w:val="MdStrong"/>
        </w:rPr>
        <w:t>Notificaciones</w:t>
      </w:r>
      <w:r>
        <w:t xml:space="preserve"> y </w:t>
      </w:r>
      <w:r>
        <w:rPr>
          <w:rStyle w:val="MdStrong"/>
        </w:rPr>
        <w:t>Reportes</w:t>
      </w:r>
      <w:r>
        <w:t>, cada uno con responsabilidades bien definidas.</w:t>
      </w:r>
    </w:p>
    <w:p w14:paraId="268F9773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Capa de Datos:</w:t>
      </w:r>
      <w:r>
        <w:t xml:space="preserve"> Incluye la </w:t>
      </w:r>
      <w:r>
        <w:rPr>
          <w:rStyle w:val="MdStrong"/>
        </w:rPr>
        <w:t>Base de Datos SQL</w:t>
      </w:r>
      <w:r>
        <w:t xml:space="preserve"> (</w:t>
      </w:r>
      <w:proofErr w:type="spellStart"/>
      <w:r>
        <w:t>MainDB</w:t>
      </w:r>
      <w:proofErr w:type="spellEnd"/>
      <w:r>
        <w:t xml:space="preserve">) para datos transaccionales, un </w:t>
      </w:r>
      <w:r>
        <w:rPr>
          <w:rStyle w:val="MdStrong"/>
        </w:rPr>
        <w:t>Redis Cache</w:t>
      </w:r>
      <w:r>
        <w:t xml:space="preserve"> para mejorar el rendimiento y el </w:t>
      </w:r>
      <w:proofErr w:type="spellStart"/>
      <w:r>
        <w:rPr>
          <w:rStyle w:val="MdStrong"/>
        </w:rPr>
        <w:t>Object</w:t>
      </w:r>
      <w:proofErr w:type="spellEnd"/>
      <w:r>
        <w:rPr>
          <w:rStyle w:val="MdStrong"/>
        </w:rPr>
        <w:t xml:space="preserve"> Storage (S3)</w:t>
      </w:r>
      <w:r>
        <w:t xml:space="preserve"> para almacenar documentos como XML y PDF.</w:t>
      </w:r>
    </w:p>
    <w:p w14:paraId="6DB1E586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Sistemas Externos:</w:t>
      </w:r>
      <w:r>
        <w:t xml:space="preserve"> Representa las integraciones críticas con el </w:t>
      </w:r>
      <w:r>
        <w:rPr>
          <w:rStyle w:val="MdStrong"/>
        </w:rPr>
        <w:t>ERP del Cliente</w:t>
      </w:r>
      <w:r>
        <w:t xml:space="preserve">, la </w:t>
      </w:r>
      <w:r>
        <w:rPr>
          <w:rStyle w:val="MdStrong"/>
        </w:rPr>
        <w:t>Autoridad Tributaria (DIAN)</w:t>
      </w:r>
      <w:r>
        <w:t xml:space="preserve"> y servicios de </w:t>
      </w:r>
      <w:r>
        <w:rPr>
          <w:rStyle w:val="MdStrong"/>
        </w:rPr>
        <w:t>Email</w:t>
      </w:r>
      <w:r>
        <w:t>.</w:t>
      </w:r>
    </w:p>
    <w:p w14:paraId="5CBF4236" w14:textId="77777777" w:rsidR="00657E61" w:rsidRDefault="00657E61">
      <w:pPr>
        <w:pStyle w:val="MdSpace"/>
        <w:spacing w:after="60"/>
      </w:pPr>
    </w:p>
    <w:p w14:paraId="305BE743" w14:textId="77777777" w:rsidR="00657E61" w:rsidRDefault="00000000">
      <w:pPr>
        <w:pStyle w:val="MdHeading2"/>
      </w:pPr>
      <w:r>
        <w:t>2. Modelo Entidad-Relación (ERD)</w:t>
      </w:r>
    </w:p>
    <w:p w14:paraId="50C3C06B" w14:textId="77777777" w:rsidR="00657E61" w:rsidRDefault="00000000">
      <w:pPr>
        <w:pStyle w:val="MdParagraph"/>
      </w:pPr>
      <w:r>
        <w:t xml:space="preserve">El Modelo Entidad-Relación (ERD) describe la estructura de la base de datos del sistema, mostrando las entidades principales, sus atributos y las relaciones entre ellas. Este diagrama </w:t>
      </w:r>
      <w:r>
        <w:lastRenderedPageBreak/>
        <w:t>es fundamental para el diseño de la base de datos y asegura la integridad y consistencia de los datos, en línea con los requerimientos funcionales del sistema.</w:t>
      </w:r>
    </w:p>
    <w:p w14:paraId="00B9A2DD" w14:textId="77777777" w:rsidR="00657E61" w:rsidRDefault="00657E61">
      <w:pPr>
        <w:pStyle w:val="MdSpace"/>
        <w:spacing w:after="60"/>
      </w:pPr>
    </w:p>
    <w:p w14:paraId="6CA9B187" w14:textId="77777777" w:rsidR="00657E61" w:rsidRDefault="00000000">
      <w:pPr>
        <w:pStyle w:val="MdParagraph"/>
      </w:pPr>
      <w:r>
        <w:rPr>
          <w:noProof/>
        </w:rPr>
        <w:drawing>
          <wp:inline distT="0" distB="0" distL="0" distR="0" wp14:anchorId="00103FCA" wp14:editId="52977CCB">
            <wp:extent cx="6254426" cy="4086225"/>
            <wp:effectExtent l="0" t="0" r="0" b="0"/>
            <wp:docPr id="961410708" name="Modelo Entidad-Relación" descr="Modelo Entidad-Relación" title="Modelo Entidad-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578" cy="408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7F8E" w14:textId="77777777" w:rsidR="00657E61" w:rsidRDefault="00657E61">
      <w:pPr>
        <w:pStyle w:val="MdSpace"/>
        <w:spacing w:after="60"/>
      </w:pPr>
    </w:p>
    <w:p w14:paraId="0B86452E" w14:textId="77777777" w:rsidR="00657E61" w:rsidRDefault="00000000">
      <w:pPr>
        <w:pStyle w:val="MdParagraph"/>
      </w:pPr>
      <w:r>
        <w:rPr>
          <w:rStyle w:val="MdStrong"/>
        </w:rPr>
        <w:t>Entidades Principales y Relaciones:</w:t>
      </w:r>
    </w:p>
    <w:p w14:paraId="391899FA" w14:textId="77777777" w:rsidR="00657E61" w:rsidRDefault="00657E61">
      <w:pPr>
        <w:pStyle w:val="MdSpace"/>
        <w:spacing w:after="60"/>
      </w:pPr>
    </w:p>
    <w:p w14:paraId="7FD7E25C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EMPRESA:</w:t>
      </w:r>
      <w:r>
        <w:t xml:space="preserve"> Entidad central que representa a la empresa emisora, con atributos como </w:t>
      </w:r>
      <w:proofErr w:type="spellStart"/>
      <w:r>
        <w:rPr>
          <w:u w:val="single"/>
        </w:rPr>
        <w:t>nit</w:t>
      </w:r>
      <w:proofErr w:type="spellEnd"/>
      <w:r>
        <w:t xml:space="preserve">, </w:t>
      </w:r>
      <w:proofErr w:type="spellStart"/>
      <w:r>
        <w:rPr>
          <w:u w:val="single"/>
        </w:rPr>
        <w:t>razon_social</w:t>
      </w:r>
      <w:proofErr w:type="spellEnd"/>
      <w:r>
        <w:t xml:space="preserve">, </w:t>
      </w:r>
      <w:proofErr w:type="spellStart"/>
      <w:r>
        <w:rPr>
          <w:u w:val="single"/>
        </w:rPr>
        <w:t>direccion</w:t>
      </w:r>
      <w:proofErr w:type="spellEnd"/>
      <w:r>
        <w:t>, etc.</w:t>
      </w:r>
    </w:p>
    <w:p w14:paraId="1813DBC2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USUARIO:</w:t>
      </w:r>
      <w:r>
        <w:t xml:space="preserve"> Relacionada con </w:t>
      </w:r>
      <w:r>
        <w:rPr>
          <w:u w:val="single"/>
        </w:rPr>
        <w:t>EMPRESA</w:t>
      </w:r>
      <w:r>
        <w:t>, define los usuarios del sistema y sus roles.</w:t>
      </w:r>
    </w:p>
    <w:p w14:paraId="4CE27087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CERTIFICADO_PKI:</w:t>
      </w:r>
      <w:r>
        <w:t xml:space="preserve"> Relacionada con </w:t>
      </w:r>
      <w:r>
        <w:rPr>
          <w:u w:val="single"/>
        </w:rPr>
        <w:t>EMPRESA</w:t>
      </w:r>
      <w:r>
        <w:t>, almacena la información del certificado digital.</w:t>
      </w:r>
    </w:p>
    <w:p w14:paraId="2603B6B9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DOCUMENTO:</w:t>
      </w:r>
      <w:r>
        <w:t xml:space="preserve"> Entidad principal para los documentos electrónicos (facturas, notas), con atributos como </w:t>
      </w:r>
      <w:proofErr w:type="spellStart"/>
      <w:r>
        <w:rPr>
          <w:u w:val="single"/>
        </w:rPr>
        <w:t>cufe</w:t>
      </w:r>
      <w:proofErr w:type="spellEnd"/>
      <w:r>
        <w:t xml:space="preserve">, </w:t>
      </w:r>
      <w:r>
        <w:rPr>
          <w:u w:val="single"/>
        </w:rPr>
        <w:t>numero</w:t>
      </w:r>
      <w:r>
        <w:t xml:space="preserve">, </w:t>
      </w:r>
      <w:proofErr w:type="spellStart"/>
      <w:r>
        <w:rPr>
          <w:u w:val="single"/>
        </w:rPr>
        <w:t>fecha_emision</w:t>
      </w:r>
      <w:proofErr w:type="spellEnd"/>
      <w:r>
        <w:t xml:space="preserve">, y relaciones con </w:t>
      </w:r>
      <w:r>
        <w:rPr>
          <w:u w:val="single"/>
        </w:rPr>
        <w:t>EMPRESA</w:t>
      </w:r>
      <w:r>
        <w:t>.</w:t>
      </w:r>
    </w:p>
    <w:p w14:paraId="77859C37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ITEM:</w:t>
      </w:r>
      <w:r>
        <w:t xml:space="preserve"> Detalle de los productos o servicios, relacionado con </w:t>
      </w:r>
      <w:r>
        <w:rPr>
          <w:u w:val="single"/>
        </w:rPr>
        <w:t>DOCUMENTO</w:t>
      </w:r>
      <w:r>
        <w:t>.</w:t>
      </w:r>
    </w:p>
    <w:p w14:paraId="5BC6CEFC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EVENTO_ESTADO:</w:t>
      </w:r>
      <w:r>
        <w:t xml:space="preserve"> Registra los cambios de estado de un </w:t>
      </w:r>
      <w:r>
        <w:rPr>
          <w:u w:val="single"/>
        </w:rPr>
        <w:t>DOCUMENTO</w:t>
      </w:r>
      <w:r>
        <w:t>.</w:t>
      </w:r>
    </w:p>
    <w:p w14:paraId="74FF6DB0" w14:textId="77777777" w:rsidR="00657E6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FACTURA, NOTA_CREDITO, NOTA_DEBITO:</w:t>
      </w:r>
      <w:r>
        <w:t xml:space="preserve"> Aunque no se muestran como entidades separadas en este ERD simplificado, sus relaciones se infieren a través de la entidad </w:t>
      </w:r>
      <w:r>
        <w:rPr>
          <w:u w:val="single"/>
        </w:rPr>
        <w:t>DOCUMENTO</w:t>
      </w:r>
      <w:r>
        <w:t xml:space="preserve"> y las referencias entre ellas (</w:t>
      </w:r>
      <w:proofErr w:type="spellStart"/>
      <w:r>
        <w:t>e.g</w:t>
      </w:r>
      <w:proofErr w:type="spellEnd"/>
      <w:r>
        <w:t xml:space="preserve">., </w:t>
      </w:r>
      <w:r>
        <w:rPr>
          <w:u w:val="single"/>
        </w:rPr>
        <w:t>FACTURA</w:t>
      </w:r>
      <w:r>
        <w:t xml:space="preserve"> referenciada por </w:t>
      </w:r>
      <w:r>
        <w:rPr>
          <w:u w:val="single"/>
        </w:rPr>
        <w:t>NOTA_CREDITO</w:t>
      </w:r>
      <w:r>
        <w:t>).</w:t>
      </w:r>
    </w:p>
    <w:p w14:paraId="061FF878" w14:textId="77777777" w:rsidR="00657E61" w:rsidRDefault="00657E61">
      <w:pPr>
        <w:pStyle w:val="MdSpace"/>
        <w:spacing w:after="60"/>
      </w:pPr>
    </w:p>
    <w:p w14:paraId="7546C4DD" w14:textId="189B4B5E" w:rsidR="00657E61" w:rsidRDefault="00657E61">
      <w:pPr>
        <w:pStyle w:val="MdParagraph"/>
      </w:pPr>
    </w:p>
    <w:sectPr w:rsidR="00657E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332A"/>
    <w:multiLevelType w:val="hybridMultilevel"/>
    <w:tmpl w:val="26CEEF98"/>
    <w:lvl w:ilvl="0" w:tplc="3D648EF8">
      <w:start w:val="1"/>
      <w:numFmt w:val="bullet"/>
      <w:lvlText w:val="•"/>
      <w:lvlJc w:val="left"/>
      <w:pPr>
        <w:ind w:left="720" w:hanging="360"/>
      </w:pPr>
    </w:lvl>
    <w:lvl w:ilvl="1" w:tplc="22EE5E44">
      <w:start w:val="1"/>
      <w:numFmt w:val="bullet"/>
      <w:lvlText w:val="◦"/>
      <w:lvlJc w:val="left"/>
      <w:pPr>
        <w:ind w:left="1440" w:hanging="360"/>
      </w:pPr>
    </w:lvl>
    <w:lvl w:ilvl="2" w:tplc="BD8C5DBC">
      <w:start w:val="1"/>
      <w:numFmt w:val="bullet"/>
      <w:lvlText w:val="•"/>
      <w:lvlJc w:val="left"/>
      <w:pPr>
        <w:ind w:left="2160" w:hanging="360"/>
      </w:pPr>
    </w:lvl>
    <w:lvl w:ilvl="3" w:tplc="67E89660">
      <w:start w:val="1"/>
      <w:numFmt w:val="bullet"/>
      <w:lvlText w:val="◦"/>
      <w:lvlJc w:val="left"/>
      <w:pPr>
        <w:ind w:left="2880" w:hanging="360"/>
      </w:pPr>
    </w:lvl>
    <w:lvl w:ilvl="4" w:tplc="67AEE0DC">
      <w:start w:val="1"/>
      <w:numFmt w:val="bullet"/>
      <w:lvlText w:val="•"/>
      <w:lvlJc w:val="left"/>
      <w:pPr>
        <w:ind w:left="3600" w:hanging="360"/>
      </w:pPr>
    </w:lvl>
    <w:lvl w:ilvl="5" w:tplc="EA648D64">
      <w:start w:val="1"/>
      <w:numFmt w:val="bullet"/>
      <w:lvlText w:val="◦"/>
      <w:lvlJc w:val="left"/>
      <w:pPr>
        <w:ind w:left="4320" w:hanging="360"/>
      </w:pPr>
    </w:lvl>
    <w:lvl w:ilvl="6" w:tplc="BB843252">
      <w:start w:val="1"/>
      <w:numFmt w:val="bullet"/>
      <w:lvlText w:val="•"/>
      <w:lvlJc w:val="left"/>
      <w:pPr>
        <w:ind w:left="5040" w:hanging="360"/>
      </w:pPr>
    </w:lvl>
    <w:lvl w:ilvl="7" w:tplc="C6C88930">
      <w:numFmt w:val="decimal"/>
      <w:lvlText w:val=""/>
      <w:lvlJc w:val="left"/>
    </w:lvl>
    <w:lvl w:ilvl="8" w:tplc="61B27C0E">
      <w:numFmt w:val="decimal"/>
      <w:lvlText w:val=""/>
      <w:lvlJc w:val="left"/>
    </w:lvl>
  </w:abstractNum>
  <w:abstractNum w:abstractNumId="1" w15:restartNumberingAfterBreak="0">
    <w:nsid w:val="42D8151A"/>
    <w:multiLevelType w:val="hybridMultilevel"/>
    <w:tmpl w:val="FBD0E67E"/>
    <w:lvl w:ilvl="0" w:tplc="13B6A504">
      <w:start w:val="1"/>
      <w:numFmt w:val="bullet"/>
      <w:lvlText w:val="●"/>
      <w:lvlJc w:val="left"/>
      <w:pPr>
        <w:ind w:left="720" w:hanging="360"/>
      </w:pPr>
    </w:lvl>
    <w:lvl w:ilvl="1" w:tplc="29421FAE">
      <w:start w:val="1"/>
      <w:numFmt w:val="bullet"/>
      <w:lvlText w:val="○"/>
      <w:lvlJc w:val="left"/>
      <w:pPr>
        <w:ind w:left="1440" w:hanging="360"/>
      </w:pPr>
    </w:lvl>
    <w:lvl w:ilvl="2" w:tplc="9CD2A06E">
      <w:start w:val="1"/>
      <w:numFmt w:val="bullet"/>
      <w:lvlText w:val="■"/>
      <w:lvlJc w:val="left"/>
      <w:pPr>
        <w:ind w:left="2160" w:hanging="360"/>
      </w:pPr>
    </w:lvl>
    <w:lvl w:ilvl="3" w:tplc="15E42B48">
      <w:start w:val="1"/>
      <w:numFmt w:val="bullet"/>
      <w:lvlText w:val="●"/>
      <w:lvlJc w:val="left"/>
      <w:pPr>
        <w:ind w:left="2880" w:hanging="360"/>
      </w:pPr>
    </w:lvl>
    <w:lvl w:ilvl="4" w:tplc="AFD88B06">
      <w:start w:val="1"/>
      <w:numFmt w:val="bullet"/>
      <w:lvlText w:val="○"/>
      <w:lvlJc w:val="left"/>
      <w:pPr>
        <w:ind w:left="3600" w:hanging="360"/>
      </w:pPr>
    </w:lvl>
    <w:lvl w:ilvl="5" w:tplc="0B7AB0B4">
      <w:start w:val="1"/>
      <w:numFmt w:val="bullet"/>
      <w:lvlText w:val="■"/>
      <w:lvlJc w:val="left"/>
      <w:pPr>
        <w:ind w:left="4320" w:hanging="360"/>
      </w:pPr>
    </w:lvl>
    <w:lvl w:ilvl="6" w:tplc="9796C370">
      <w:start w:val="1"/>
      <w:numFmt w:val="bullet"/>
      <w:lvlText w:val="●"/>
      <w:lvlJc w:val="left"/>
      <w:pPr>
        <w:ind w:left="5040" w:hanging="360"/>
      </w:pPr>
    </w:lvl>
    <w:lvl w:ilvl="7" w:tplc="34449D1E">
      <w:start w:val="1"/>
      <w:numFmt w:val="bullet"/>
      <w:lvlText w:val="●"/>
      <w:lvlJc w:val="left"/>
      <w:pPr>
        <w:ind w:left="5760" w:hanging="360"/>
      </w:pPr>
    </w:lvl>
    <w:lvl w:ilvl="8" w:tplc="04F222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692539"/>
    <w:multiLevelType w:val="multilevel"/>
    <w:tmpl w:val="48766BF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372077781">
    <w:abstractNumId w:val="1"/>
    <w:lvlOverride w:ilvl="0">
      <w:startOverride w:val="1"/>
    </w:lvlOverride>
  </w:num>
  <w:num w:numId="2" w16cid:durableId="1965380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E61"/>
    <w:rsid w:val="00496F6F"/>
    <w:rsid w:val="00657E61"/>
    <w:rsid w:val="0085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C0955"/>
  <w15:docId w15:val="{DC7E5B10-8CE6-440C-A30D-F286FFF0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SALA ESTUDIANTES 10</cp:lastModifiedBy>
  <cp:revision>2</cp:revision>
  <dcterms:created xsi:type="dcterms:W3CDTF">2026-05-14T13:41:00Z</dcterms:created>
  <dcterms:modified xsi:type="dcterms:W3CDTF">2026-05-14T13:41:00Z</dcterms:modified>
</cp:coreProperties>
</file>