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3DFE" w14:textId="6A487D7C" w:rsidR="00C93BA5" w:rsidRDefault="00000000" w:rsidP="00F423DB">
      <w:pPr>
        <w:pStyle w:val="MdHeading1"/>
      </w:pPr>
      <w:r>
        <w:t>Documento de Diseño: Diagramas de Estructura</w:t>
      </w:r>
    </w:p>
    <w:p w14:paraId="3467F092" w14:textId="77777777" w:rsidR="00C93BA5" w:rsidRDefault="00000000">
      <w:pPr>
        <w:pStyle w:val="MdHeading2"/>
      </w:pPr>
      <w:r>
        <w:t>1. Diagrama de Clases</w:t>
      </w:r>
    </w:p>
    <w:p w14:paraId="1284ECD4" w14:textId="77777777" w:rsidR="00C93BA5" w:rsidRDefault="00000000">
      <w:pPr>
        <w:pStyle w:val="MdParagraph"/>
      </w:pPr>
      <w:r>
        <w:t>El diagrama de clases ilustra la estructura estática del sistema, mostrando las clases, sus atributos, métodos y las relaciones entre ellas. Este diagrama se deriva de los requerimientos funcionales y las historias de usuario, identificando las entidades principales y sus interacciones.</w:t>
      </w:r>
    </w:p>
    <w:p w14:paraId="107E480D" w14:textId="77777777" w:rsidR="00C93BA5" w:rsidRDefault="00C93BA5">
      <w:pPr>
        <w:pStyle w:val="MdSpace"/>
        <w:spacing w:after="60"/>
      </w:pPr>
    </w:p>
    <w:p w14:paraId="579ED5B1" w14:textId="77777777" w:rsidR="00C93BA5" w:rsidRDefault="00000000" w:rsidP="00F423DB">
      <w:pPr>
        <w:pStyle w:val="MdParagraph"/>
        <w:jc w:val="center"/>
      </w:pPr>
      <w:r>
        <w:rPr>
          <w:noProof/>
        </w:rPr>
        <w:drawing>
          <wp:inline distT="0" distB="0" distL="0" distR="0" wp14:anchorId="5C4E9F7B" wp14:editId="3A13866F">
            <wp:extent cx="4092512" cy="4800600"/>
            <wp:effectExtent l="0" t="0" r="3810" b="0"/>
            <wp:docPr id="1" name="Diagrama de Clases" descr="Diagrama de Clases" title="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02683" cy="4812531"/>
                    </a:xfrm>
                    <a:prstGeom prst="rect">
                      <a:avLst/>
                    </a:prstGeom>
                  </pic:spPr>
                </pic:pic>
              </a:graphicData>
            </a:graphic>
          </wp:inline>
        </w:drawing>
      </w:r>
    </w:p>
    <w:p w14:paraId="0378BF45" w14:textId="77777777" w:rsidR="00C93BA5" w:rsidRDefault="00C93BA5">
      <w:pPr>
        <w:pStyle w:val="MdSpace"/>
        <w:spacing w:after="60"/>
      </w:pPr>
    </w:p>
    <w:p w14:paraId="4A4E76FC" w14:textId="77777777" w:rsidR="00C93BA5" w:rsidRDefault="00000000">
      <w:pPr>
        <w:pStyle w:val="MdParagraph"/>
      </w:pPr>
      <w:r>
        <w:rPr>
          <w:rStyle w:val="MdStrong"/>
        </w:rPr>
        <w:t>Descripción de Clases Principales:</w:t>
      </w:r>
    </w:p>
    <w:p w14:paraId="3F376EE0" w14:textId="77777777" w:rsidR="00C93BA5" w:rsidRDefault="00C93BA5">
      <w:pPr>
        <w:pStyle w:val="MdSpace"/>
        <w:spacing w:after="60"/>
      </w:pPr>
    </w:p>
    <w:p w14:paraId="4CA54C3C" w14:textId="77777777" w:rsidR="00C93BA5" w:rsidRDefault="00000000">
      <w:pPr>
        <w:pStyle w:val="MdListItem"/>
        <w:numPr>
          <w:ilvl w:val="0"/>
          <w:numId w:val="2"/>
        </w:numPr>
      </w:pPr>
      <w:r>
        <w:rPr>
          <w:rStyle w:val="MdStrong"/>
        </w:rPr>
        <w:t>Empresa:</w:t>
      </w:r>
      <w:r>
        <w:t xml:space="preserve"> Representa a la entidad emisora de facturas, con sus datos de identificación y configuración.</w:t>
      </w:r>
    </w:p>
    <w:p w14:paraId="7C6A70DC" w14:textId="77777777" w:rsidR="00C93BA5" w:rsidRDefault="00000000">
      <w:pPr>
        <w:pStyle w:val="MdListItem"/>
        <w:numPr>
          <w:ilvl w:val="0"/>
          <w:numId w:val="2"/>
        </w:numPr>
      </w:pPr>
      <w:r>
        <w:rPr>
          <w:rStyle w:val="MdStrong"/>
        </w:rPr>
        <w:t>Usuario:</w:t>
      </w:r>
      <w:r>
        <w:t xml:space="preserve"> Define los usuarios del sistema, sus credenciales y roles para el control de acceso.</w:t>
      </w:r>
    </w:p>
    <w:p w14:paraId="1A78AAAD" w14:textId="77777777" w:rsidR="00C93BA5" w:rsidRDefault="00000000">
      <w:pPr>
        <w:pStyle w:val="MdListItem"/>
        <w:numPr>
          <w:ilvl w:val="0"/>
          <w:numId w:val="2"/>
        </w:numPr>
      </w:pPr>
      <w:proofErr w:type="spellStart"/>
      <w:r>
        <w:rPr>
          <w:rStyle w:val="MdStrong"/>
        </w:rPr>
        <w:t>CertificadoPKI</w:t>
      </w:r>
      <w:proofErr w:type="spellEnd"/>
      <w:r>
        <w:rPr>
          <w:rStyle w:val="MdStrong"/>
        </w:rPr>
        <w:t>:</w:t>
      </w:r>
      <w:r>
        <w:t xml:space="preserve"> Almacena la información del certificado digital utilizado para la firma de documentos.</w:t>
      </w:r>
    </w:p>
    <w:p w14:paraId="223860FA" w14:textId="77777777" w:rsidR="00C93BA5" w:rsidRDefault="00000000">
      <w:pPr>
        <w:pStyle w:val="MdListItem"/>
        <w:numPr>
          <w:ilvl w:val="0"/>
          <w:numId w:val="2"/>
        </w:numPr>
      </w:pPr>
      <w:proofErr w:type="spellStart"/>
      <w:r>
        <w:rPr>
          <w:rStyle w:val="MdStrong"/>
        </w:rPr>
        <w:lastRenderedPageBreak/>
        <w:t>DocumentoElectronico</w:t>
      </w:r>
      <w:proofErr w:type="spellEnd"/>
      <w:r>
        <w:rPr>
          <w:rStyle w:val="MdStrong"/>
        </w:rPr>
        <w:t>:</w:t>
      </w:r>
      <w:r>
        <w:t xml:space="preserve"> Clase abstracta que define las características comunes de los documentos fiscales (facturas, notas crédito/débito).</w:t>
      </w:r>
    </w:p>
    <w:p w14:paraId="67ED1E26" w14:textId="77777777" w:rsidR="00C93BA5" w:rsidRDefault="00000000">
      <w:pPr>
        <w:pStyle w:val="MdListItem"/>
        <w:numPr>
          <w:ilvl w:val="0"/>
          <w:numId w:val="2"/>
        </w:numPr>
      </w:pPr>
      <w:r>
        <w:rPr>
          <w:rStyle w:val="MdStrong"/>
        </w:rPr>
        <w:t xml:space="preserve">Factura, </w:t>
      </w:r>
      <w:proofErr w:type="spellStart"/>
      <w:r>
        <w:rPr>
          <w:rStyle w:val="MdStrong"/>
        </w:rPr>
        <w:t>NotaCredito</w:t>
      </w:r>
      <w:proofErr w:type="spellEnd"/>
      <w:r>
        <w:rPr>
          <w:rStyle w:val="MdStrong"/>
        </w:rPr>
        <w:t>, NotaDebito:</w:t>
      </w:r>
      <w:r>
        <w:t xml:space="preserve"> Clases concretas que heredan de </w:t>
      </w:r>
      <w:proofErr w:type="spellStart"/>
      <w:r>
        <w:rPr>
          <w:u w:val="single"/>
        </w:rPr>
        <w:t>DocumentoElectronico</w:t>
      </w:r>
      <w:proofErr w:type="spellEnd"/>
      <w:r>
        <w:t xml:space="preserve"> y añaden atributos específicos.</w:t>
      </w:r>
    </w:p>
    <w:p w14:paraId="0EAA9503" w14:textId="77777777" w:rsidR="00C93BA5" w:rsidRDefault="00000000">
      <w:pPr>
        <w:pStyle w:val="MdListItem"/>
        <w:numPr>
          <w:ilvl w:val="0"/>
          <w:numId w:val="2"/>
        </w:numPr>
      </w:pPr>
      <w:proofErr w:type="spellStart"/>
      <w:r>
        <w:rPr>
          <w:rStyle w:val="MdStrong"/>
        </w:rPr>
        <w:t>Item</w:t>
      </w:r>
      <w:proofErr w:type="spellEnd"/>
      <w:r>
        <w:rPr>
          <w:rStyle w:val="MdStrong"/>
        </w:rPr>
        <w:t>:</w:t>
      </w:r>
      <w:r>
        <w:t xml:space="preserve"> Representa los productos o servicios incluidos en un documento electrónico.</w:t>
      </w:r>
    </w:p>
    <w:p w14:paraId="41235B92" w14:textId="77777777" w:rsidR="00C93BA5" w:rsidRDefault="00C93BA5">
      <w:pPr>
        <w:pStyle w:val="MdSpace"/>
        <w:spacing w:after="60"/>
      </w:pPr>
    </w:p>
    <w:p w14:paraId="047CD4D2" w14:textId="77777777" w:rsidR="00C93BA5" w:rsidRDefault="00000000">
      <w:pPr>
        <w:pStyle w:val="MdHeading2"/>
      </w:pPr>
      <w:r>
        <w:t>2. Diagrama de Componentes</w:t>
      </w:r>
    </w:p>
    <w:p w14:paraId="43FD3B87" w14:textId="77777777" w:rsidR="00C93BA5" w:rsidRDefault="00000000">
      <w:pPr>
        <w:pStyle w:val="MdParagraph"/>
      </w:pPr>
      <w:r>
        <w:t>El diagrama de componentes muestra la organización y las dependencias entre los componentes de software del sistema. Refleja la arquitectura de microservicios y la interacción con sistemas externos, como se describe en los requerimientos no funcionales de escalabilidad y disponibilidad.</w:t>
      </w:r>
    </w:p>
    <w:p w14:paraId="64E18F92" w14:textId="77777777" w:rsidR="00C93BA5" w:rsidRDefault="00C93BA5">
      <w:pPr>
        <w:pStyle w:val="MdSpace"/>
        <w:spacing w:after="60"/>
      </w:pPr>
    </w:p>
    <w:p w14:paraId="3C4DB299" w14:textId="77777777" w:rsidR="00C93BA5" w:rsidRDefault="00000000">
      <w:pPr>
        <w:pStyle w:val="MdParagraph"/>
      </w:pPr>
      <w:r>
        <w:rPr>
          <w:noProof/>
        </w:rPr>
        <w:drawing>
          <wp:inline distT="0" distB="0" distL="0" distR="0" wp14:anchorId="44D5311B" wp14:editId="78F10408">
            <wp:extent cx="6432091" cy="2819400"/>
            <wp:effectExtent l="0" t="0" r="6985" b="0"/>
            <wp:docPr id="688281069" name="Diagrama de Componentes" descr="Diagrama de Componentes" title="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35873" cy="2821058"/>
                    </a:xfrm>
                    <a:prstGeom prst="rect">
                      <a:avLst/>
                    </a:prstGeom>
                  </pic:spPr>
                </pic:pic>
              </a:graphicData>
            </a:graphic>
          </wp:inline>
        </w:drawing>
      </w:r>
    </w:p>
    <w:p w14:paraId="0BC97A44" w14:textId="77777777" w:rsidR="00C93BA5" w:rsidRDefault="00C93BA5">
      <w:pPr>
        <w:pStyle w:val="MdSpace"/>
        <w:spacing w:after="60"/>
      </w:pPr>
    </w:p>
    <w:p w14:paraId="4B643EA5" w14:textId="77777777" w:rsidR="00C93BA5" w:rsidRDefault="00000000">
      <w:pPr>
        <w:pStyle w:val="MdParagraph"/>
      </w:pPr>
      <w:r>
        <w:rPr>
          <w:rStyle w:val="MdStrong"/>
        </w:rPr>
        <w:t>Descripción de Componentes Principales:</w:t>
      </w:r>
    </w:p>
    <w:p w14:paraId="5FC425C4" w14:textId="77777777" w:rsidR="00C93BA5" w:rsidRDefault="00C93BA5">
      <w:pPr>
        <w:pStyle w:val="MdSpace"/>
        <w:spacing w:after="60"/>
      </w:pPr>
    </w:p>
    <w:p w14:paraId="02E9CAA4" w14:textId="77777777" w:rsidR="00C93BA5" w:rsidRDefault="00000000">
      <w:pPr>
        <w:pStyle w:val="MdListItem"/>
        <w:numPr>
          <w:ilvl w:val="0"/>
          <w:numId w:val="2"/>
        </w:numPr>
      </w:pPr>
      <w:proofErr w:type="spellStart"/>
      <w:r>
        <w:rPr>
          <w:rStyle w:val="MdStrong"/>
        </w:rPr>
        <w:t>Frontend</w:t>
      </w:r>
      <w:proofErr w:type="spellEnd"/>
      <w:r>
        <w:rPr>
          <w:rStyle w:val="MdStrong"/>
        </w:rPr>
        <w:t xml:space="preserve"> (</w:t>
      </w:r>
      <w:proofErr w:type="spellStart"/>
      <w:r>
        <w:rPr>
          <w:rStyle w:val="MdStrong"/>
        </w:rPr>
        <w:t>WebPortal</w:t>
      </w:r>
      <w:proofErr w:type="spellEnd"/>
      <w:r>
        <w:rPr>
          <w:rStyle w:val="MdStrong"/>
        </w:rPr>
        <w:t>):</w:t>
      </w:r>
      <w:r>
        <w:t xml:space="preserve"> Interfaz de usuario para la interacción con el sistema.</w:t>
      </w:r>
    </w:p>
    <w:p w14:paraId="5E0FA169" w14:textId="77777777" w:rsidR="00C93BA5" w:rsidRDefault="00000000">
      <w:pPr>
        <w:pStyle w:val="MdListItem"/>
        <w:numPr>
          <w:ilvl w:val="0"/>
          <w:numId w:val="2"/>
        </w:numPr>
      </w:pPr>
      <w:r>
        <w:rPr>
          <w:rStyle w:val="MdStrong"/>
        </w:rPr>
        <w:t>API Gateway (Gateway):</w:t>
      </w:r>
      <w:r>
        <w:t xml:space="preserve"> Punto de entrada unificado para las </w:t>
      </w:r>
      <w:proofErr w:type="spellStart"/>
      <w:r>
        <w:t>APIs</w:t>
      </w:r>
      <w:proofErr w:type="spellEnd"/>
      <w:r>
        <w:t>, gestionando el enrutamiento y la seguridad.</w:t>
      </w:r>
    </w:p>
    <w:p w14:paraId="18B01CF4" w14:textId="77777777" w:rsidR="00C93BA5" w:rsidRDefault="00000000">
      <w:pPr>
        <w:pStyle w:val="MdListItem"/>
        <w:numPr>
          <w:ilvl w:val="0"/>
          <w:numId w:val="2"/>
        </w:numPr>
      </w:pPr>
      <w:r>
        <w:rPr>
          <w:rStyle w:val="MdStrong"/>
        </w:rPr>
        <w:t>Servicios de Microservicios:</w:t>
      </w:r>
      <w:r>
        <w:t xml:space="preserve"> Incluyen servicios de Identidad, Emisión, Recepción, PKI y Notificaciones, cada uno encapsulando una funcionalidad específica.</w:t>
      </w:r>
    </w:p>
    <w:p w14:paraId="37538506" w14:textId="77777777" w:rsidR="00C93BA5" w:rsidRDefault="00000000">
      <w:pPr>
        <w:pStyle w:val="MdListItem"/>
        <w:numPr>
          <w:ilvl w:val="0"/>
          <w:numId w:val="2"/>
        </w:numPr>
      </w:pPr>
      <w:r>
        <w:rPr>
          <w:rStyle w:val="MdStrong"/>
        </w:rPr>
        <w:t xml:space="preserve">Persistencia (DB, </w:t>
      </w:r>
      <w:proofErr w:type="spellStart"/>
      <w:r>
        <w:rPr>
          <w:rStyle w:val="MdStrong"/>
        </w:rPr>
        <w:t>ObjectStorage</w:t>
      </w:r>
      <w:proofErr w:type="spellEnd"/>
      <w:r>
        <w:rPr>
          <w:rStyle w:val="MdStrong"/>
        </w:rPr>
        <w:t>):</w:t>
      </w:r>
      <w:r>
        <w:t xml:space="preserve"> Componentes para el almacenamiento de datos estructurados y no estructurados.</w:t>
      </w:r>
    </w:p>
    <w:p w14:paraId="1A22FC7E" w14:textId="77777777" w:rsidR="00C93BA5" w:rsidRDefault="00000000">
      <w:pPr>
        <w:pStyle w:val="MdListItem"/>
        <w:numPr>
          <w:ilvl w:val="0"/>
          <w:numId w:val="2"/>
        </w:numPr>
      </w:pPr>
      <w:r>
        <w:rPr>
          <w:rStyle w:val="MdStrong"/>
        </w:rPr>
        <w:t xml:space="preserve">Externos (DIAN, </w:t>
      </w:r>
      <w:proofErr w:type="spellStart"/>
      <w:r>
        <w:rPr>
          <w:rStyle w:val="MdStrong"/>
        </w:rPr>
        <w:t>EmailSvc</w:t>
      </w:r>
      <w:proofErr w:type="spellEnd"/>
      <w:r>
        <w:rPr>
          <w:rStyle w:val="MdStrong"/>
        </w:rPr>
        <w:t>):</w:t>
      </w:r>
      <w:r>
        <w:t xml:space="preserve"> Representan los sistemas externos con los que el sistema interactúa.</w:t>
      </w:r>
    </w:p>
    <w:p w14:paraId="4B3D21EC" w14:textId="77777777" w:rsidR="00C93BA5" w:rsidRDefault="00C93BA5">
      <w:pPr>
        <w:pStyle w:val="MdSpace"/>
        <w:spacing w:after="60"/>
      </w:pPr>
    </w:p>
    <w:p w14:paraId="034B44C3" w14:textId="77777777" w:rsidR="00C93BA5" w:rsidRDefault="00000000">
      <w:pPr>
        <w:pStyle w:val="MdHeading2"/>
      </w:pPr>
      <w:r>
        <w:lastRenderedPageBreak/>
        <w:t>3. Diagrama de Despliegue</w:t>
      </w:r>
    </w:p>
    <w:p w14:paraId="7999A123" w14:textId="77777777" w:rsidR="00C93BA5" w:rsidRDefault="00000000">
      <w:pPr>
        <w:pStyle w:val="MdParagraph"/>
      </w:pPr>
      <w:r>
        <w:t>El diagrama de despliegue ilustra la distribución física de los componentes de software en la infraestructura de hardware. Este diagrama se alinea con la visión de una arquitectura en la nube (Cloud-Native) y los requerimientos no funcionales de disponibilidad y escalabilidad.</w:t>
      </w:r>
    </w:p>
    <w:p w14:paraId="15C7B3AE" w14:textId="77777777" w:rsidR="00C93BA5" w:rsidRDefault="00C93BA5">
      <w:pPr>
        <w:pStyle w:val="MdSpace"/>
        <w:spacing w:after="60"/>
      </w:pPr>
    </w:p>
    <w:p w14:paraId="2944DD46" w14:textId="77777777" w:rsidR="00C93BA5" w:rsidRDefault="00000000" w:rsidP="00F423DB">
      <w:pPr>
        <w:pStyle w:val="MdParagraph"/>
        <w:jc w:val="center"/>
      </w:pPr>
      <w:r>
        <w:rPr>
          <w:noProof/>
        </w:rPr>
        <w:drawing>
          <wp:inline distT="0" distB="0" distL="0" distR="0" wp14:anchorId="6F7BB722" wp14:editId="20A793BF">
            <wp:extent cx="3848100" cy="4423103"/>
            <wp:effectExtent l="0" t="0" r="0" b="0"/>
            <wp:docPr id="642765660" name="Diagrama de Despliegue" descr="Diagrama de Despliegue" title="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52912" cy="4428634"/>
                    </a:xfrm>
                    <a:prstGeom prst="rect">
                      <a:avLst/>
                    </a:prstGeom>
                  </pic:spPr>
                </pic:pic>
              </a:graphicData>
            </a:graphic>
          </wp:inline>
        </w:drawing>
      </w:r>
    </w:p>
    <w:p w14:paraId="51E98FB5" w14:textId="77777777" w:rsidR="00C93BA5" w:rsidRDefault="00C93BA5">
      <w:pPr>
        <w:pStyle w:val="MdSpace"/>
        <w:spacing w:after="60"/>
      </w:pPr>
    </w:p>
    <w:p w14:paraId="083B0553" w14:textId="77777777" w:rsidR="00C93BA5" w:rsidRDefault="00000000">
      <w:pPr>
        <w:pStyle w:val="MdParagraph"/>
      </w:pPr>
      <w:r>
        <w:rPr>
          <w:rStyle w:val="MdStrong"/>
        </w:rPr>
        <w:t>Descripción de Nodos de Despliegue:</w:t>
      </w:r>
    </w:p>
    <w:p w14:paraId="5B47EA36" w14:textId="77777777" w:rsidR="00C93BA5" w:rsidRDefault="00C93BA5">
      <w:pPr>
        <w:pStyle w:val="MdSpace"/>
        <w:spacing w:after="60"/>
      </w:pPr>
    </w:p>
    <w:p w14:paraId="70F10822" w14:textId="77777777" w:rsidR="00C93BA5" w:rsidRDefault="00000000">
      <w:pPr>
        <w:pStyle w:val="MdListItem"/>
        <w:numPr>
          <w:ilvl w:val="0"/>
          <w:numId w:val="2"/>
        </w:numPr>
      </w:pPr>
      <w:r>
        <w:rPr>
          <w:rStyle w:val="MdStrong"/>
        </w:rPr>
        <w:t xml:space="preserve">Cloud </w:t>
      </w:r>
      <w:proofErr w:type="spellStart"/>
      <w:r>
        <w:rPr>
          <w:rStyle w:val="MdStrong"/>
        </w:rPr>
        <w:t>Provider</w:t>
      </w:r>
      <w:proofErr w:type="spellEnd"/>
      <w:r>
        <w:rPr>
          <w:rStyle w:val="MdStrong"/>
        </w:rPr>
        <w:t xml:space="preserve"> (AWS/Azure/GCP):</w:t>
      </w:r>
      <w:r>
        <w:t xml:space="preserve"> Entorno general de la nube donde se despliega el sistema.</w:t>
      </w:r>
    </w:p>
    <w:p w14:paraId="69D1FD7B" w14:textId="77777777" w:rsidR="00C93BA5" w:rsidRDefault="00000000">
      <w:pPr>
        <w:pStyle w:val="MdListItem"/>
        <w:numPr>
          <w:ilvl w:val="0"/>
          <w:numId w:val="2"/>
        </w:numPr>
      </w:pPr>
      <w:r>
        <w:rPr>
          <w:rStyle w:val="MdStrong"/>
        </w:rPr>
        <w:t xml:space="preserve">Public </w:t>
      </w:r>
      <w:proofErr w:type="spellStart"/>
      <w:r>
        <w:rPr>
          <w:rStyle w:val="MdStrong"/>
        </w:rPr>
        <w:t>Subnet</w:t>
      </w:r>
      <w:proofErr w:type="spellEnd"/>
      <w:r>
        <w:rPr>
          <w:rStyle w:val="MdStrong"/>
        </w:rPr>
        <w:t>:</w:t>
      </w:r>
      <w:r>
        <w:t xml:space="preserve"> Contiene componentes accesibles desde internet, como el Balanceador de Carga (Load </w:t>
      </w:r>
      <w:proofErr w:type="spellStart"/>
      <w:r>
        <w:t>Balancer</w:t>
      </w:r>
      <w:proofErr w:type="spellEnd"/>
      <w:r>
        <w:t>) y el Firewall de Aplicaciones Web (WAF).</w:t>
      </w:r>
    </w:p>
    <w:p w14:paraId="37F63EB6" w14:textId="77777777" w:rsidR="00C93BA5" w:rsidRDefault="00000000">
      <w:pPr>
        <w:pStyle w:val="MdListItem"/>
        <w:numPr>
          <w:ilvl w:val="0"/>
          <w:numId w:val="2"/>
        </w:numPr>
      </w:pPr>
      <w:r>
        <w:rPr>
          <w:rStyle w:val="MdStrong"/>
        </w:rPr>
        <w:t xml:space="preserve">Private </w:t>
      </w:r>
      <w:proofErr w:type="spellStart"/>
      <w:r>
        <w:rPr>
          <w:rStyle w:val="MdStrong"/>
        </w:rPr>
        <w:t>Subnet</w:t>
      </w:r>
      <w:proofErr w:type="spellEnd"/>
      <w:r>
        <w:rPr>
          <w:rStyle w:val="MdStrong"/>
        </w:rPr>
        <w:t xml:space="preserve"> - App Layer:</w:t>
      </w:r>
      <w:r>
        <w:t xml:space="preserve"> Aloja el clúster de </w:t>
      </w:r>
      <w:proofErr w:type="spellStart"/>
      <w:r>
        <w:t>Kubernetes</w:t>
      </w:r>
      <w:proofErr w:type="spellEnd"/>
      <w:r>
        <w:t xml:space="preserve"> (EKS/AKS) con los </w:t>
      </w:r>
      <w:proofErr w:type="spellStart"/>
      <w:r>
        <w:t>pods</w:t>
      </w:r>
      <w:proofErr w:type="spellEnd"/>
      <w:r>
        <w:t xml:space="preserve"> de los microservicios (Emisión, Recepción, Auth).</w:t>
      </w:r>
    </w:p>
    <w:p w14:paraId="6A1429D7" w14:textId="14CF2844" w:rsidR="00C93BA5" w:rsidRDefault="00000000" w:rsidP="00F423DB">
      <w:pPr>
        <w:pStyle w:val="MdListItem"/>
        <w:numPr>
          <w:ilvl w:val="0"/>
          <w:numId w:val="2"/>
        </w:numPr>
      </w:pPr>
      <w:r>
        <w:rPr>
          <w:rStyle w:val="MdStrong"/>
        </w:rPr>
        <w:t>Data Layer:</w:t>
      </w:r>
      <w:r>
        <w:t xml:space="preserve"> Incluye la base de datos gestionada (</w:t>
      </w:r>
      <w:proofErr w:type="spellStart"/>
      <w:r>
        <w:t>Managed</w:t>
      </w:r>
      <w:proofErr w:type="spellEnd"/>
      <w:r>
        <w:t xml:space="preserve"> SQL DB) y el almacenamiento de objetos (S3).</w:t>
      </w:r>
    </w:p>
    <w:sectPr w:rsidR="00C93BA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E208B"/>
    <w:multiLevelType w:val="hybridMultilevel"/>
    <w:tmpl w:val="3AE0FDEE"/>
    <w:lvl w:ilvl="0" w:tplc="486811D2">
      <w:start w:val="1"/>
      <w:numFmt w:val="bullet"/>
      <w:lvlText w:val="•"/>
      <w:lvlJc w:val="left"/>
      <w:pPr>
        <w:ind w:left="720" w:hanging="360"/>
      </w:pPr>
    </w:lvl>
    <w:lvl w:ilvl="1" w:tplc="22B60F54">
      <w:start w:val="1"/>
      <w:numFmt w:val="bullet"/>
      <w:lvlText w:val="◦"/>
      <w:lvlJc w:val="left"/>
      <w:pPr>
        <w:ind w:left="1440" w:hanging="360"/>
      </w:pPr>
    </w:lvl>
    <w:lvl w:ilvl="2" w:tplc="46AA6516">
      <w:start w:val="1"/>
      <w:numFmt w:val="bullet"/>
      <w:lvlText w:val="•"/>
      <w:lvlJc w:val="left"/>
      <w:pPr>
        <w:ind w:left="2160" w:hanging="360"/>
      </w:pPr>
    </w:lvl>
    <w:lvl w:ilvl="3" w:tplc="95E26E10">
      <w:start w:val="1"/>
      <w:numFmt w:val="bullet"/>
      <w:lvlText w:val="◦"/>
      <w:lvlJc w:val="left"/>
      <w:pPr>
        <w:ind w:left="2880" w:hanging="360"/>
      </w:pPr>
    </w:lvl>
    <w:lvl w:ilvl="4" w:tplc="DE782BD6">
      <w:start w:val="1"/>
      <w:numFmt w:val="bullet"/>
      <w:lvlText w:val="•"/>
      <w:lvlJc w:val="left"/>
      <w:pPr>
        <w:ind w:left="3600" w:hanging="360"/>
      </w:pPr>
    </w:lvl>
    <w:lvl w:ilvl="5" w:tplc="FF261896">
      <w:start w:val="1"/>
      <w:numFmt w:val="bullet"/>
      <w:lvlText w:val="◦"/>
      <w:lvlJc w:val="left"/>
      <w:pPr>
        <w:ind w:left="4320" w:hanging="360"/>
      </w:pPr>
    </w:lvl>
    <w:lvl w:ilvl="6" w:tplc="7096CAAE">
      <w:start w:val="1"/>
      <w:numFmt w:val="bullet"/>
      <w:lvlText w:val="•"/>
      <w:lvlJc w:val="left"/>
      <w:pPr>
        <w:ind w:left="5040" w:hanging="360"/>
      </w:pPr>
    </w:lvl>
    <w:lvl w:ilvl="7" w:tplc="20EE97B2">
      <w:numFmt w:val="decimal"/>
      <w:lvlText w:val=""/>
      <w:lvlJc w:val="left"/>
    </w:lvl>
    <w:lvl w:ilvl="8" w:tplc="092C429A">
      <w:numFmt w:val="decimal"/>
      <w:lvlText w:val=""/>
      <w:lvlJc w:val="left"/>
    </w:lvl>
  </w:abstractNum>
  <w:abstractNum w:abstractNumId="1" w15:restartNumberingAfterBreak="0">
    <w:nsid w:val="478B597A"/>
    <w:multiLevelType w:val="multilevel"/>
    <w:tmpl w:val="E57E99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7C43F76"/>
    <w:multiLevelType w:val="hybridMultilevel"/>
    <w:tmpl w:val="56D82B2A"/>
    <w:lvl w:ilvl="0" w:tplc="36B29994">
      <w:start w:val="1"/>
      <w:numFmt w:val="bullet"/>
      <w:lvlText w:val="●"/>
      <w:lvlJc w:val="left"/>
      <w:pPr>
        <w:ind w:left="720" w:hanging="360"/>
      </w:pPr>
    </w:lvl>
    <w:lvl w:ilvl="1" w:tplc="4A1C85A8">
      <w:start w:val="1"/>
      <w:numFmt w:val="bullet"/>
      <w:lvlText w:val="○"/>
      <w:lvlJc w:val="left"/>
      <w:pPr>
        <w:ind w:left="1440" w:hanging="360"/>
      </w:pPr>
    </w:lvl>
    <w:lvl w:ilvl="2" w:tplc="02E66B88">
      <w:start w:val="1"/>
      <w:numFmt w:val="bullet"/>
      <w:lvlText w:val="■"/>
      <w:lvlJc w:val="left"/>
      <w:pPr>
        <w:ind w:left="2160" w:hanging="360"/>
      </w:pPr>
    </w:lvl>
    <w:lvl w:ilvl="3" w:tplc="CFF0E71A">
      <w:start w:val="1"/>
      <w:numFmt w:val="bullet"/>
      <w:lvlText w:val="●"/>
      <w:lvlJc w:val="left"/>
      <w:pPr>
        <w:ind w:left="2880" w:hanging="360"/>
      </w:pPr>
    </w:lvl>
    <w:lvl w:ilvl="4" w:tplc="55AE71D8">
      <w:start w:val="1"/>
      <w:numFmt w:val="bullet"/>
      <w:lvlText w:val="○"/>
      <w:lvlJc w:val="left"/>
      <w:pPr>
        <w:ind w:left="3600" w:hanging="360"/>
      </w:pPr>
    </w:lvl>
    <w:lvl w:ilvl="5" w:tplc="0CC6637A">
      <w:start w:val="1"/>
      <w:numFmt w:val="bullet"/>
      <w:lvlText w:val="■"/>
      <w:lvlJc w:val="left"/>
      <w:pPr>
        <w:ind w:left="4320" w:hanging="360"/>
      </w:pPr>
    </w:lvl>
    <w:lvl w:ilvl="6" w:tplc="B1DA6C46">
      <w:start w:val="1"/>
      <w:numFmt w:val="bullet"/>
      <w:lvlText w:val="●"/>
      <w:lvlJc w:val="left"/>
      <w:pPr>
        <w:ind w:left="5040" w:hanging="360"/>
      </w:pPr>
    </w:lvl>
    <w:lvl w:ilvl="7" w:tplc="176A91E4">
      <w:start w:val="1"/>
      <w:numFmt w:val="bullet"/>
      <w:lvlText w:val="●"/>
      <w:lvlJc w:val="left"/>
      <w:pPr>
        <w:ind w:left="5760" w:hanging="360"/>
      </w:pPr>
    </w:lvl>
    <w:lvl w:ilvl="8" w:tplc="75886AEE">
      <w:start w:val="1"/>
      <w:numFmt w:val="bullet"/>
      <w:lvlText w:val="●"/>
      <w:lvlJc w:val="left"/>
      <w:pPr>
        <w:ind w:left="6480" w:hanging="360"/>
      </w:pPr>
    </w:lvl>
  </w:abstractNum>
  <w:num w:numId="1" w16cid:durableId="1917208306">
    <w:abstractNumId w:val="2"/>
    <w:lvlOverride w:ilvl="0">
      <w:startOverride w:val="1"/>
    </w:lvlOverride>
  </w:num>
  <w:num w:numId="2" w16cid:durableId="44843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BA5"/>
    <w:rsid w:val="00624072"/>
    <w:rsid w:val="00C93BA5"/>
    <w:rsid w:val="00F423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741E"/>
  <w15:docId w15:val="{BCA6CB39-7BD3-471E-93B6-639544D1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color="0563C1"/>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425</Words>
  <Characters>2340</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SALA ESTUDIANTES 10</cp:lastModifiedBy>
  <cp:revision>2</cp:revision>
  <dcterms:created xsi:type="dcterms:W3CDTF">2026-05-14T13:28:00Z</dcterms:created>
  <dcterms:modified xsi:type="dcterms:W3CDTF">2026-05-14T13:31:00Z</dcterms:modified>
</cp:coreProperties>
</file>