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03 Informe de Rendimiento</w:t>
      </w:r>
    </w:p>
    <w:p>
      <w:pPr>
        <w:pStyle w:val="MdParagraph"/>
      </w:pPr>
      <w:r>
        <w:rPr>
          <w:rStyle w:val="MdStrong"/>
          <w:b/>
          <w:bCs/>
        </w:rPr>
        <w:t xml:space="preserve">Proyecto:</w:t>
      </w:r>
      <w:r>
        <w:t xml:space="preserve"> Sistema de Facturación Electrónica en la Nube
</w:t>
      </w:r>
      <w:r>
        <w:rPr>
          <w:rStyle w:val="MdStrong"/>
          <w:b/>
          <w:bCs/>
        </w:rPr>
        <w:t xml:space="preserve">Fecha:</w:t>
      </w:r>
      <w:r>
        <w:t xml:space="preserve"> 21 de mayo de 2026
</w:t>
      </w:r>
      <w:r>
        <w:rPr>
          <w:rStyle w:val="MdStrong"/>
          <w:b/>
          <w:bCs/>
        </w:rPr>
        <w:t xml:space="preserve">Versión:</w:t>
      </w:r>
      <w:r>
        <w:t xml:space="preserve"> 1.0
</w:t>
      </w:r>
      <w:r>
        <w:rPr>
          <w:rStyle w:val="MdStrong"/>
          <w:b/>
          <w:bCs/>
        </w:rPr>
        <w:t xml:space="preserve">Responsable:</w:t>
      </w:r>
      <w:r>
        <w:t xml:space="preserve"> Alexander Ortega Navas
</w:t>
      </w:r>
      <w:r>
        <w:rPr>
          <w:rStyle w:val="MdStrong"/>
          <w:b/>
          <w:bCs/>
        </w:rPr>
        <w:t xml:space="preserve">Elaborado por:</w:t>
      </w:r>
      <w:r>
        <w:t xml:space="preserve"> Carolina Bedoya Duque (Especialista en Rendimiento)</w:t>
      </w:r>
    </w:p>
    <w:p>
      <w:pPr>
        <w:pStyle w:val="MdSpace"/>
        <w:spacing w:before="0" w:after="60"/>
      </w:pPr>
    </w:p>
    <w:p>
      <w:pPr>
        <w:pStyle w:val="Heading2"/>
        <w:pStyle w:val="MdHeading2"/>
      </w:pPr>
      <w:r>
        <w:t xml:space="preserve">1. Introducción</w:t>
      </w:r>
    </w:p>
    <w:p>
      <w:pPr>
        <w:pStyle w:val="MdParagraph"/>
      </w:pPr>
      <w:r>
        <w:t xml:space="preserve">El presente informe detalla los resultados de las pruebas de rendimiento realizadas al Sistema de Facturación Electrónica en la Nube. El objetivo principal de estas pruebas es evaluar el comportamiento del sistema bajo diferentes cargas de trabajo, verificando su capacidad para manejar volúmenes de transacciones esperados, sus tiempos de respuesta y su estabilidad. Este análisis es crucial para asegurar que el sistema cumple con los Acuerdos de Nivel de Servicio (SLA) y los Requerimientos No Funcionales (RNF) de rendimiento definidos para el proyecto.</w:t>
      </w:r>
    </w:p>
    <w:p>
      <w:pPr>
        <w:pStyle w:val="MdSpace"/>
        <w:spacing w:before="0" w:after="60"/>
      </w:pPr>
    </w:p>
    <w:p>
      <w:pPr>
        <w:pStyle w:val="Heading2"/>
        <w:pStyle w:val="MdHeading2"/>
      </w:pPr>
      <w:r>
        <w:t xml:space="preserve">2. Objetivos de las Pruebas de Rendimiento</w:t>
      </w:r>
    </w:p>
    <w:p>
      <w:pPr>
        <w:pStyle w:val="MdParagraph"/>
      </w:pPr>
      <w:r>
        <w:t xml:space="preserve">Los objetivos específicos de las pruebas de rendimiento fueron:</w:t>
      </w:r>
    </w:p>
    <w:p>
      <w:pPr>
        <w:pStyle w:val="MdSpace"/>
        <w:spacing w:before="0" w:after="60"/>
      </w:pPr>
    </w:p>
    <w:p>
      <w:pPr>
        <w:pStyle w:val="MdListItem"/>
        <w:numPr>
          <w:ilvl w:val="0"/>
          <w:numId w:val="2"/>
        </w:numPr>
      </w:pPr>
      <w:r>
        <w:rPr>
          <w:rStyle w:val="MdStrong"/>
          <w:b/>
          <w:bCs/>
        </w:rPr>
        <w:t xml:space="preserve">Evaluar la capacidad del sistema:</w:t>
      </w:r>
      <w:r>
        <w:t xml:space="preserve"> Determinar el número máximo de transacciones por segundo (TPS) que el sistema puede procesar de manera estable.</w:t>
      </w:r>
    </w:p>
    <w:p>
      <w:pPr>
        <w:pStyle w:val="MdListItem"/>
        <w:numPr>
          <w:ilvl w:val="0"/>
          <w:numId w:val="2"/>
        </w:numPr>
      </w:pPr>
      <w:r>
        <w:rPr>
          <w:rStyle w:val="MdStrong"/>
          <w:b/>
          <w:bCs/>
        </w:rPr>
        <w:t xml:space="preserve">Medir tiempos de respuesta:</w:t>
      </w:r>
      <w:r>
        <w:t xml:space="preserve"> Verificar que los tiempos de respuesta de las operaciones críticas se encuentren dentro de los umbrales definidos (ej. emisión de factura &lt; 3 segundos).</w:t>
      </w:r>
    </w:p>
    <w:p>
      <w:pPr>
        <w:pStyle w:val="MdListItem"/>
        <w:numPr>
          <w:ilvl w:val="0"/>
          <w:numId w:val="2"/>
        </w:numPr>
      </w:pPr>
      <w:r>
        <w:rPr>
          <w:rStyle w:val="MdStrong"/>
          <w:b/>
          <w:bCs/>
        </w:rPr>
        <w:t xml:space="preserve">Identificar cuellos de botella:</w:t>
      </w:r>
      <w:r>
        <w:t xml:space="preserve"> Localizar componentes o procesos que limiten el rendimiento del sistema bajo carga.</w:t>
      </w:r>
    </w:p>
    <w:p>
      <w:pPr>
        <w:pStyle w:val="MdListItem"/>
        <w:numPr>
          <w:ilvl w:val="0"/>
          <w:numId w:val="2"/>
        </w:numPr>
      </w:pPr>
      <w:r>
        <w:rPr>
          <w:rStyle w:val="MdStrong"/>
          <w:b/>
          <w:bCs/>
        </w:rPr>
        <w:t xml:space="preserve">Validar la escalabilidad:</w:t>
      </w:r>
      <w:r>
        <w:t xml:space="preserve"> Confirmar que el sistema puede escalar horizontalmente para manejar picos de demanda.</w:t>
      </w:r>
    </w:p>
    <w:p>
      <w:pPr>
        <w:pStyle w:val="MdListItem"/>
        <w:numPr>
          <w:ilvl w:val="0"/>
          <w:numId w:val="2"/>
        </w:numPr>
      </w:pPr>
      <w:r>
        <w:rPr>
          <w:rStyle w:val="MdStrong"/>
          <w:b/>
          <w:bCs/>
        </w:rPr>
        <w:t xml:space="preserve">Asegurar la estabilidad:</w:t>
      </w:r>
      <w:r>
        <w:t xml:space="preserve"> Evaluar el comportamiento del sistema durante períodos prolongados de carga.</w:t>
      </w:r>
    </w:p>
    <w:p>
      <w:pPr>
        <w:pStyle w:val="MdSpace"/>
        <w:spacing w:before="0" w:after="60"/>
      </w:pPr>
    </w:p>
    <w:p>
      <w:pPr>
        <w:pStyle w:val="Heading2"/>
        <w:pStyle w:val="MdHeading2"/>
      </w:pPr>
      <w:r>
        <w:t xml:space="preserve">3. Metodología de Pruebas</w:t>
      </w:r>
    </w:p>
    <w:p>
      <w:pPr>
        <w:pStyle w:val="MdParagraph"/>
      </w:pPr>
      <w:r>
        <w:t xml:space="preserve">Las pruebas de rendimiento se llevaron a cabo utilizando la siguiente metodología:</w:t>
      </w:r>
    </w:p>
    <w:p>
      <w:pPr>
        <w:pStyle w:val="MdSpace"/>
        <w:spacing w:before="0" w:after="60"/>
      </w:pPr>
    </w:p>
    <w:p>
      <w:pPr>
        <w:pStyle w:val="Heading3"/>
        <w:pStyle w:val="MdHeading3"/>
      </w:pPr>
      <w:r>
        <w:t xml:space="preserve">3.1. Entorno de Pruebas</w:t>
      </w:r>
    </w:p>
    <w:p>
      <w:pPr>
        <w:pStyle w:val="MdParagraph"/>
      </w:pPr>
      <w:r>
        <w:t xml:space="preserve">Se utilizó un entorno de pre-producción que replica la arquitectura y configuración del entorno de producción, incluyendo el clúster de Kubernetes, bases de datos gestionadas y servicios de caché. Los recursos fueron escalados para simular un escenario de producción.</w:t>
      </w:r>
    </w:p>
    <w:p>
      <w:pPr>
        <w:pStyle w:val="MdSpace"/>
        <w:spacing w:before="0" w:after="60"/>
      </w:pPr>
    </w:p>
    <w:p>
      <w:pPr>
        <w:pStyle w:val="Heading3"/>
        <w:pStyle w:val="MdHeading3"/>
      </w:pPr>
      <w:r>
        <w:t xml:space="preserve">3.2. Herramientas Utilizadas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Herramienta</w:t>
            </w:r>
          </w:p>
        </w:tc>
        <w:tc>
          <w:tcPr>
            <w:tcBorders>
              <w:right w:val="none"/>
            </w:tcBorders>
            <w:tcMar>
              <w:top w:type="dxa" w:w="100"/>
              <w:left w:type="dxa" w:w="120"/>
              <w:bottom w:type="dxa" w:w="100"/>
              <w:right w:type="dxa" w:w="120"/>
            </w:tcMar>
            <w:vAlign w:val="center"/>
          </w:tcPr>
          <w:p>
            <w:pPr>
              <w:pStyle w:val="MdTableHeader"/>
              <w:jc w:val="left"/>
            </w:pPr>
            <w:r>
              <w:t xml:space="preserve">Propósito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Apache JMeter</w:t>
            </w:r>
          </w:p>
        </w:tc>
        <w:tc>
          <w:tcPr>
            <w:tcBorders>
              <w:right w:val="none"/>
            </w:tcBorders>
            <w:tcMar>
              <w:top w:type="dxa" w:w="80"/>
              <w:left w:type="dxa" w:w="120"/>
              <w:bottom w:type="dxa" w:w="80"/>
              <w:right w:type="dxa" w:w="120"/>
            </w:tcMar>
            <w:vAlign w:val="center"/>
          </w:tcPr>
          <w:p>
            <w:pPr>
              <w:pStyle w:val="MdTableCell"/>
              <w:jc w:val="left"/>
            </w:pPr>
            <w:r>
              <w:t xml:space="preserve">Generación de carga y recolección de métricas.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Prometheus &amp; Grafana</w:t>
            </w:r>
          </w:p>
        </w:tc>
        <w:tc>
          <w:tcPr>
            <w:tcBorders>
              <w:right w:val="none"/>
            </w:tcBorders>
            <w:tcMar>
              <w:top w:type="dxa" w:w="80"/>
              <w:left w:type="dxa" w:w="120"/>
              <w:bottom w:type="dxa" w:w="80"/>
              <w:right w:type="dxa" w:w="120"/>
            </w:tcMar>
            <w:vAlign w:val="center"/>
          </w:tcPr>
          <w:p>
            <w:pPr>
              <w:pStyle w:val="MdTableCell"/>
              <w:jc w:val="left"/>
            </w:pPr>
            <w:r>
              <w:t xml:space="preserve">Monitoreo de infraestructura y servicios en tiempo real.</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K6</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Pruebas de carga para APIs.</w:t>
            </w:r>
          </w:p>
        </w:tc>
      </w:tr>
    </w:tbl>
    <w:p>
      <w:pPr>
        <w:pStyle w:val="Heading3"/>
        <w:pStyle w:val="MdHeading3"/>
      </w:pPr>
      <w:r>
        <w:t xml:space="preserve">3.3. Tipos de Pruebas Ejecutadas</w:t>
      </w:r>
    </w:p>
    <w:p>
      <w:pPr>
        <w:pStyle w:val="MdListItem"/>
        <w:numPr>
          <w:ilvl w:val="0"/>
          <w:numId w:val="2"/>
        </w:numPr>
      </w:pPr>
      <w:r>
        <w:rPr>
          <w:rStyle w:val="MdStrong"/>
          <w:b/>
          <w:bCs/>
        </w:rPr>
        <w:t xml:space="preserve">Pruebas de Carga:</w:t>
      </w:r>
      <w:r>
        <w:t xml:space="preserve"> Simulación de un número esperado de usuarios concurrentes para evaluar el rendimiento bajo condiciones normales de operación.</w:t>
      </w:r>
    </w:p>
    <w:p>
      <w:pPr>
        <w:pStyle w:val="MdListItem"/>
        <w:numPr>
          <w:ilvl w:val="0"/>
          <w:numId w:val="2"/>
        </w:numPr>
      </w:pPr>
      <w:r>
        <w:rPr>
          <w:rStyle w:val="MdStrong"/>
          <w:b/>
          <w:bCs/>
        </w:rPr>
        <w:t xml:space="preserve">Pruebas de Estrés:</w:t>
      </w:r>
      <w:r>
        <w:t xml:space="preserve"> Incremento gradual de la carga más allá de los límites esperados para determinar el punto de ruptura del sistema.</w:t>
      </w:r>
    </w:p>
    <w:p>
      <w:pPr>
        <w:pStyle w:val="MdListItem"/>
        <w:numPr>
          <w:ilvl w:val="0"/>
          <w:numId w:val="2"/>
        </w:numPr>
      </w:pPr>
      <w:r>
        <w:rPr>
          <w:rStyle w:val="MdStrong"/>
          <w:b/>
          <w:bCs/>
        </w:rPr>
        <w:t xml:space="preserve">Pruebas de Volumen:</w:t>
      </w:r>
      <w:r>
        <w:t xml:space="preserve"> Evaluación del rendimiento del sistema con grandes volúmenes de datos almacenados.</w:t>
      </w:r>
    </w:p>
    <w:p>
      <w:pPr>
        <w:pStyle w:val="MdSpace"/>
        <w:spacing w:before="0" w:after="60"/>
      </w:pPr>
    </w:p>
    <w:p>
      <w:pPr>
        <w:pStyle w:val="Heading2"/>
        <w:pStyle w:val="MdHeading2"/>
      </w:pPr>
      <w:r>
        <w:t xml:space="preserve">4. Escenarios de Prueba y Resultados</w:t>
      </w:r>
    </w:p>
    <w:p>
      <w:pPr>
        <w:pStyle w:val="MdParagraph"/>
      </w:pPr>
      <w:r>
        <w:t xml:space="preserve">Se definieron y ejecutaron los siguientes escenarios de prueba, basados en los requerimientos funcionales críticos del sistema:</w:t>
      </w:r>
    </w:p>
    <w:p>
      <w:pPr>
        <w:pStyle w:val="MdSpace"/>
        <w:spacing w:before="0" w:after="60"/>
      </w:pPr>
    </w:p>
    <w:p>
      <w:pPr>
        <w:pStyle w:val="Heading3"/>
        <w:pStyle w:val="MdHeading3"/>
      </w:pPr>
      <w:r>
        <w:t xml:space="preserve">4.1. Escenario 1: Emisión Concurrente de Facturas Electrónicas</w:t>
      </w:r>
    </w:p>
    <w:p>
      <w:pPr>
        <w:pStyle w:val="MdListItem"/>
        <w:numPr>
          <w:ilvl w:val="0"/>
          <w:numId w:val="2"/>
        </w:numPr>
      </w:pPr>
      <w:r>
        <w:rPr>
          <w:rStyle w:val="MdStrong"/>
          <w:b/>
          <w:bCs/>
        </w:rPr>
        <w:t xml:space="preserve">Descripción:</w:t>
      </w:r>
      <w:r>
        <w:t xml:space="preserve"> Simulación de múltiples usuarios emitiendo facturas electrónicas simultáneamente.</w:t>
      </w:r>
    </w:p>
    <w:p>
      <w:pPr>
        <w:pStyle w:val="MdListItem"/>
        <w:numPr>
          <w:ilvl w:val="0"/>
          <w:numId w:val="2"/>
        </w:numPr>
      </w:pPr>
      <w:r>
        <w:rPr>
          <w:rStyle w:val="MdStrong"/>
          <w:b/>
          <w:bCs/>
        </w:rPr>
        <w:t xml:space="preserve">Usuarios Virtuales:</w:t>
      </w:r>
      <w:r>
        <w:t xml:space="preserve"> 200 usuarios concurrentes.</w:t>
      </w:r>
    </w:p>
    <w:p>
      <w:pPr>
        <w:pStyle w:val="MdListItem"/>
        <w:numPr>
          <w:ilvl w:val="0"/>
          <w:numId w:val="2"/>
        </w:numPr>
      </w:pPr>
      <w:r>
        <w:rPr>
          <w:rStyle w:val="MdStrong"/>
          <w:b/>
          <w:bCs/>
        </w:rPr>
        <w:t xml:space="preserve">Duración:</w:t>
      </w:r>
      <w:r>
        <w:t xml:space="preserve"> 30 minutos.</w:t>
      </w:r>
    </w:p>
    <w:p>
      <w:pPr>
        <w:pStyle w:val="MdListItem"/>
        <w:numPr>
          <w:ilvl w:val="0"/>
          <w:numId w:val="2"/>
        </w:numPr>
      </w:pPr>
      <w:r>
        <w:rPr>
          <w:rStyle w:val="MdStrong"/>
          <w:b/>
          <w:bCs/>
        </w:rPr>
        <w:t xml:space="preserve">Transacciones por Usuario:</w:t>
      </w:r>
      <w:r>
        <w:t xml:space="preserve"> 5 facturas por usuario.</w:t>
      </w:r>
    </w:p>
    <w:p>
      <w:pPr>
        <w:pStyle w:val="MdSpace"/>
        <w:spacing w:before="0" w:after="60"/>
      </w:pPr>
    </w:p>
    <w:p>
      <w:pPr>
        <w:pStyle w:val="MdParagraph"/>
      </w:pPr>
      <w:r>
        <w:rPr>
          <w:rStyle w:val="MdStrong"/>
          <w:b/>
          <w:bCs/>
        </w:rPr>
        <w:t xml:space="preserve">Resultados Clave: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Métrica</w:t>
            </w:r>
          </w:p>
        </w:tc>
        <w:tc>
          <w:tcPr>
            <w:tcMar>
              <w:top w:type="dxa" w:w="100"/>
              <w:left w:type="dxa" w:w="120"/>
              <w:bottom w:type="dxa" w:w="100"/>
              <w:right w:type="dxa" w:w="120"/>
            </w:tcMar>
            <w:vAlign w:val="center"/>
          </w:tcPr>
          <w:p>
            <w:pPr>
              <w:pStyle w:val="MdTableHeader"/>
              <w:jc w:val="left"/>
            </w:pPr>
            <w:r>
              <w:t xml:space="preserve">Valor Obtenido</w:t>
            </w:r>
          </w:p>
        </w:tc>
        <w:tc>
          <w:tcPr>
            <w:tcMar>
              <w:top w:type="dxa" w:w="100"/>
              <w:left w:type="dxa" w:w="120"/>
              <w:bottom w:type="dxa" w:w="100"/>
              <w:right w:type="dxa" w:w="120"/>
            </w:tcMar>
            <w:vAlign w:val="center"/>
          </w:tcPr>
          <w:p>
            <w:pPr>
              <w:pStyle w:val="MdTableHeader"/>
              <w:jc w:val="left"/>
            </w:pPr>
            <w:r>
              <w:t xml:space="preserve">Umbral RNF (Esperado)</w:t>
            </w:r>
          </w:p>
        </w:tc>
        <w:tc>
          <w:tcPr>
            <w:tcBorders>
              <w:right w:val="none"/>
            </w:tcBorders>
            <w:tcMar>
              <w:top w:type="dxa" w:w="100"/>
              <w:left w:type="dxa" w:w="120"/>
              <w:bottom w:type="dxa" w:w="100"/>
              <w:right w:type="dxa" w:w="120"/>
            </w:tcMar>
            <w:vAlign w:val="center"/>
          </w:tcPr>
          <w:p>
            <w:pPr>
              <w:pStyle w:val="MdTableHeader"/>
              <w:jc w:val="left"/>
            </w:pPr>
            <w:r>
              <w:t xml:space="preserve">Cumplimiento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Transacciones por Segundo (TPS)</w:t>
            </w:r>
          </w:p>
        </w:tc>
        <w:tc>
          <w:tcPr>
            <w:tcMar>
              <w:top w:type="dxa" w:w="80"/>
              <w:left w:type="dxa" w:w="120"/>
              <w:bottom w:type="dxa" w:w="80"/>
              <w:right w:type="dxa" w:w="120"/>
            </w:tcMar>
            <w:vAlign w:val="center"/>
          </w:tcPr>
          <w:p>
            <w:pPr>
              <w:pStyle w:val="MdTableCell"/>
              <w:jc w:val="left"/>
            </w:pPr>
            <w:r>
              <w:t xml:space="preserve">65 TPS</w:t>
            </w:r>
          </w:p>
        </w:tc>
        <w:tc>
          <w:tcPr>
            <w:tcMar>
              <w:top w:type="dxa" w:w="80"/>
              <w:left w:type="dxa" w:w="120"/>
              <w:bottom w:type="dxa" w:w="80"/>
              <w:right w:type="dxa" w:w="120"/>
            </w:tcMar>
            <w:vAlign w:val="center"/>
          </w:tcPr>
          <w:p>
            <w:pPr>
              <w:pStyle w:val="MdTableCell"/>
              <w:jc w:val="left"/>
            </w:pPr>
            <w:r>
              <w:t xml:space="preserve">≥ 50 TPS</w:t>
            </w:r>
          </w:p>
        </w:tc>
        <w:tc>
          <w:tcPr>
            <w:tcBorders>
              <w:right w:val="none"/>
            </w:tcBorders>
            <w:tcMar>
              <w:top w:type="dxa" w:w="80"/>
              <w:left w:type="dxa" w:w="120"/>
              <w:bottom w:type="dxa" w:w="80"/>
              <w:right w:type="dxa" w:w="120"/>
            </w:tcMar>
            <w:vAlign w:val="center"/>
          </w:tcPr>
          <w:p>
            <w:pPr>
              <w:pStyle w:val="MdTableCell"/>
              <w:jc w:val="left"/>
            </w:pPr>
            <w:r>
              <w:t xml:space="preserve">Sí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Tiempo de Respuesta Promedio</w:t>
            </w:r>
          </w:p>
        </w:tc>
        <w:tc>
          <w:tcPr>
            <w:tcMar>
              <w:top w:type="dxa" w:w="80"/>
              <w:left w:type="dxa" w:w="120"/>
              <w:bottom w:type="dxa" w:w="80"/>
              <w:right w:type="dxa" w:w="120"/>
            </w:tcMar>
            <w:vAlign w:val="center"/>
          </w:tcPr>
          <w:p>
            <w:pPr>
              <w:pStyle w:val="MdTableCell"/>
              <w:jc w:val="left"/>
            </w:pPr>
            <w:r>
              <w:t xml:space="preserve">2.1 segundos</w:t>
            </w:r>
          </w:p>
        </w:tc>
        <w:tc>
          <w:tcPr>
            <w:tcMar>
              <w:top w:type="dxa" w:w="80"/>
              <w:left w:type="dxa" w:w="120"/>
              <w:bottom w:type="dxa" w:w="80"/>
              <w:right w:type="dxa" w:w="120"/>
            </w:tcMar>
            <w:vAlign w:val="center"/>
          </w:tcPr>
          <w:p>
            <w:pPr>
              <w:pStyle w:val="MdTableCell"/>
              <w:jc w:val="left"/>
            </w:pPr>
            <w:r>
              <w:t xml:space="preserve">&lt; 3 segundos</w:t>
            </w:r>
          </w:p>
        </w:tc>
        <w:tc>
          <w:tcPr>
            <w:tcBorders>
              <w:right w:val="none"/>
            </w:tcBorders>
            <w:tcMar>
              <w:top w:type="dxa" w:w="80"/>
              <w:left w:type="dxa" w:w="120"/>
              <w:bottom w:type="dxa" w:w="80"/>
              <w:right w:type="dxa" w:w="120"/>
            </w:tcMar>
            <w:vAlign w:val="center"/>
          </w:tcPr>
          <w:p>
            <w:pPr>
              <w:pStyle w:val="MdTableCell"/>
              <w:jc w:val="left"/>
            </w:pPr>
            <w:r>
              <w:t xml:space="preserve">Sí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Tasa de Errores</w:t>
            </w:r>
          </w:p>
        </w:tc>
        <w:tc>
          <w:tcPr>
            <w:tcMar>
              <w:top w:type="dxa" w:w="80"/>
              <w:left w:type="dxa" w:w="120"/>
              <w:bottom w:type="dxa" w:w="80"/>
              <w:right w:type="dxa" w:w="120"/>
            </w:tcMar>
            <w:vAlign w:val="center"/>
          </w:tcPr>
          <w:p>
            <w:pPr>
              <w:pStyle w:val="MdTableCell"/>
              <w:jc w:val="left"/>
            </w:pPr>
            <w:r>
              <w:t xml:space="preserve">0.5%</w:t>
            </w:r>
          </w:p>
        </w:tc>
        <w:tc>
          <w:tcPr>
            <w:tcMar>
              <w:top w:type="dxa" w:w="80"/>
              <w:left w:type="dxa" w:w="120"/>
              <w:bottom w:type="dxa" w:w="80"/>
              <w:right w:type="dxa" w:w="120"/>
            </w:tcMar>
            <w:vAlign w:val="center"/>
          </w:tcPr>
          <w:p>
            <w:pPr>
              <w:pStyle w:val="MdTableCell"/>
              <w:jc w:val="left"/>
            </w:pPr>
            <w:r>
              <w:t xml:space="preserve">&lt; 1%</w:t>
            </w:r>
          </w:p>
        </w:tc>
        <w:tc>
          <w:tcPr>
            <w:tcBorders>
              <w:right w:val="none"/>
            </w:tcBorders>
            <w:tcMar>
              <w:top w:type="dxa" w:w="80"/>
              <w:left w:type="dxa" w:w="120"/>
              <w:bottom w:type="dxa" w:w="80"/>
              <w:right w:type="dxa" w:w="120"/>
            </w:tcMar>
            <w:vAlign w:val="center"/>
          </w:tcPr>
          <w:p>
            <w:pPr>
              <w:pStyle w:val="MdTableCell"/>
              <w:jc w:val="left"/>
            </w:pPr>
            <w:r>
              <w:t xml:space="preserve">Sí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Uso de CPU (Servicio Emisión)</w:t>
            </w:r>
          </w:p>
        </w:tc>
        <w:tc>
          <w:tcPr>
            <w:tcMar>
              <w:top w:type="dxa" w:w="80"/>
              <w:left w:type="dxa" w:w="120"/>
              <w:bottom w:type="dxa" w:w="80"/>
              <w:right w:type="dxa" w:w="120"/>
            </w:tcMar>
            <w:vAlign w:val="center"/>
          </w:tcPr>
          <w:p>
            <w:pPr>
              <w:pStyle w:val="MdTableCell"/>
              <w:jc w:val="left"/>
            </w:pPr>
            <w:r>
              <w:t xml:space="preserve">70%</w:t>
            </w:r>
          </w:p>
        </w:tc>
        <w:tc>
          <w:tcPr>
            <w:tcMar>
              <w:top w:type="dxa" w:w="80"/>
              <w:left w:type="dxa" w:w="120"/>
              <w:bottom w:type="dxa" w:w="80"/>
              <w:right w:type="dxa" w:w="120"/>
            </w:tcMar>
            <w:vAlign w:val="center"/>
          </w:tcPr>
          <w:p>
            <w:pPr>
              <w:pStyle w:val="MdTableCell"/>
              <w:jc w:val="left"/>
            </w:pPr>
            <w:r>
              <w:t xml:space="preserve">&lt; 85%</w:t>
            </w:r>
          </w:p>
        </w:tc>
        <w:tc>
          <w:tcPr>
            <w:tcBorders>
              <w:right w:val="none"/>
            </w:tcBorders>
            <w:tcMar>
              <w:top w:type="dxa" w:w="80"/>
              <w:left w:type="dxa" w:w="120"/>
              <w:bottom w:type="dxa" w:w="80"/>
              <w:right w:type="dxa" w:w="120"/>
            </w:tcMar>
            <w:vAlign w:val="center"/>
          </w:tcPr>
          <w:p>
            <w:pPr>
              <w:pStyle w:val="MdTableCell"/>
              <w:jc w:val="left"/>
            </w:pPr>
            <w:r>
              <w:t xml:space="preserve">Sí</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Uso de Memoria (Servicio Emisión)</w:t>
            </w:r>
          </w:p>
        </w:tc>
        <w:tc>
          <w:tcPr>
            <w:tcBorders>
              <w:bottom w:val="single" w:color="E1E4E8" w:sz="4"/>
            </w:tcBorders>
            <w:tcMar>
              <w:top w:type="dxa" w:w="80"/>
              <w:left w:type="dxa" w:w="120"/>
              <w:bottom w:type="dxa" w:w="80"/>
              <w:right w:type="dxa" w:w="120"/>
            </w:tcMar>
            <w:vAlign w:val="center"/>
          </w:tcPr>
          <w:p>
            <w:pPr>
              <w:pStyle w:val="MdTableCell"/>
              <w:jc w:val="left"/>
            </w:pPr>
            <w:r>
              <w:t xml:space="preserve">60%</w:t>
            </w:r>
          </w:p>
        </w:tc>
        <w:tc>
          <w:tcPr>
            <w:tcBorders>
              <w:bottom w:val="single" w:color="E1E4E8" w:sz="4"/>
            </w:tcBorders>
            <w:tcMar>
              <w:top w:type="dxa" w:w="80"/>
              <w:left w:type="dxa" w:w="120"/>
              <w:bottom w:type="dxa" w:w="80"/>
              <w:right w:type="dxa" w:w="120"/>
            </w:tcMar>
            <w:vAlign w:val="center"/>
          </w:tcPr>
          <w:p>
            <w:pPr>
              <w:pStyle w:val="MdTableCell"/>
              <w:jc w:val="left"/>
            </w:pPr>
            <w:r>
              <w:t xml:space="preserve">&lt; 75%</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Sí</w:t>
            </w:r>
          </w:p>
        </w:tc>
      </w:tr>
    </w:tbl>
    <w:p>
      <w:pPr>
        <w:pStyle w:val="MdParagraph"/>
      </w:pPr>
      <w:r>
        <w:rPr>
          <w:rStyle w:val="MdStrong"/>
          <w:b/>
          <w:bCs/>
        </w:rPr>
        <w:t xml:space="preserve">Análisis:</w:t>
      </w:r>
      <w:r>
        <w:t xml:space="preserve"> El sistema demostró ser capaz de manejar la carga esperada para la emisión de facturas, manteniendo los tiempos de respuesta dentro de los límites definidos. Se observó un pico de uso de CPU en el Servicio de Emisión, pero sin impactar la estabilidad general.</w:t>
      </w:r>
    </w:p>
    <w:p>
      <w:pPr>
        <w:pStyle w:val="MdSpace"/>
        <w:spacing w:before="0" w:after="60"/>
      </w:pPr>
    </w:p>
    <w:p>
      <w:pPr>
        <w:pStyle w:val="Heading3"/>
        <w:pStyle w:val="MdHeading3"/>
      </w:pPr>
      <w:r>
        <w:t xml:space="preserve">4.2. Escenario 2: Consulta Concurrente de Documentos</w:t>
      </w:r>
    </w:p>
    <w:p>
      <w:pPr>
        <w:pStyle w:val="MdListItem"/>
        <w:numPr>
          <w:ilvl w:val="0"/>
          <w:numId w:val="2"/>
        </w:numPr>
      </w:pPr>
      <w:r>
        <w:rPr>
          <w:rStyle w:val="MdStrong"/>
          <w:b/>
          <w:bCs/>
        </w:rPr>
        <w:t xml:space="preserve">Descripción:</w:t>
      </w:r>
      <w:r>
        <w:t xml:space="preserve"> Simulación de múltiples usuarios consultando documentos históricos de forma concurrente.</w:t>
      </w:r>
    </w:p>
    <w:p>
      <w:pPr>
        <w:pStyle w:val="MdListItem"/>
        <w:numPr>
          <w:ilvl w:val="0"/>
          <w:numId w:val="2"/>
        </w:numPr>
      </w:pPr>
      <w:r>
        <w:rPr>
          <w:rStyle w:val="MdStrong"/>
          <w:b/>
          <w:bCs/>
        </w:rPr>
        <w:t xml:space="preserve">Usuarios Virtuales:</w:t>
      </w:r>
      <w:r>
        <w:t xml:space="preserve"> 300 usuarios concurrentes.</w:t>
      </w:r>
    </w:p>
    <w:p>
      <w:pPr>
        <w:pStyle w:val="MdListItem"/>
        <w:numPr>
          <w:ilvl w:val="0"/>
          <w:numId w:val="2"/>
        </w:numPr>
      </w:pPr>
      <w:r>
        <w:rPr>
          <w:rStyle w:val="MdStrong"/>
          <w:b/>
          <w:bCs/>
        </w:rPr>
        <w:t xml:space="preserve">Duración:</w:t>
      </w:r>
      <w:r>
        <w:t xml:space="preserve"> 20 minutos.</w:t>
      </w:r>
    </w:p>
    <w:p>
      <w:pPr>
        <w:pStyle w:val="MdListItem"/>
        <w:numPr>
          <w:ilvl w:val="0"/>
          <w:numId w:val="2"/>
        </w:numPr>
      </w:pPr>
      <w:r>
        <w:rPr>
          <w:rStyle w:val="MdStrong"/>
          <w:b/>
          <w:bCs/>
        </w:rPr>
        <w:t xml:space="preserve">Transacciones por Usuario:</w:t>
      </w:r>
      <w:r>
        <w:t xml:space="preserve"> 10 consultas por usuario.</w:t>
      </w:r>
    </w:p>
    <w:p>
      <w:pPr>
        <w:pStyle w:val="MdSpace"/>
        <w:spacing w:before="0" w:after="60"/>
      </w:pPr>
    </w:p>
    <w:p>
      <w:pPr>
        <w:pStyle w:val="MdParagraph"/>
      </w:pPr>
      <w:r>
        <w:rPr>
          <w:rStyle w:val="MdStrong"/>
          <w:b/>
          <w:bCs/>
        </w:rPr>
        <w:t xml:space="preserve">Resultados Clave:</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left"/>
            </w:pPr>
            <w:r>
              <w:t xml:space="preserve">Métrica</w:t>
            </w:r>
          </w:p>
        </w:tc>
        <w:tc>
          <w:tcPr>
            <w:tcMar>
              <w:top w:type="dxa" w:w="100"/>
              <w:left w:type="dxa" w:w="120"/>
              <w:bottom w:type="dxa" w:w="100"/>
              <w:right w:type="dxa" w:w="120"/>
            </w:tcMar>
            <w:vAlign w:val="center"/>
          </w:tcPr>
          <w:p>
            <w:pPr>
              <w:pStyle w:val="MdTableHeader"/>
              <w:jc w:val="left"/>
            </w:pPr>
            <w:r>
              <w:t xml:space="preserve">Valor Obtenido</w:t>
            </w:r>
          </w:p>
        </w:tc>
        <w:tc>
          <w:tcPr>
            <w:tcMar>
              <w:top w:type="dxa" w:w="100"/>
              <w:left w:type="dxa" w:w="120"/>
              <w:bottom w:type="dxa" w:w="100"/>
              <w:right w:type="dxa" w:w="120"/>
            </w:tcMar>
            <w:vAlign w:val="center"/>
          </w:tcPr>
          <w:p>
            <w:pPr>
              <w:pStyle w:val="MdTableHeader"/>
              <w:jc w:val="left"/>
            </w:pPr>
            <w:r>
              <w:t xml:space="preserve">Umbral RNF (Esperado)</w:t>
            </w:r>
          </w:p>
        </w:tc>
        <w:tc>
          <w:tcPr>
            <w:tcBorders>
              <w:right w:val="none"/>
            </w:tcBorders>
            <w:tcMar>
              <w:top w:type="dxa" w:w="100"/>
              <w:left w:type="dxa" w:w="120"/>
              <w:bottom w:type="dxa" w:w="100"/>
              <w:right w:type="dxa" w:w="120"/>
            </w:tcMar>
            <w:vAlign w:val="center"/>
          </w:tcPr>
          <w:p>
            <w:pPr>
              <w:pStyle w:val="MdTableHeader"/>
              <w:jc w:val="left"/>
            </w:pPr>
            <w:r>
              <w:t xml:space="preserve">Cumplimiento</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Transacciones por Segundo (TPS)</w:t>
            </w:r>
          </w:p>
        </w:tc>
        <w:tc>
          <w:tcPr>
            <w:tcMar>
              <w:top w:type="dxa" w:w="80"/>
              <w:left w:type="dxa" w:w="120"/>
              <w:bottom w:type="dxa" w:w="80"/>
              <w:right w:type="dxa" w:w="120"/>
            </w:tcMar>
            <w:vAlign w:val="center"/>
          </w:tcPr>
          <w:p>
            <w:pPr>
              <w:pStyle w:val="MdTableCell"/>
              <w:jc w:val="left"/>
            </w:pPr>
            <w:r>
              <w:t xml:space="preserve">120 TPS</w:t>
            </w:r>
          </w:p>
        </w:tc>
        <w:tc>
          <w:tcPr>
            <w:tcMar>
              <w:top w:type="dxa" w:w="80"/>
              <w:left w:type="dxa" w:w="120"/>
              <w:bottom w:type="dxa" w:w="80"/>
              <w:right w:type="dxa" w:w="120"/>
            </w:tcMar>
            <w:vAlign w:val="center"/>
          </w:tcPr>
          <w:p>
            <w:pPr>
              <w:pStyle w:val="MdTableCell"/>
              <w:jc w:val="left"/>
            </w:pPr>
            <w:r>
              <w:t xml:space="preserve">≥ 100 TPS</w:t>
            </w:r>
          </w:p>
        </w:tc>
        <w:tc>
          <w:tcPr>
            <w:tcBorders>
              <w:right w:val="none"/>
            </w:tcBorders>
            <w:tcMar>
              <w:top w:type="dxa" w:w="80"/>
              <w:left w:type="dxa" w:w="120"/>
              <w:bottom w:type="dxa" w:w="80"/>
              <w:right w:type="dxa" w:w="120"/>
            </w:tcMar>
            <w:vAlign w:val="center"/>
          </w:tcPr>
          <w:p>
            <w:pPr>
              <w:pStyle w:val="MdTableCell"/>
              <w:jc w:val="left"/>
            </w:pPr>
            <w:r>
              <w:t xml:space="preserve">Sí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Tiempo de Respuesta Promedio</w:t>
            </w:r>
          </w:p>
        </w:tc>
        <w:tc>
          <w:tcPr>
            <w:tcMar>
              <w:top w:type="dxa" w:w="80"/>
              <w:left w:type="dxa" w:w="120"/>
              <w:bottom w:type="dxa" w:w="80"/>
              <w:right w:type="dxa" w:w="120"/>
            </w:tcMar>
            <w:vAlign w:val="center"/>
          </w:tcPr>
          <w:p>
            <w:pPr>
              <w:pStyle w:val="MdTableCell"/>
              <w:jc w:val="left"/>
            </w:pPr>
            <w:r>
              <w:t xml:space="preserve">1.5 segundos</w:t>
            </w:r>
          </w:p>
        </w:tc>
        <w:tc>
          <w:tcPr>
            <w:tcMar>
              <w:top w:type="dxa" w:w="80"/>
              <w:left w:type="dxa" w:w="120"/>
              <w:bottom w:type="dxa" w:w="80"/>
              <w:right w:type="dxa" w:w="120"/>
            </w:tcMar>
            <w:vAlign w:val="center"/>
          </w:tcPr>
          <w:p>
            <w:pPr>
              <w:pStyle w:val="MdTableCell"/>
              <w:jc w:val="left"/>
            </w:pPr>
            <w:r>
              <w:t xml:space="preserve">&lt; 2 segundos</w:t>
            </w:r>
          </w:p>
        </w:tc>
        <w:tc>
          <w:tcPr>
            <w:tcBorders>
              <w:right w:val="none"/>
            </w:tcBorders>
            <w:tcMar>
              <w:top w:type="dxa" w:w="80"/>
              <w:left w:type="dxa" w:w="120"/>
              <w:bottom w:type="dxa" w:w="80"/>
              <w:right w:type="dxa" w:w="120"/>
            </w:tcMar>
            <w:vAlign w:val="center"/>
          </w:tcPr>
          <w:p>
            <w:pPr>
              <w:pStyle w:val="MdTableCell"/>
              <w:jc w:val="left"/>
            </w:pPr>
            <w:r>
              <w:t xml:space="preserve">Sí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Tasa de Errores</w:t>
            </w:r>
          </w:p>
        </w:tc>
        <w:tc>
          <w:tcPr>
            <w:tcMar>
              <w:top w:type="dxa" w:w="80"/>
              <w:left w:type="dxa" w:w="120"/>
              <w:bottom w:type="dxa" w:w="80"/>
              <w:right w:type="dxa" w:w="120"/>
            </w:tcMar>
            <w:vAlign w:val="center"/>
          </w:tcPr>
          <w:p>
            <w:pPr>
              <w:pStyle w:val="MdTableCell"/>
              <w:jc w:val="left"/>
            </w:pPr>
            <w:r>
              <w:t xml:space="preserve">0.1%</w:t>
            </w:r>
          </w:p>
        </w:tc>
        <w:tc>
          <w:tcPr>
            <w:tcMar>
              <w:top w:type="dxa" w:w="80"/>
              <w:left w:type="dxa" w:w="120"/>
              <w:bottom w:type="dxa" w:w="80"/>
              <w:right w:type="dxa" w:w="120"/>
            </w:tcMar>
            <w:vAlign w:val="center"/>
          </w:tcPr>
          <w:p>
            <w:pPr>
              <w:pStyle w:val="MdTableCell"/>
              <w:jc w:val="left"/>
            </w:pPr>
            <w:r>
              <w:t xml:space="preserve">&lt; 1%</w:t>
            </w:r>
          </w:p>
        </w:tc>
        <w:tc>
          <w:tcPr>
            <w:tcBorders>
              <w:right w:val="none"/>
            </w:tcBorders>
            <w:tcMar>
              <w:top w:type="dxa" w:w="80"/>
              <w:left w:type="dxa" w:w="120"/>
              <w:bottom w:type="dxa" w:w="80"/>
              <w:right w:type="dxa" w:w="120"/>
            </w:tcMar>
            <w:vAlign w:val="center"/>
          </w:tcPr>
          <w:p>
            <w:pPr>
              <w:pStyle w:val="MdTableCell"/>
              <w:jc w:val="left"/>
            </w:pPr>
            <w:r>
              <w:t xml:space="preserve">Sí</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left"/>
            </w:pPr>
            <w:r>
              <w:rPr>
                <w:rStyle w:val="MdStrong"/>
                <w:b/>
                <w:bCs/>
              </w:rPr>
              <w:t xml:space="preserve">Uso de CPU (Motor de Búsqueda)</w:t>
            </w:r>
          </w:p>
        </w:tc>
        <w:tc>
          <w:tcPr>
            <w:tcMar>
              <w:top w:type="dxa" w:w="80"/>
              <w:left w:type="dxa" w:w="120"/>
              <w:bottom w:type="dxa" w:w="80"/>
              <w:right w:type="dxa" w:w="120"/>
            </w:tcMar>
            <w:vAlign w:val="center"/>
          </w:tcPr>
          <w:p>
            <w:pPr>
              <w:pStyle w:val="MdTableCell"/>
              <w:jc w:val="left"/>
            </w:pPr>
            <w:r>
              <w:t xml:space="preserve">55%</w:t>
            </w:r>
          </w:p>
        </w:tc>
        <w:tc>
          <w:tcPr>
            <w:tcMar>
              <w:top w:type="dxa" w:w="80"/>
              <w:left w:type="dxa" w:w="120"/>
              <w:bottom w:type="dxa" w:w="80"/>
              <w:right w:type="dxa" w:w="120"/>
            </w:tcMar>
            <w:vAlign w:val="center"/>
          </w:tcPr>
          <w:p>
            <w:pPr>
              <w:pStyle w:val="MdTableCell"/>
              <w:jc w:val="left"/>
            </w:pPr>
            <w:r>
              <w:t xml:space="preserve">&lt; 80%</w:t>
            </w:r>
          </w:p>
        </w:tc>
        <w:tc>
          <w:tcPr>
            <w:tcBorders>
              <w:right w:val="none"/>
            </w:tcBorders>
            <w:tcMar>
              <w:top w:type="dxa" w:w="80"/>
              <w:left w:type="dxa" w:w="120"/>
              <w:bottom w:type="dxa" w:w="80"/>
              <w:right w:type="dxa" w:w="120"/>
            </w:tcMar>
            <w:vAlign w:val="center"/>
          </w:tcPr>
          <w:p>
            <w:pPr>
              <w:pStyle w:val="MdTableCell"/>
              <w:jc w:val="left"/>
            </w:pPr>
            <w:r>
              <w:t xml:space="preserve">Sí</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left"/>
            </w:pPr>
            <w:r>
              <w:rPr>
                <w:rStyle w:val="MdStrong"/>
                <w:b/>
                <w:bCs/>
              </w:rPr>
              <w:t xml:space="preserve">Uso de Memoria (Motor de Búsqueda)</w:t>
            </w:r>
          </w:p>
        </w:tc>
        <w:tc>
          <w:tcPr>
            <w:tcBorders>
              <w:bottom w:val="single" w:color="E1E4E8" w:sz="4"/>
            </w:tcBorders>
            <w:tcMar>
              <w:top w:type="dxa" w:w="80"/>
              <w:left w:type="dxa" w:w="120"/>
              <w:bottom w:type="dxa" w:w="80"/>
              <w:right w:type="dxa" w:w="120"/>
            </w:tcMar>
            <w:vAlign w:val="center"/>
          </w:tcPr>
          <w:p>
            <w:pPr>
              <w:pStyle w:val="MdTableCell"/>
              <w:jc w:val="left"/>
            </w:pPr>
            <w:r>
              <w:t xml:space="preserve">45%</w:t>
            </w:r>
          </w:p>
        </w:tc>
        <w:tc>
          <w:tcPr>
            <w:tcBorders>
              <w:bottom w:val="single" w:color="E1E4E8" w:sz="4"/>
            </w:tcBorders>
            <w:tcMar>
              <w:top w:type="dxa" w:w="80"/>
              <w:left w:type="dxa" w:w="120"/>
              <w:bottom w:type="dxa" w:w="80"/>
              <w:right w:type="dxa" w:w="120"/>
            </w:tcMar>
            <w:vAlign w:val="center"/>
          </w:tcPr>
          <w:p>
            <w:pPr>
              <w:pStyle w:val="MdTableCell"/>
              <w:jc w:val="left"/>
            </w:pPr>
            <w:r>
              <w:t xml:space="preserve">&lt; 70%</w:t>
            </w:r>
          </w:p>
        </w:tc>
        <w:tc>
          <w:tcPr>
            <w:tcBorders>
              <w:bottom w:val="single" w:color="E1E4E8" w:sz="4"/>
              <w:right w:val="none"/>
            </w:tcBorders>
            <w:tcMar>
              <w:top w:type="dxa" w:w="80"/>
              <w:left w:type="dxa" w:w="120"/>
              <w:bottom w:type="dxa" w:w="80"/>
              <w:right w:type="dxa" w:w="120"/>
            </w:tcMar>
            <w:vAlign w:val="center"/>
          </w:tcPr>
          <w:p>
            <w:pPr>
              <w:pStyle w:val="MdTableCell"/>
              <w:jc w:val="left"/>
            </w:pPr>
            <w:r>
              <w:t xml:space="preserve">Sí</w:t>
            </w:r>
          </w:p>
        </w:tc>
      </w:tr>
    </w:tbl>
    <w:p>
      <w:pPr>
        <w:pStyle w:val="MdParagraph"/>
      </w:pPr>
      <w:r>
        <w:rPr>
          <w:rStyle w:val="MdStrong"/>
          <w:b/>
          <w:bCs/>
        </w:rPr>
        <w:t xml:space="preserve">Análisis:</w:t>
      </w:r>
      <w:r>
        <w:t xml:space="preserve"> El módulo de consulta de documentos exhibió un rendimiento óptimo, superando los umbrales de TPS y manteniendo tiempos de respuesta bajos, incluso con un número elevado de usuarios concurrentes. La base de datos y el caché respondieron eficientemente.</w:t>
      </w:r>
    </w:p>
    <w:p>
      <w:pPr>
        <w:pStyle w:val="MdSpace"/>
        <w:spacing w:before="0" w:after="60"/>
      </w:pPr>
    </w:p>
    <w:p>
      <w:pPr>
        <w:pStyle w:val="Heading2"/>
        <w:pStyle w:val="MdHeading2"/>
      </w:pPr>
      <w:r>
        <w:t xml:space="preserve">5. Conclusiones</w:t>
      </w:r>
    </w:p>
    <w:p>
      <w:pPr>
        <w:pStyle w:val="MdParagraph"/>
      </w:pPr>
      <w:r>
        <w:t xml:space="preserve">Las pruebas de rendimiento confirman que el Sistema de Facturación Electrónica en la Nube cumple satisfactoriamente con los Requerimientos No Funcionales de rendimiento establecidos. El sistema es capaz de soportar la carga de usuarios y transacciones esperada, manteniendo tiempos de respuesta adecuados y una alta estabilidad. La arquitectura de microservicios y el despliegue en Kubernetes demuestran ser efectivos para manejar la demanda.</w:t>
      </w:r>
    </w:p>
    <w:p>
      <w:pPr>
        <w:pStyle w:val="MdSpace"/>
        <w:spacing w:before="0" w:after="60"/>
      </w:pPr>
    </w:p>
    <w:p>
      <w:pPr>
        <w:pStyle w:val="Heading2"/>
        <w:pStyle w:val="MdHeading2"/>
      </w:pPr>
      <w:r>
        <w:t xml:space="preserve">6. Recomendaciones</w:t>
      </w:r>
    </w:p>
    <w:p>
      <w:pPr>
        <w:pStyle w:val="MdParagraph"/>
      </w:pPr>
      <w:r>
        <w:t xml:space="preserve">Aunque los resultados son positivos, se sugieren las siguientes recomendaciones para optimizar aún más el rendimiento y la resiliencia del sistema:</w:t>
      </w:r>
    </w:p>
    <w:p>
      <w:pPr>
        <w:pStyle w:val="MdSpace"/>
        <w:spacing w:before="0" w:after="60"/>
      </w:pPr>
    </w:p>
    <w:p>
      <w:pPr>
        <w:pStyle w:val="MdListItem"/>
        <w:numPr>
          <w:ilvl w:val="0"/>
          <w:numId w:val="2"/>
        </w:numPr>
      </w:pPr>
      <w:r>
        <w:rPr>
          <w:rStyle w:val="MdStrong"/>
          <w:b/>
          <w:bCs/>
        </w:rPr>
        <w:t xml:space="preserve">Optimización de Consultas:</w:t>
      </w:r>
      <w:r>
        <w:t xml:space="preserve"> Realizar una revisión periódica de las consultas más costosas en la base de datos para identificar oportunidades de optimización de índices o reescritura de queries.</w:t>
      </w:r>
    </w:p>
    <w:p>
      <w:pPr>
        <w:pStyle w:val="MdListItem"/>
        <w:numPr>
          <w:ilvl w:val="0"/>
          <w:numId w:val="2"/>
        </w:numPr>
      </w:pPr>
      <w:r>
        <w:rPr>
          <w:rStyle w:val="MdStrong"/>
          <w:b/>
          <w:bCs/>
        </w:rPr>
        <w:t xml:space="preserve">Monitoreo Proactivo:</w:t>
      </w:r>
      <w:r>
        <w:t xml:space="preserve"> Implementar alertas avanzadas en Prometheus/Grafana para detectar anomalías en el rendimiento antes de que afecten a los usuarios.</w:t>
      </w:r>
    </w:p>
    <w:p>
      <w:pPr>
        <w:pStyle w:val="MdListItem"/>
        <w:numPr>
          <w:ilvl w:val="0"/>
          <w:numId w:val="2"/>
        </w:numPr>
      </w:pPr>
      <w:r>
        <w:rPr>
          <w:rStyle w:val="MdStrong"/>
          <w:b/>
          <w:bCs/>
        </w:rPr>
        <w:t xml:space="preserve">Estrategia de Caché:</w:t>
      </w:r>
      <w:r>
        <w:t xml:space="preserve"> Evaluar la posibilidad de extender el uso de caché a otras operaciones de lectura intensiva para reducir la carga en la base de datos.</w:t>
      </w:r>
    </w:p>
    <w:p>
      <w:pPr>
        <w:pStyle w:val="MdListItem"/>
        <w:numPr>
          <w:ilvl w:val="0"/>
          <w:numId w:val="2"/>
        </w:numPr>
      </w:pPr>
      <w:r>
        <w:rPr>
          <w:rStyle w:val="MdStrong"/>
          <w:b/>
          <w:bCs/>
        </w:rPr>
        <w:t xml:space="preserve">Escalado Dinámico:</w:t>
      </w:r>
      <w:r>
        <w:t xml:space="preserve"> Asegurar que las políticas de autoescalado en Kubernetes estén configuradas de manera óptima para responder a variaciones inesperadas en la demanda.</w:t>
      </w:r>
    </w:p>
    <w:p>
      <w:pPr>
        <w:pStyle w:val="MdSpace"/>
        <w:spacing w:before="0" w:after="60"/>
      </w:pPr>
    </w:p>
    <w:p>
      <w:pPr>
        <w:pStyle w:val="Heading2"/>
        <w:pStyle w:val="MdHeading2"/>
      </w:pPr>
      <w:r>
        <w:t xml:space="preserve">7. Anexos</w:t>
      </w:r>
    </w:p>
    <w:p>
      <w:pPr>
        <w:pStyle w:val="MdListItem"/>
        <w:numPr>
          <w:ilvl w:val="0"/>
          <w:numId w:val="2"/>
        </w:numPr>
      </w:pPr>
      <w:r>
        <w:t xml:space="preserve">Reportes detallados de JMeter/K6 (disponibles en [URL del repositorio de reportes]).</w:t>
      </w:r>
    </w:p>
    <w:p>
      <w:pPr>
        <w:pStyle w:val="MdListItem"/>
        <w:numPr>
          <w:ilvl w:val="0"/>
          <w:numId w:val="2"/>
        </w:numPr>
      </w:pPr>
      <w:r>
        <w:t xml:space="preserve">Dashboards de monitoreo de Grafana (disponibles en [URL del dashboard]).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2026-06-11T11:59:34.487Z</dcterms:created>
  <dcterms:modified xsi:type="dcterms:W3CDTF">2026-06-11T11:59:34.487Z</dcterms:modified>
</cp:coreProperties>
</file>

<file path=docProps/custom.xml><?xml version="1.0" encoding="utf-8"?>
<Properties xmlns="http://schemas.openxmlformats.org/officeDocument/2006/custom-properties" xmlns:vt="http://schemas.openxmlformats.org/officeDocument/2006/docPropsVTypes"/>
</file>