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04 Informe de Pentest (Pruebas de Penetración)</w:t>
      </w:r>
    </w:p>
    <w:p>
      <w:pPr>
        <w:pStyle w:val="MdParagraph"/>
      </w:pPr>
      <w:r>
        <w:rPr>
          <w:rStyle w:val="MdStrong"/>
          <w:b/>
          <w:bCs/>
        </w:rPr>
        <w:t xml:space="preserve">Proyecto:</w:t>
      </w:r>
      <w:r>
        <w:t xml:space="preserve"> Sistema de Facturación Electrónica en la Nube
</w:t>
      </w:r>
      <w:r>
        <w:rPr>
          <w:rStyle w:val="MdStrong"/>
          <w:b/>
          <w:bCs/>
        </w:rPr>
        <w:t xml:space="preserve">Fecha:</w:t>
      </w:r>
      <w:r>
        <w:t xml:space="preserve"> 21 de mayo de 2026
</w:t>
      </w:r>
      <w:r>
        <w:rPr>
          <w:rStyle w:val="MdStrong"/>
          <w:b/>
          <w:bCs/>
        </w:rPr>
        <w:t xml:space="preserve">Versión:</w:t>
      </w:r>
      <w:r>
        <w:t xml:space="preserve"> 1.0
</w:t>
      </w:r>
      <w:r>
        <w:rPr>
          <w:rStyle w:val="MdStrong"/>
          <w:b/>
          <w:bCs/>
        </w:rPr>
        <w:t xml:space="preserve">Responsable:</w:t>
      </w:r>
      <w:r>
        <w:t xml:space="preserve"> Alexander Ortega Navas
</w:t>
      </w:r>
      <w:r>
        <w:rPr>
          <w:rStyle w:val="MdStrong"/>
          <w:b/>
          <w:bCs/>
        </w:rPr>
        <w:t xml:space="preserve">Elaborado por:</w:t>
      </w:r>
      <w:r>
        <w:t xml:space="preserve"> Andrés Felipe Rojas Castro (Especialista en Seguridad)</w:t>
      </w:r>
    </w:p>
    <w:p>
      <w:pPr>
        <w:pStyle w:val="MdSpace"/>
        <w:spacing w:before="0" w:after="60"/>
      </w:pPr>
    </w:p>
    <w:p>
      <w:pPr>
        <w:pStyle w:val="Heading2"/>
        <w:pStyle w:val="MdHeading2"/>
      </w:pPr>
      <w:r>
        <w:t xml:space="preserve">1. Introducción</w:t>
      </w:r>
    </w:p>
    <w:p>
      <w:pPr>
        <w:pStyle w:val="MdParagraph"/>
      </w:pPr>
      <w:r>
        <w:t xml:space="preserve">El presente informe documenta los resultados de las pruebas de penetración (Pentest) realizadas al Sistema de Facturación Electrónica en la Nube. El objetivo de estas pruebas es identificar vulnerabilidades de seguridad, debilidades en la configuración y posibles fallos lógicos que podrían ser explotados por atacantes maliciosos. Este análisis es fundamental para fortalecer la postura de seguridad del sistema y proteger la integridad, confidencialidad y disponibilidad de la información sensible.</w:t>
      </w:r>
    </w:p>
    <w:p>
      <w:pPr>
        <w:pStyle w:val="MdSpace"/>
        <w:spacing w:before="0" w:after="60"/>
      </w:pPr>
    </w:p>
    <w:p>
      <w:pPr>
        <w:pStyle w:val="Heading2"/>
        <w:pStyle w:val="MdHeading2"/>
      </w:pPr>
      <w:r>
        <w:t xml:space="preserve">2. Objetivos del Pentest</w:t>
      </w:r>
    </w:p>
    <w:p>
      <w:pPr>
        <w:pStyle w:val="MdParagraph"/>
      </w:pPr>
      <w:r>
        <w:t xml:space="preserve">Los objetivos específicos de las pruebas de penetración fueron:</w:t>
      </w:r>
    </w:p>
    <w:p>
      <w:pPr>
        <w:pStyle w:val="MdSpace"/>
        <w:spacing w:before="0" w:after="60"/>
      </w:pPr>
    </w:p>
    <w:p>
      <w:pPr>
        <w:pStyle w:val="MdListItem"/>
        <w:numPr>
          <w:ilvl w:val="0"/>
          <w:numId w:val="2"/>
        </w:numPr>
      </w:pPr>
      <w:r>
        <w:t xml:space="preserve">Identificar vulnerabilidades de seguridad en la aplicación web, APIs y la infraestructura subyacente.</w:t>
      </w:r>
    </w:p>
    <w:p>
      <w:pPr>
        <w:pStyle w:val="MdListItem"/>
        <w:numPr>
          <w:ilvl w:val="0"/>
          <w:numId w:val="2"/>
        </w:numPr>
      </w:pPr>
      <w:r>
        <w:t xml:space="preserve">Evaluar la efectividad de los controles de seguridad implementados (autenticación, autorización, cifrado).</w:t>
      </w:r>
    </w:p>
    <w:p>
      <w:pPr>
        <w:pStyle w:val="MdListItem"/>
        <w:numPr>
          <w:ilvl w:val="0"/>
          <w:numId w:val="2"/>
        </w:numPr>
      </w:pPr>
      <w:r>
        <w:t xml:space="preserve">Determinar el nivel de riesgo asociado a las vulnerabilidades encontradas.</w:t>
      </w:r>
    </w:p>
    <w:p>
      <w:pPr>
        <w:pStyle w:val="MdListItem"/>
        <w:numPr>
          <w:ilvl w:val="0"/>
          <w:numId w:val="2"/>
        </w:numPr>
      </w:pPr>
      <w:r>
        <w:t xml:space="preserve">Proporcionar recomendaciones claras y accionables para la mitigación de los riesgos.</w:t>
      </w:r>
    </w:p>
    <w:p>
      <w:pPr>
        <w:pStyle w:val="MdListItem"/>
        <w:numPr>
          <w:ilvl w:val="0"/>
          <w:numId w:val="2"/>
        </w:numPr>
      </w:pPr>
      <w:r>
        <w:t xml:space="preserve">Asegurar el cumplimiento con las mejores prácticas de seguridad y normativas aplicables a la facturación electrónica.</w:t>
      </w:r>
    </w:p>
    <w:p>
      <w:pPr>
        <w:pStyle w:val="MdSpace"/>
        <w:spacing w:before="0" w:after="60"/>
      </w:pPr>
    </w:p>
    <w:p>
      <w:pPr>
        <w:pStyle w:val="Heading2"/>
        <w:pStyle w:val="MdHeading2"/>
      </w:pPr>
      <w:r>
        <w:t xml:space="preserve">3. Alcance y Metodología</w:t>
      </w:r>
    </w:p>
    <w:p>
      <w:pPr>
        <w:pStyle w:val="Heading3"/>
        <w:pStyle w:val="MdHeading3"/>
      </w:pPr>
      <w:r>
        <w:t xml:space="preserve">3.1. Alcance</w:t>
      </w:r>
    </w:p>
    <w:p>
      <w:pPr>
        <w:pStyle w:val="MdParagraph"/>
      </w:pPr>
      <w:r>
        <w:t xml:space="preserve">El alcance del Pentest incluyó los siguientes componentes del Sistema de Facturación Electrónica en la Nube:</w:t>
      </w:r>
    </w:p>
    <w:p>
      <w:pPr>
        <w:pStyle w:val="MdSpace"/>
        <w:spacing w:before="0" w:after="60"/>
      </w:pPr>
    </w:p>
    <w:p>
      <w:pPr>
        <w:pStyle w:val="MdListItem"/>
        <w:numPr>
          <w:ilvl w:val="0"/>
          <w:numId w:val="2"/>
        </w:numPr>
      </w:pPr>
      <w:r>
        <w:rPr>
          <w:rStyle w:val="MdStrong"/>
          <w:b/>
          <w:bCs/>
        </w:rPr>
        <w:t xml:space="preserve">Aplicación Web (Frontend):</w:t>
      </w:r>
      <w:r>
        <w:t xml:space="preserve"> Portal de usuario y administración.</w:t>
      </w:r>
    </w:p>
    <w:p>
      <w:pPr>
        <w:pStyle w:val="MdListItem"/>
        <w:numPr>
          <w:ilvl w:val="0"/>
          <w:numId w:val="2"/>
        </w:numPr>
      </w:pPr>
      <w:r>
        <w:rPr>
          <w:rStyle w:val="MdStrong"/>
          <w:b/>
          <w:bCs/>
        </w:rPr>
        <w:t xml:space="preserve">API REST:</w:t>
      </w:r>
      <w:r>
        <w:t xml:space="preserve"> Endpoints expuestos para la integración con sistemas externos.</w:t>
      </w:r>
    </w:p>
    <w:p>
      <w:pPr>
        <w:pStyle w:val="MdListItem"/>
        <w:numPr>
          <w:ilvl w:val="0"/>
          <w:numId w:val="2"/>
        </w:numPr>
      </w:pPr>
      <w:r>
        <w:rPr>
          <w:rStyle w:val="MdStrong"/>
          <w:b/>
          <w:bCs/>
        </w:rPr>
        <w:t xml:space="preserve">Microservicios:</w:t>
      </w:r>
      <w:r>
        <w:t xml:space="preserve"> Servicios de Emisión, Recepción, Identidad y PKI.</w:t>
      </w:r>
    </w:p>
    <w:p>
      <w:pPr>
        <w:pStyle w:val="MdListItem"/>
        <w:numPr>
          <w:ilvl w:val="0"/>
          <w:numId w:val="2"/>
        </w:numPr>
      </w:pPr>
      <w:r>
        <w:rPr>
          <w:rStyle w:val="MdStrong"/>
          <w:b/>
          <w:bCs/>
        </w:rPr>
        <w:t xml:space="preserve">Infraestructura:</w:t>
      </w:r>
      <w:r>
        <w:t xml:space="preserve"> Clúster de Kubernetes, API Gateway, base de datos y almacenamiento de objetos.</w:t>
      </w:r>
    </w:p>
    <w:p>
      <w:pPr>
        <w:pStyle w:val="MdSpace"/>
        <w:spacing w:before="0" w:after="60"/>
      </w:pPr>
    </w:p>
    <w:p>
      <w:pPr>
        <w:pStyle w:val="MdParagraph"/>
      </w:pPr>
      <w:r>
        <w:rPr>
          <w:rStyle w:val="MdStrong"/>
          <w:b/>
          <w:bCs/>
        </w:rPr>
        <w:t xml:space="preserve">Exclusiones:</w:t>
      </w:r>
      <w:r>
        <w:t xml:space="preserve"> No se realizaron pruebas de ingeniería social ni ataques de denegación de servicio (DoS) distribuidos.</w:t>
      </w:r>
    </w:p>
    <w:p>
      <w:pPr>
        <w:pStyle w:val="MdSpace"/>
        <w:spacing w:before="0" w:after="60"/>
      </w:pPr>
    </w:p>
    <w:p>
      <w:pPr>
        <w:pStyle w:val="Heading3"/>
        <w:pStyle w:val="MdHeading3"/>
      </w:pPr>
      <w:r>
        <w:t xml:space="preserve">3.2. Metodología</w:t>
      </w:r>
    </w:p>
    <w:p>
      <w:pPr>
        <w:pStyle w:val="MdParagraph"/>
      </w:pPr>
      <w:r>
        <w:t xml:space="preserve">Se adoptó una metodología de caja gris (Grey-Box Testing), combinando el conocimiento parcial de la arquitectura interna con técnicas de caja negra. La metodología se basó en el estándar OWASP Testing Guide y el marco PTES (Penetration Testing Execution Standard).</w:t>
      </w:r>
    </w:p>
    <w:p>
      <w:pPr>
        <w:pStyle w:val="MdSpace"/>
        <w:spacing w:before="0" w:after="60"/>
      </w:pPr>
    </w:p>
    <w:p>
      <w:pPr>
        <w:pStyle w:val="MdParagraph"/>
      </w:pPr>
      <w:r>
        <w:rPr>
          <w:rStyle w:val="MdStrong"/>
          <w:b/>
          <w:bCs/>
        </w:rPr>
        <w:t xml:space="preserve">Fases de la Metodología:</w:t>
      </w:r>
    </w:p>
    <w:p>
      <w:pPr>
        <w:pStyle w:val="MdSpace"/>
        <w:spacing w:before="0" w:after="60"/>
      </w:pPr>
    </w:p>
    <w:p>
      <w:pPr>
        <w:pStyle w:val="MdListItem"/>
        <w:numPr>
          <w:ilvl w:val="0"/>
          <w:numId w:val="3"/>
        </w:numPr>
      </w:pPr>
      <w:r>
        <w:rPr>
          <w:rStyle w:val="MdStrong"/>
          <w:b/>
          <w:bCs/>
        </w:rPr>
        <w:t xml:space="preserve">Reconocimiento:</w:t>
      </w:r>
      <w:r>
        <w:t xml:space="preserve"> Recopilación de información sobre el sistema y su infraestructura.</w:t>
      </w:r>
    </w:p>
    <w:p>
      <w:pPr>
        <w:pStyle w:val="MdListItem"/>
        <w:numPr>
          <w:ilvl w:val="0"/>
          <w:numId w:val="3"/>
        </w:numPr>
      </w:pPr>
      <w:r>
        <w:rPr>
          <w:rStyle w:val="MdStrong"/>
          <w:b/>
          <w:bCs/>
        </w:rPr>
        <w:t xml:space="preserve">Escaneo:</w:t>
      </w:r>
      <w:r>
        <w:t xml:space="preserve"> Identificación de puertos abiertos, servicios y posibles vulnerabilidades conocidas.</w:t>
      </w:r>
    </w:p>
    <w:p>
      <w:pPr>
        <w:pStyle w:val="MdListItem"/>
        <w:numPr>
          <w:ilvl w:val="0"/>
          <w:numId w:val="3"/>
        </w:numPr>
      </w:pPr>
      <w:r>
        <w:rPr>
          <w:rStyle w:val="MdStrong"/>
          <w:b/>
          <w:bCs/>
        </w:rPr>
        <w:t xml:space="preserve">Análisis de Vulnerabilidades:</w:t>
      </w:r>
      <w:r>
        <w:t xml:space="preserve"> Evaluación de los hallazgos para determinar su explotabilidad y impacto.</w:t>
      </w:r>
    </w:p>
    <w:p>
      <w:pPr>
        <w:pStyle w:val="MdListItem"/>
        <w:numPr>
          <w:ilvl w:val="0"/>
          <w:numId w:val="3"/>
        </w:numPr>
      </w:pPr>
      <w:r>
        <w:rPr>
          <w:rStyle w:val="MdStrong"/>
          <w:b/>
          <w:bCs/>
        </w:rPr>
        <w:t xml:space="preserve">Explotación:</w:t>
      </w:r>
      <w:r>
        <w:t xml:space="preserve"> Intento de explotar las vulnerabilidades identificadas para confirmar su existencia y medir su impacto real.</w:t>
      </w:r>
    </w:p>
    <w:p>
      <w:pPr>
        <w:pStyle w:val="MdListItem"/>
        <w:numPr>
          <w:ilvl w:val="0"/>
          <w:numId w:val="3"/>
        </w:numPr>
      </w:pPr>
      <w:r>
        <w:rPr>
          <w:rStyle w:val="MdStrong"/>
          <w:b/>
          <w:bCs/>
        </w:rPr>
        <w:t xml:space="preserve">Post-Explotación:</w:t>
      </w:r>
      <w:r>
        <w:t xml:space="preserve"> Evaluación del acceso obtenido y la posibilidad de escalar privilegios o acceder a información sensible.</w:t>
      </w:r>
    </w:p>
    <w:p>
      <w:pPr>
        <w:pStyle w:val="MdListItem"/>
        <w:numPr>
          <w:ilvl w:val="0"/>
          <w:numId w:val="3"/>
        </w:numPr>
      </w:pPr>
      <w:r>
        <w:rPr>
          <w:rStyle w:val="MdStrong"/>
          <w:b/>
          <w:bCs/>
        </w:rPr>
        <w:t xml:space="preserve">Reporte:</w:t>
      </w:r>
      <w:r>
        <w:t xml:space="preserve"> Documentación de los hallazgos, riesgos y recomendaciones.</w:t>
      </w:r>
    </w:p>
    <w:p>
      <w:pPr>
        <w:pStyle w:val="MdSpace"/>
        <w:spacing w:before="0" w:after="60"/>
      </w:pPr>
    </w:p>
    <w:p>
      <w:pPr>
        <w:pStyle w:val="Heading3"/>
        <w:pStyle w:val="MdHeading3"/>
      </w:pPr>
      <w:r>
        <w:t xml:space="preserve">3.3. Herramientas Utilizadas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Categoría</w:t>
            </w:r>
          </w:p>
        </w:tc>
        <w:tc>
          <w:tcPr>
            <w:tcMar>
              <w:top w:type="dxa" w:w="100"/>
              <w:left w:type="dxa" w:w="120"/>
              <w:bottom w:type="dxa" w:w="100"/>
              <w:right w:type="dxa" w:w="120"/>
            </w:tcMar>
            <w:vAlign w:val="center"/>
          </w:tcPr>
          <w:p>
            <w:pPr>
              <w:pStyle w:val="MdTableHeader"/>
              <w:jc w:val="left"/>
            </w:pPr>
            <w:r>
              <w:t xml:space="preserve">Herramienta</w:t>
            </w:r>
          </w:p>
        </w:tc>
        <w:tc>
          <w:tcPr>
            <w:tcBorders>
              <w:right w:val="none"/>
            </w:tcBorders>
            <w:tcMar>
              <w:top w:type="dxa" w:w="100"/>
              <w:left w:type="dxa" w:w="120"/>
              <w:bottom w:type="dxa" w:w="100"/>
              <w:right w:type="dxa" w:w="120"/>
            </w:tcMar>
            <w:vAlign w:val="center"/>
          </w:tcPr>
          <w:p>
            <w:pPr>
              <w:pStyle w:val="MdTableHeader"/>
              <w:jc w:val="left"/>
            </w:pPr>
            <w:r>
              <w:t xml:space="preserve">Propósito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Escaneo de Vulnerabilidades</w:t>
            </w:r>
          </w:p>
        </w:tc>
        <w:tc>
          <w:tcPr>
            <w:tcMar>
              <w:top w:type="dxa" w:w="80"/>
              <w:left w:type="dxa" w:w="120"/>
              <w:bottom w:type="dxa" w:w="80"/>
              <w:right w:type="dxa" w:w="120"/>
            </w:tcMar>
            <w:vAlign w:val="center"/>
          </w:tcPr>
          <w:p>
            <w:pPr>
              <w:pStyle w:val="MdTableCell"/>
              <w:jc w:val="left"/>
            </w:pPr>
            <w:r>
              <w:t xml:space="preserve">Nessus, OpenVAS</w:t>
            </w:r>
          </w:p>
        </w:tc>
        <w:tc>
          <w:tcPr>
            <w:tcBorders>
              <w:right w:val="none"/>
            </w:tcBorders>
            <w:tcMar>
              <w:top w:type="dxa" w:w="80"/>
              <w:left w:type="dxa" w:w="120"/>
              <w:bottom w:type="dxa" w:w="80"/>
              <w:right w:type="dxa" w:w="120"/>
            </w:tcMar>
            <w:vAlign w:val="center"/>
          </w:tcPr>
          <w:p>
            <w:pPr>
              <w:pStyle w:val="MdTableCell"/>
              <w:jc w:val="left"/>
            </w:pPr>
            <w:r>
              <w:t xml:space="preserve">Identificación de vulnerabilidades conocidas en infraestructura y aplicaciones.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Análisis de Aplicaciones Web</w:t>
            </w:r>
          </w:p>
        </w:tc>
        <w:tc>
          <w:tcPr>
            <w:tcMar>
              <w:top w:type="dxa" w:w="80"/>
              <w:left w:type="dxa" w:w="120"/>
              <w:bottom w:type="dxa" w:w="80"/>
              <w:right w:type="dxa" w:w="120"/>
            </w:tcMar>
            <w:vAlign w:val="center"/>
          </w:tcPr>
          <w:p>
            <w:pPr>
              <w:pStyle w:val="MdTableCell"/>
              <w:jc w:val="left"/>
            </w:pPr>
            <w:r>
              <w:t xml:space="preserve">OWASP ZAP, Burp Suite Pro</w:t>
            </w:r>
          </w:p>
        </w:tc>
        <w:tc>
          <w:tcPr>
            <w:tcBorders>
              <w:right w:val="none"/>
            </w:tcBorders>
            <w:tcMar>
              <w:top w:type="dxa" w:w="80"/>
              <w:left w:type="dxa" w:w="120"/>
              <w:bottom w:type="dxa" w:w="80"/>
              <w:right w:type="dxa" w:w="120"/>
            </w:tcMar>
            <w:vAlign w:val="center"/>
          </w:tcPr>
          <w:p>
            <w:pPr>
              <w:pStyle w:val="MdTableCell"/>
              <w:jc w:val="left"/>
            </w:pPr>
            <w:r>
              <w:t xml:space="preserve">Interceptación de tráfico, escaneo de vulnerabilidades web, fuzzing.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Análisis de APIs</w:t>
            </w:r>
          </w:p>
        </w:tc>
        <w:tc>
          <w:tcPr>
            <w:tcMar>
              <w:top w:type="dxa" w:w="80"/>
              <w:left w:type="dxa" w:w="120"/>
              <w:bottom w:type="dxa" w:w="80"/>
              <w:right w:type="dxa" w:w="120"/>
            </w:tcMar>
            <w:vAlign w:val="center"/>
          </w:tcPr>
          <w:p>
            <w:pPr>
              <w:pStyle w:val="MdTableCell"/>
              <w:jc w:val="left"/>
            </w:pPr>
            <w:r>
              <w:t xml:space="preserve">Postman, cURL</w:t>
            </w:r>
          </w:p>
        </w:tc>
        <w:tc>
          <w:tcPr>
            <w:tcBorders>
              <w:right w:val="none"/>
            </w:tcBorders>
            <w:tcMar>
              <w:top w:type="dxa" w:w="80"/>
              <w:left w:type="dxa" w:w="120"/>
              <w:bottom w:type="dxa" w:w="80"/>
              <w:right w:type="dxa" w:w="120"/>
            </w:tcMar>
            <w:vAlign w:val="center"/>
          </w:tcPr>
          <w:p>
            <w:pPr>
              <w:pStyle w:val="MdTableCell"/>
              <w:jc w:val="left"/>
            </w:pPr>
            <w:r>
              <w:t xml:space="preserve">Pruebas de seguridad en endpoints de API.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Análisis de Código Estático (SAST)</w:t>
            </w:r>
          </w:p>
        </w:tc>
        <w:tc>
          <w:tcPr>
            <w:tcMar>
              <w:top w:type="dxa" w:w="80"/>
              <w:left w:type="dxa" w:w="120"/>
              <w:bottom w:type="dxa" w:w="80"/>
              <w:right w:type="dxa" w:w="120"/>
            </w:tcMar>
            <w:vAlign w:val="center"/>
          </w:tcPr>
          <w:p>
            <w:pPr>
              <w:pStyle w:val="MdTableCell"/>
              <w:jc w:val="left"/>
            </w:pPr>
            <w:r>
              <w:t xml:space="preserve">SonarQube</w:t>
            </w:r>
          </w:p>
        </w:tc>
        <w:tc>
          <w:tcPr>
            <w:tcBorders>
              <w:right w:val="none"/>
            </w:tcBorders>
            <w:tcMar>
              <w:top w:type="dxa" w:w="80"/>
              <w:left w:type="dxa" w:w="120"/>
              <w:bottom w:type="dxa" w:w="80"/>
              <w:right w:type="dxa" w:w="120"/>
            </w:tcMar>
            <w:vAlign w:val="center"/>
          </w:tcPr>
          <w:p>
            <w:pPr>
              <w:pStyle w:val="MdTableCell"/>
              <w:jc w:val="left"/>
            </w:pPr>
            <w:r>
              <w:t xml:space="preserve">Identificación de vulnerabilidades en el código fuente.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Análisis de Contenedores</w:t>
            </w:r>
          </w:p>
        </w:tc>
        <w:tc>
          <w:tcPr>
            <w:tcBorders>
              <w:bottom w:val="single" w:color="E1E4E8" w:sz="4"/>
            </w:tcBorders>
            <w:tcMar>
              <w:top w:type="dxa" w:w="80"/>
              <w:left w:type="dxa" w:w="120"/>
              <w:bottom w:type="dxa" w:w="80"/>
              <w:right w:type="dxa" w:w="120"/>
            </w:tcMar>
            <w:vAlign w:val="center"/>
          </w:tcPr>
          <w:p>
            <w:pPr>
              <w:pStyle w:val="MdTableCell"/>
              <w:jc w:val="left"/>
            </w:pPr>
            <w:r>
              <w:t xml:space="preserve">Clair, Trivy</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Escaneo de imágenes Docker en busca de vulnerabilidades.</w:t>
            </w:r>
          </w:p>
        </w:tc>
      </w:tr>
    </w:tbl>
    <w:p>
      <w:pPr>
        <w:pStyle w:val="Heading2"/>
        <w:pStyle w:val="MdHeading2"/>
      </w:pPr>
      <w:r>
        <w:t xml:space="preserve">4. Resumen Ejecutivo de Hallazgos</w:t>
      </w:r>
    </w:p>
    <w:p>
      <w:pPr>
        <w:pStyle w:val="MdParagraph"/>
      </w:pPr>
      <w:r>
        <w:t xml:space="preserve">Las pruebas de penetración revelaron un total de 12 vulnerabilidades, clasificadas por severidad de la siguiente manera:</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Severidad</w:t>
            </w:r>
          </w:p>
        </w:tc>
        <w:tc>
          <w:tcPr>
            <w:tcMar>
              <w:top w:type="dxa" w:w="100"/>
              <w:left w:type="dxa" w:w="120"/>
              <w:bottom w:type="dxa" w:w="100"/>
              <w:right w:type="dxa" w:w="120"/>
            </w:tcMar>
            <w:vAlign w:val="center"/>
          </w:tcPr>
          <w:p>
            <w:pPr>
              <w:pStyle w:val="MdTableHeader"/>
              <w:jc w:val="left"/>
            </w:pPr>
            <w:r>
              <w:t xml:space="preserve">Cantidad</w:t>
            </w:r>
          </w:p>
        </w:tc>
        <w:tc>
          <w:tcPr>
            <w:tcBorders>
              <w:right w:val="none"/>
            </w:tcBorders>
            <w:tcMar>
              <w:top w:type="dxa" w:w="100"/>
              <w:left w:type="dxa" w:w="120"/>
              <w:bottom w:type="dxa" w:w="100"/>
              <w:right w:type="dxa" w:w="120"/>
            </w:tcMar>
            <w:vAlign w:val="center"/>
          </w:tcPr>
          <w:p>
            <w:pPr>
              <w:pStyle w:val="MdTableHeader"/>
              <w:jc w:val="left"/>
            </w:pPr>
            <w:r>
              <w:t xml:space="preserve">Descripción General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Crítica</w:t>
            </w:r>
          </w:p>
        </w:tc>
        <w:tc>
          <w:tcPr>
            <w:tcMar>
              <w:top w:type="dxa" w:w="80"/>
              <w:left w:type="dxa" w:w="120"/>
              <w:bottom w:type="dxa" w:w="80"/>
              <w:right w:type="dxa" w:w="120"/>
            </w:tcMar>
            <w:vAlign w:val="center"/>
          </w:tcPr>
          <w:p>
            <w:pPr>
              <w:pStyle w:val="MdTableCell"/>
              <w:jc w:val="left"/>
            </w:pPr>
            <w:r>
              <w:t xml:space="preserve">1</w:t>
            </w:r>
          </w:p>
        </w:tc>
        <w:tc>
          <w:tcPr>
            <w:tcBorders>
              <w:right w:val="none"/>
            </w:tcBorders>
            <w:tcMar>
              <w:top w:type="dxa" w:w="80"/>
              <w:left w:type="dxa" w:w="120"/>
              <w:bottom w:type="dxa" w:w="80"/>
              <w:right w:type="dxa" w:w="120"/>
            </w:tcMar>
            <w:vAlign w:val="center"/>
          </w:tcPr>
          <w:p>
            <w:pPr>
              <w:pStyle w:val="MdTableCell"/>
              <w:jc w:val="left"/>
            </w:pPr>
            <w:r>
              <w:t xml:space="preserve">Vulnerabilidad que permite acceso no autorizado a datos sensibles o control total del sistema.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Alta</w:t>
            </w:r>
          </w:p>
        </w:tc>
        <w:tc>
          <w:tcPr>
            <w:tcMar>
              <w:top w:type="dxa" w:w="80"/>
              <w:left w:type="dxa" w:w="120"/>
              <w:bottom w:type="dxa" w:w="80"/>
              <w:right w:type="dxa" w:w="120"/>
            </w:tcMar>
            <w:vAlign w:val="center"/>
          </w:tcPr>
          <w:p>
            <w:pPr>
              <w:pStyle w:val="MdTableCell"/>
              <w:jc w:val="left"/>
            </w:pPr>
            <w:r>
              <w:t xml:space="preserve">2</w:t>
            </w:r>
          </w:p>
        </w:tc>
        <w:tc>
          <w:tcPr>
            <w:tcBorders>
              <w:right w:val="none"/>
            </w:tcBorders>
            <w:tcMar>
              <w:top w:type="dxa" w:w="80"/>
              <w:left w:type="dxa" w:w="120"/>
              <w:bottom w:type="dxa" w:w="80"/>
              <w:right w:type="dxa" w:w="120"/>
            </w:tcMar>
            <w:vAlign w:val="center"/>
          </w:tcPr>
          <w:p>
            <w:pPr>
              <w:pStyle w:val="MdTableCell"/>
              <w:jc w:val="left"/>
            </w:pPr>
            <w:r>
              <w:t xml:space="preserve">Vulnerabilidades que podrían comprometer la integridad o disponibilidad del sistema con un esfuerzo moderado.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Media</w:t>
            </w:r>
          </w:p>
        </w:tc>
        <w:tc>
          <w:tcPr>
            <w:tcMar>
              <w:top w:type="dxa" w:w="80"/>
              <w:left w:type="dxa" w:w="120"/>
              <w:bottom w:type="dxa" w:w="80"/>
              <w:right w:type="dxa" w:w="120"/>
            </w:tcMar>
            <w:vAlign w:val="center"/>
          </w:tcPr>
          <w:p>
            <w:pPr>
              <w:pStyle w:val="MdTableCell"/>
              <w:jc w:val="left"/>
            </w:pPr>
            <w:r>
              <w:t xml:space="preserve">4</w:t>
            </w:r>
          </w:p>
        </w:tc>
        <w:tc>
          <w:tcPr>
            <w:tcBorders>
              <w:right w:val="none"/>
            </w:tcBorders>
            <w:tcMar>
              <w:top w:type="dxa" w:w="80"/>
              <w:left w:type="dxa" w:w="120"/>
              <w:bottom w:type="dxa" w:w="80"/>
              <w:right w:type="dxa" w:w="120"/>
            </w:tcMar>
            <w:vAlign w:val="center"/>
          </w:tcPr>
          <w:p>
            <w:pPr>
              <w:pStyle w:val="MdTableCell"/>
              <w:jc w:val="left"/>
            </w:pPr>
            <w:r>
              <w:t xml:space="preserve">Vulnerabilidades que podrían llevar a un impacto menor o requerir condiciones específicas para su explotación.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Baja</w:t>
            </w:r>
          </w:p>
        </w:tc>
        <w:tc>
          <w:tcPr>
            <w:tcMar>
              <w:top w:type="dxa" w:w="80"/>
              <w:left w:type="dxa" w:w="120"/>
              <w:bottom w:type="dxa" w:w="80"/>
              <w:right w:type="dxa" w:w="120"/>
            </w:tcMar>
            <w:vAlign w:val="center"/>
          </w:tcPr>
          <w:p>
            <w:pPr>
              <w:pStyle w:val="MdTableCell"/>
              <w:jc w:val="left"/>
            </w:pPr>
            <w:r>
              <w:t xml:space="preserve">3</w:t>
            </w:r>
          </w:p>
        </w:tc>
        <w:tc>
          <w:tcPr>
            <w:tcBorders>
              <w:right w:val="none"/>
            </w:tcBorders>
            <w:tcMar>
              <w:top w:type="dxa" w:w="80"/>
              <w:left w:type="dxa" w:w="120"/>
              <w:bottom w:type="dxa" w:w="80"/>
              <w:right w:type="dxa" w:w="120"/>
            </w:tcMar>
            <w:vAlign w:val="center"/>
          </w:tcPr>
          <w:p>
            <w:pPr>
              <w:pStyle w:val="MdTableCell"/>
              <w:jc w:val="left"/>
            </w:pPr>
            <w:r>
              <w:t xml:space="preserve">Vulnerabilidades con impacto limitado o que requieren interacción significativa del usuario.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Informativa</w:t>
            </w:r>
          </w:p>
        </w:tc>
        <w:tc>
          <w:tcPr>
            <w:tcBorders>
              <w:bottom w:val="single" w:color="E1E4E8" w:sz="4"/>
            </w:tcBorders>
            <w:tcMar>
              <w:top w:type="dxa" w:w="80"/>
              <w:left w:type="dxa" w:w="120"/>
              <w:bottom w:type="dxa" w:w="80"/>
              <w:right w:type="dxa" w:w="120"/>
            </w:tcMar>
            <w:vAlign w:val="center"/>
          </w:tcPr>
          <w:p>
            <w:pPr>
              <w:pStyle w:val="MdTableCell"/>
              <w:jc w:val="left"/>
            </w:pPr>
            <w:r>
              <w:t xml:space="preserve">2</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Hallazgos que no representan un riesgo directo pero que son buenas prácticas de seguridad.</w:t>
            </w:r>
          </w:p>
        </w:tc>
      </w:tr>
    </w:tbl>
    <w:p>
      <w:pPr>
        <w:pStyle w:val="Heading2"/>
        <w:pStyle w:val="MdHeading2"/>
      </w:pPr>
      <w:r>
        <w:t xml:space="preserve">5. Hallazgos Detallados y Recomendaciones</w:t>
      </w:r>
    </w:p>
    <w:p>
      <w:pPr>
        <w:pStyle w:val="MdParagraph"/>
      </w:pPr>
      <w:r>
        <w:t xml:space="preserve">A continuación, se presenta el detalle de las vulnerabilidades encontradas, su impacto y las recomendaciones para su mitigación.</w:t>
      </w:r>
    </w:p>
    <w:p>
      <w:pPr>
        <w:pStyle w:val="MdSpace"/>
        <w:spacing w:before="0" w:after="60"/>
      </w:pPr>
    </w:p>
    <w:p>
      <w:pPr>
        <w:pStyle w:val="Heading3"/>
        <w:pStyle w:val="MdHeading3"/>
      </w:pPr>
      <w:r>
        <w:t xml:space="preserve">5.1. Hallazgo CRÍTICO</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ID</w:t>
            </w:r>
          </w:p>
        </w:tc>
        <w:tc>
          <w:tcPr>
            <w:tcMar>
              <w:top w:type="dxa" w:w="100"/>
              <w:left w:type="dxa" w:w="120"/>
              <w:bottom w:type="dxa" w:w="100"/>
              <w:right w:type="dxa" w:w="120"/>
            </w:tcMar>
            <w:vAlign w:val="center"/>
          </w:tcPr>
          <w:p>
            <w:pPr>
              <w:pStyle w:val="MdTableHeader"/>
              <w:jc w:val="left"/>
            </w:pPr>
            <w:r>
              <w:t xml:space="preserve">Vulnerabilidad</w:t>
            </w:r>
          </w:p>
        </w:tc>
        <w:tc>
          <w:tcPr>
            <w:tcMar>
              <w:top w:type="dxa" w:w="100"/>
              <w:left w:type="dxa" w:w="120"/>
              <w:bottom w:type="dxa" w:w="100"/>
              <w:right w:type="dxa" w:w="120"/>
            </w:tcMar>
            <w:vAlign w:val="center"/>
          </w:tcPr>
          <w:p>
            <w:pPr>
              <w:pStyle w:val="MdTableHeader"/>
              <w:jc w:val="left"/>
            </w:pPr>
            <w:r>
              <w:t xml:space="preserve">Componente Afectado</w:t>
            </w:r>
          </w:p>
        </w:tc>
        <w:tc>
          <w:tcPr>
            <w:tcMar>
              <w:top w:type="dxa" w:w="100"/>
              <w:left w:type="dxa" w:w="120"/>
              <w:bottom w:type="dxa" w:w="100"/>
              <w:right w:type="dxa" w:w="120"/>
            </w:tcMar>
            <w:vAlign w:val="center"/>
          </w:tcPr>
          <w:p>
            <w:pPr>
              <w:pStyle w:val="MdTableHeader"/>
              <w:jc w:val="left"/>
            </w:pPr>
            <w:r>
              <w:t xml:space="preserve">Impacto</w:t>
            </w:r>
          </w:p>
        </w:tc>
        <w:tc>
          <w:tcPr>
            <w:tcBorders>
              <w:right w:val="none"/>
            </w:tcBorders>
            <w:tcMar>
              <w:top w:type="dxa" w:w="100"/>
              <w:left w:type="dxa" w:w="120"/>
              <w:bottom w:type="dxa" w:w="100"/>
              <w:right w:type="dxa" w:w="120"/>
            </w:tcMar>
            <w:vAlign w:val="center"/>
          </w:tcPr>
          <w:p>
            <w:pPr>
              <w:pStyle w:val="MdTableHeader"/>
              <w:jc w:val="left"/>
            </w:pPr>
            <w:r>
              <w:t xml:space="preserve">Recomendación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PENTEST-001</w:t>
            </w:r>
          </w:p>
        </w:tc>
        <w:tc>
          <w:tcPr>
            <w:tcBorders>
              <w:bottom w:val="single" w:color="E1E4E8" w:sz="4"/>
            </w:tcBorders>
            <w:tcMar>
              <w:top w:type="dxa" w:w="80"/>
              <w:left w:type="dxa" w:w="120"/>
              <w:bottom w:type="dxa" w:w="80"/>
              <w:right w:type="dxa" w:w="120"/>
            </w:tcMar>
            <w:vAlign w:val="center"/>
          </w:tcPr>
          <w:p>
            <w:pPr>
              <w:pStyle w:val="MdTableCell"/>
              <w:jc w:val="left"/>
            </w:pPr>
            <w:r>
              <w:t xml:space="preserve">Inyección SQL en Módulo de Reportes</w:t>
            </w:r>
          </w:p>
        </w:tc>
        <w:tc>
          <w:tcPr>
            <w:tcBorders>
              <w:bottom w:val="single" w:color="E1E4E8" w:sz="4"/>
            </w:tcBorders>
            <w:tcMar>
              <w:top w:type="dxa" w:w="80"/>
              <w:left w:type="dxa" w:w="120"/>
              <w:bottom w:type="dxa" w:w="80"/>
              <w:right w:type="dxa" w:w="120"/>
            </w:tcMar>
            <w:vAlign w:val="center"/>
          </w:tcPr>
          <w:p>
            <w:pPr>
              <w:pStyle w:val="MdTableCell"/>
              <w:jc w:val="left"/>
            </w:pPr>
            <w:r>
              <w:t xml:space="preserve">Servicio de Reportes, Base de Datos</w:t>
            </w:r>
          </w:p>
        </w:tc>
        <w:tc>
          <w:tcPr>
            <w:tcBorders>
              <w:bottom w:val="single" w:color="E1E4E8" w:sz="4"/>
            </w:tcBorders>
            <w:tcMar>
              <w:top w:type="dxa" w:w="80"/>
              <w:left w:type="dxa" w:w="120"/>
              <w:bottom w:type="dxa" w:w="80"/>
              <w:right w:type="dxa" w:w="120"/>
            </w:tcMar>
            <w:vAlign w:val="center"/>
          </w:tcPr>
          <w:p>
            <w:pPr>
              <w:pStyle w:val="MdTableCell"/>
              <w:jc w:val="left"/>
            </w:pPr>
            <w:r>
              <w:t xml:space="preserve">Acceso no autorizado a toda la base de datos, manipulación de información.</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Implementar sentencias preparadas o ORM con parametrización de consultas. Validar y sanear todas las entradas de usuario.</w:t>
            </w:r>
          </w:p>
        </w:tc>
      </w:tr>
    </w:tbl>
    <w:p>
      <w:pPr>
        <w:pStyle w:val="Heading3"/>
        <w:pStyle w:val="MdHeading3"/>
      </w:pPr>
      <w:r>
        <w:t xml:space="preserve">5.2. Hallazgos ALTOS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ID</w:t>
            </w:r>
          </w:p>
        </w:tc>
        <w:tc>
          <w:tcPr>
            <w:tcMar>
              <w:top w:type="dxa" w:w="100"/>
              <w:left w:type="dxa" w:w="120"/>
              <w:bottom w:type="dxa" w:w="100"/>
              <w:right w:type="dxa" w:w="120"/>
            </w:tcMar>
            <w:vAlign w:val="center"/>
          </w:tcPr>
          <w:p>
            <w:pPr>
              <w:pStyle w:val="MdTableHeader"/>
              <w:jc w:val="left"/>
            </w:pPr>
            <w:r>
              <w:t xml:space="preserve">Vulnerabilidad</w:t>
            </w:r>
          </w:p>
        </w:tc>
        <w:tc>
          <w:tcPr>
            <w:tcMar>
              <w:top w:type="dxa" w:w="100"/>
              <w:left w:type="dxa" w:w="120"/>
              <w:bottom w:type="dxa" w:w="100"/>
              <w:right w:type="dxa" w:w="120"/>
            </w:tcMar>
            <w:vAlign w:val="center"/>
          </w:tcPr>
          <w:p>
            <w:pPr>
              <w:pStyle w:val="MdTableHeader"/>
              <w:jc w:val="left"/>
            </w:pPr>
            <w:r>
              <w:t xml:space="preserve">Componente Afectado</w:t>
            </w:r>
          </w:p>
        </w:tc>
        <w:tc>
          <w:tcPr>
            <w:tcMar>
              <w:top w:type="dxa" w:w="100"/>
              <w:left w:type="dxa" w:w="120"/>
              <w:bottom w:type="dxa" w:w="100"/>
              <w:right w:type="dxa" w:w="120"/>
            </w:tcMar>
            <w:vAlign w:val="center"/>
          </w:tcPr>
          <w:p>
            <w:pPr>
              <w:pStyle w:val="MdTableHeader"/>
              <w:jc w:val="left"/>
            </w:pPr>
            <w:r>
              <w:t xml:space="preserve">Impacto</w:t>
            </w:r>
          </w:p>
        </w:tc>
        <w:tc>
          <w:tcPr>
            <w:tcBorders>
              <w:right w:val="none"/>
            </w:tcBorders>
            <w:tcMar>
              <w:top w:type="dxa" w:w="100"/>
              <w:left w:type="dxa" w:w="120"/>
              <w:bottom w:type="dxa" w:w="100"/>
              <w:right w:type="dxa" w:w="120"/>
            </w:tcMar>
            <w:vAlign w:val="center"/>
          </w:tcPr>
          <w:p>
            <w:pPr>
              <w:pStyle w:val="MdTableHeader"/>
              <w:jc w:val="left"/>
            </w:pPr>
            <w:r>
              <w:t xml:space="preserve">Recomendación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PENTEST-002</w:t>
            </w:r>
          </w:p>
        </w:tc>
        <w:tc>
          <w:tcPr>
            <w:tcMar>
              <w:top w:type="dxa" w:w="80"/>
              <w:left w:type="dxa" w:w="120"/>
              <w:bottom w:type="dxa" w:w="80"/>
              <w:right w:type="dxa" w:w="120"/>
            </w:tcMar>
            <w:vAlign w:val="center"/>
          </w:tcPr>
          <w:p>
            <w:pPr>
              <w:pStyle w:val="MdTableCell"/>
              <w:jc w:val="left"/>
            </w:pPr>
            <w:r>
              <w:t xml:space="preserve">Exposición de credenciales en logs</w:t>
            </w:r>
          </w:p>
        </w:tc>
        <w:tc>
          <w:tcPr>
            <w:tcMar>
              <w:top w:type="dxa" w:w="80"/>
              <w:left w:type="dxa" w:w="120"/>
              <w:bottom w:type="dxa" w:w="80"/>
              <w:right w:type="dxa" w:w="120"/>
            </w:tcMar>
            <w:vAlign w:val="center"/>
          </w:tcPr>
          <w:p>
            <w:pPr>
              <w:pStyle w:val="MdTableCell"/>
              <w:jc w:val="left"/>
            </w:pPr>
            <w:r>
              <w:t xml:space="preserve">Servicio de Emisión</w:t>
            </w:r>
          </w:p>
        </w:tc>
        <w:tc>
          <w:tcPr>
            <w:tcMar>
              <w:top w:type="dxa" w:w="80"/>
              <w:left w:type="dxa" w:w="120"/>
              <w:bottom w:type="dxa" w:w="80"/>
              <w:right w:type="dxa" w:w="120"/>
            </w:tcMar>
            <w:vAlign w:val="center"/>
          </w:tcPr>
          <w:p>
            <w:pPr>
              <w:pStyle w:val="MdTableCell"/>
              <w:jc w:val="left"/>
            </w:pPr>
            <w:r>
              <w:t xml:space="preserve">Credenciales de acceso a DIAN expuestas en logs de aplicación.</w:t>
            </w:r>
          </w:p>
        </w:tc>
        <w:tc>
          <w:tcPr>
            <w:tcBorders>
              <w:right w:val="none"/>
            </w:tcBorders>
            <w:tcMar>
              <w:top w:type="dxa" w:w="80"/>
              <w:left w:type="dxa" w:w="120"/>
              <w:bottom w:type="dxa" w:w="80"/>
              <w:right w:type="dxa" w:w="120"/>
            </w:tcMar>
            <w:vAlign w:val="center"/>
          </w:tcPr>
          <w:p>
            <w:pPr>
              <w:pStyle w:val="MdTableCell"/>
              <w:jc w:val="left"/>
            </w:pPr>
            <w:r>
              <w:t xml:space="preserve">Configurar el logging para no registrar información sensible. Utilizar secretos de Kubernetes para credenciales.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PENTEST-003</w:t>
            </w:r>
          </w:p>
        </w:tc>
        <w:tc>
          <w:tcPr>
            <w:tcBorders>
              <w:bottom w:val="single" w:color="E1E4E8" w:sz="4"/>
            </w:tcBorders>
            <w:tcMar>
              <w:top w:type="dxa" w:w="80"/>
              <w:left w:type="dxa" w:w="120"/>
              <w:bottom w:type="dxa" w:w="80"/>
              <w:right w:type="dxa" w:w="120"/>
            </w:tcMar>
            <w:vAlign w:val="center"/>
          </w:tcPr>
          <w:p>
            <w:pPr>
              <w:pStyle w:val="MdTableCell"/>
              <w:jc w:val="left"/>
            </w:pPr>
            <w:r>
              <w:t xml:space="preserve">Cross-Site Scripting (XSS) Almacenado</w:t>
            </w:r>
          </w:p>
        </w:tc>
        <w:tc>
          <w:tcPr>
            <w:tcBorders>
              <w:bottom w:val="single" w:color="E1E4E8" w:sz="4"/>
            </w:tcBorders>
            <w:tcMar>
              <w:top w:type="dxa" w:w="80"/>
              <w:left w:type="dxa" w:w="120"/>
              <w:bottom w:type="dxa" w:w="80"/>
              <w:right w:type="dxa" w:w="120"/>
            </w:tcMar>
            <w:vAlign w:val="center"/>
          </w:tcPr>
          <w:p>
            <w:pPr>
              <w:pStyle w:val="MdTableCell"/>
              <w:jc w:val="left"/>
            </w:pPr>
            <w:r>
              <w:t xml:space="preserve">Portal Web (Frontend)</w:t>
            </w:r>
          </w:p>
        </w:tc>
        <w:tc>
          <w:tcPr>
            <w:tcBorders>
              <w:bottom w:val="single" w:color="E1E4E8" w:sz="4"/>
            </w:tcBorders>
            <w:tcMar>
              <w:top w:type="dxa" w:w="80"/>
              <w:left w:type="dxa" w:w="120"/>
              <w:bottom w:type="dxa" w:w="80"/>
              <w:right w:type="dxa" w:w="120"/>
            </w:tcMar>
            <w:vAlign w:val="center"/>
          </w:tcPr>
          <w:p>
            <w:pPr>
              <w:pStyle w:val="MdTableCell"/>
              <w:jc w:val="left"/>
            </w:pPr>
            <w:r>
              <w:t xml:space="preserve">Ejecución de código malicioso en el navegador de otros usuarios, robo de sesiones.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Implementar codificación de salida para todas las entradas de usuario antes de renderizarlas en el HTML. Utilizar Content Security Policy (CSP).</w:t>
            </w:r>
          </w:p>
        </w:tc>
      </w:tr>
    </w:tbl>
    <w:p>
      <w:pPr>
        <w:pStyle w:val="Heading3"/>
        <w:pStyle w:val="MdHeading3"/>
      </w:pPr>
      <w:r>
        <w:t xml:space="preserve">5.3. Hallazgos MEDIOS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ID</w:t>
            </w:r>
          </w:p>
        </w:tc>
        <w:tc>
          <w:tcPr>
            <w:tcMar>
              <w:top w:type="dxa" w:w="100"/>
              <w:left w:type="dxa" w:w="120"/>
              <w:bottom w:type="dxa" w:w="100"/>
              <w:right w:type="dxa" w:w="120"/>
            </w:tcMar>
            <w:vAlign w:val="center"/>
          </w:tcPr>
          <w:p>
            <w:pPr>
              <w:pStyle w:val="MdTableHeader"/>
              <w:jc w:val="left"/>
            </w:pPr>
            <w:r>
              <w:t xml:space="preserve">Vulnerabilidad</w:t>
            </w:r>
          </w:p>
        </w:tc>
        <w:tc>
          <w:tcPr>
            <w:tcMar>
              <w:top w:type="dxa" w:w="100"/>
              <w:left w:type="dxa" w:w="120"/>
              <w:bottom w:type="dxa" w:w="100"/>
              <w:right w:type="dxa" w:w="120"/>
            </w:tcMar>
            <w:vAlign w:val="center"/>
          </w:tcPr>
          <w:p>
            <w:pPr>
              <w:pStyle w:val="MdTableHeader"/>
              <w:jc w:val="left"/>
            </w:pPr>
            <w:r>
              <w:t xml:space="preserve">Componente Afectado</w:t>
            </w:r>
          </w:p>
        </w:tc>
        <w:tc>
          <w:tcPr>
            <w:tcMar>
              <w:top w:type="dxa" w:w="100"/>
              <w:left w:type="dxa" w:w="120"/>
              <w:bottom w:type="dxa" w:w="100"/>
              <w:right w:type="dxa" w:w="120"/>
            </w:tcMar>
            <w:vAlign w:val="center"/>
          </w:tcPr>
          <w:p>
            <w:pPr>
              <w:pStyle w:val="MdTableHeader"/>
              <w:jc w:val="left"/>
            </w:pPr>
            <w:r>
              <w:t xml:space="preserve">Impacto</w:t>
            </w:r>
          </w:p>
        </w:tc>
        <w:tc>
          <w:tcPr>
            <w:tcBorders>
              <w:right w:val="none"/>
            </w:tcBorders>
            <w:tcMar>
              <w:top w:type="dxa" w:w="100"/>
              <w:left w:type="dxa" w:w="120"/>
              <w:bottom w:type="dxa" w:w="100"/>
              <w:right w:type="dxa" w:w="120"/>
            </w:tcMar>
            <w:vAlign w:val="center"/>
          </w:tcPr>
          <w:p>
            <w:pPr>
              <w:pStyle w:val="MdTableHeader"/>
              <w:jc w:val="left"/>
            </w:pPr>
            <w:r>
              <w:t xml:space="preserve">Recomendación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PENTEST-004</w:t>
            </w:r>
          </w:p>
        </w:tc>
        <w:tc>
          <w:tcPr>
            <w:tcMar>
              <w:top w:type="dxa" w:w="80"/>
              <w:left w:type="dxa" w:w="120"/>
              <w:bottom w:type="dxa" w:w="80"/>
              <w:right w:type="dxa" w:w="120"/>
            </w:tcMar>
            <w:vAlign w:val="center"/>
          </w:tcPr>
          <w:p>
            <w:pPr>
              <w:pStyle w:val="MdTableCell"/>
              <w:jc w:val="left"/>
            </w:pPr>
            <w:r>
              <w:t xml:space="preserve">Falta de Rate Limiting en API de Login</w:t>
            </w:r>
          </w:p>
        </w:tc>
        <w:tc>
          <w:tcPr>
            <w:tcMar>
              <w:top w:type="dxa" w:w="80"/>
              <w:left w:type="dxa" w:w="120"/>
              <w:bottom w:type="dxa" w:w="80"/>
              <w:right w:type="dxa" w:w="120"/>
            </w:tcMar>
            <w:vAlign w:val="center"/>
          </w:tcPr>
          <w:p>
            <w:pPr>
              <w:pStyle w:val="MdTableCell"/>
              <w:jc w:val="left"/>
            </w:pPr>
            <w:r>
              <w:t xml:space="preserve">API Gateway, Servicio de Identidad</w:t>
            </w:r>
          </w:p>
        </w:tc>
        <w:tc>
          <w:tcPr>
            <w:tcMar>
              <w:top w:type="dxa" w:w="80"/>
              <w:left w:type="dxa" w:w="120"/>
              <w:bottom w:type="dxa" w:w="80"/>
              <w:right w:type="dxa" w:w="120"/>
            </w:tcMar>
            <w:vAlign w:val="center"/>
          </w:tcPr>
          <w:p>
            <w:pPr>
              <w:pStyle w:val="MdTableCell"/>
              <w:jc w:val="left"/>
            </w:pPr>
            <w:r>
              <w:t xml:space="preserve">Ataques de fuerza bruta o enumeración de usuarios.</w:t>
            </w:r>
          </w:p>
        </w:tc>
        <w:tc>
          <w:tcPr>
            <w:tcBorders>
              <w:right w:val="none"/>
            </w:tcBorders>
            <w:tcMar>
              <w:top w:type="dxa" w:w="80"/>
              <w:left w:type="dxa" w:w="120"/>
              <w:bottom w:type="dxa" w:w="80"/>
              <w:right w:type="dxa" w:w="120"/>
            </w:tcMar>
            <w:vAlign w:val="center"/>
          </w:tcPr>
          <w:p>
            <w:pPr>
              <w:pStyle w:val="MdTableCell"/>
              <w:jc w:val="left"/>
            </w:pPr>
            <w:r>
              <w:t xml:space="preserve">Implementar políticas de Rate Limiting en el API Gateway para el endpoint de login. Bloqueo temporal de IPs tras múltiples intentos fallidos.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PENTEST-005</w:t>
            </w:r>
          </w:p>
        </w:tc>
        <w:tc>
          <w:tcPr>
            <w:tcMar>
              <w:top w:type="dxa" w:w="80"/>
              <w:left w:type="dxa" w:w="120"/>
              <w:bottom w:type="dxa" w:w="80"/>
              <w:right w:type="dxa" w:w="120"/>
            </w:tcMar>
            <w:vAlign w:val="center"/>
          </w:tcPr>
          <w:p>
            <w:pPr>
              <w:pStyle w:val="MdTableCell"/>
              <w:jc w:val="left"/>
            </w:pPr>
            <w:r>
              <w:t xml:space="preserve">Configuración Insegura de Headers HTTP</w:t>
            </w:r>
          </w:p>
        </w:tc>
        <w:tc>
          <w:tcPr>
            <w:tcMar>
              <w:top w:type="dxa" w:w="80"/>
              <w:left w:type="dxa" w:w="120"/>
              <w:bottom w:type="dxa" w:w="80"/>
              <w:right w:type="dxa" w:w="120"/>
            </w:tcMar>
            <w:vAlign w:val="center"/>
          </w:tcPr>
          <w:p>
            <w:pPr>
              <w:pStyle w:val="MdTableCell"/>
              <w:jc w:val="left"/>
            </w:pPr>
            <w:r>
              <w:t xml:space="preserve">Portal Web (Frontend)</w:t>
            </w:r>
          </w:p>
        </w:tc>
        <w:tc>
          <w:tcPr>
            <w:tcMar>
              <w:top w:type="dxa" w:w="80"/>
              <w:left w:type="dxa" w:w="120"/>
              <w:bottom w:type="dxa" w:w="80"/>
              <w:right w:type="dxa" w:w="120"/>
            </w:tcMar>
            <w:vAlign w:val="center"/>
          </w:tcPr>
          <w:p>
            <w:pPr>
              <w:pStyle w:val="MdTableCell"/>
              <w:jc w:val="left"/>
            </w:pPr>
            <w:r>
              <w:t xml:space="preserve">Falta de protección contra ataques clickjacking, XSS reflejado.</w:t>
            </w:r>
          </w:p>
        </w:tc>
        <w:tc>
          <w:tcPr>
            <w:tcBorders>
              <w:right w:val="none"/>
            </w:tcBorders>
            <w:tcMar>
              <w:top w:type="dxa" w:w="80"/>
              <w:left w:type="dxa" w:w="120"/>
              <w:bottom w:type="dxa" w:w="80"/>
              <w:right w:type="dxa" w:w="120"/>
            </w:tcMar>
            <w:vAlign w:val="center"/>
          </w:tcPr>
          <w:p>
            <w:pPr>
              <w:pStyle w:val="MdTableCell"/>
              <w:jc w:val="left"/>
            </w:pPr>
            <w:r>
              <w:t xml:space="preserve">Implementar headers de seguridad HTTP como </w:t>
            </w:r>
            <w:r>
              <w:rPr>
                <w:rStyle w:val="MdCode"/>
                <w:u w:val="single"/>
              </w:rPr>
              <w:t xml:space="preserve">X-Frame-Options</w:t>
            </w:r>
            <w:r>
              <w:t xml:space="preserve">, </w:t>
            </w:r>
            <w:r>
              <w:rPr>
                <w:rStyle w:val="MdCode"/>
                <w:u w:val="single"/>
              </w:rPr>
              <w:t xml:space="preserve">X-Content-Type-Options</w:t>
            </w:r>
            <w:r>
              <w:t xml:space="preserve">, </w:t>
            </w:r>
            <w:r>
              <w:rPr>
                <w:rStyle w:val="MdCode"/>
                <w:u w:val="single"/>
              </w:rPr>
              <w:t xml:space="preserve">Strict-Transport-Security</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PENTEST-006</w:t>
            </w:r>
          </w:p>
        </w:tc>
        <w:tc>
          <w:tcPr>
            <w:tcMar>
              <w:top w:type="dxa" w:w="80"/>
              <w:left w:type="dxa" w:w="120"/>
              <w:bottom w:type="dxa" w:w="80"/>
              <w:right w:type="dxa" w:w="120"/>
            </w:tcMar>
            <w:vAlign w:val="center"/>
          </w:tcPr>
          <w:p>
            <w:pPr>
              <w:pStyle w:val="MdTableCell"/>
              <w:jc w:val="left"/>
            </w:pPr>
            <w:r>
              <w:t xml:space="preserve">Exposición de información del servidor</w:t>
            </w:r>
          </w:p>
        </w:tc>
        <w:tc>
          <w:tcPr>
            <w:tcMar>
              <w:top w:type="dxa" w:w="80"/>
              <w:left w:type="dxa" w:w="120"/>
              <w:bottom w:type="dxa" w:w="80"/>
              <w:right w:type="dxa" w:w="120"/>
            </w:tcMar>
            <w:vAlign w:val="center"/>
          </w:tcPr>
          <w:p>
            <w:pPr>
              <w:pStyle w:val="MdTableCell"/>
              <w:jc w:val="left"/>
            </w:pPr>
            <w:r>
              <w:t xml:space="preserve">API Gateway</w:t>
            </w:r>
          </w:p>
        </w:tc>
        <w:tc>
          <w:tcPr>
            <w:tcMar>
              <w:top w:type="dxa" w:w="80"/>
              <w:left w:type="dxa" w:w="120"/>
              <w:bottom w:type="dxa" w:w="80"/>
              <w:right w:type="dxa" w:w="120"/>
            </w:tcMar>
            <w:vAlign w:val="center"/>
          </w:tcPr>
          <w:p>
            <w:pPr>
              <w:pStyle w:val="MdTableCell"/>
              <w:jc w:val="left"/>
            </w:pPr>
            <w:r>
              <w:t xml:space="preserve">Divulgación de versiones de software y tecnologías utilizadas.</w:t>
            </w:r>
          </w:p>
        </w:tc>
        <w:tc>
          <w:tcPr>
            <w:tcBorders>
              <w:right w:val="none"/>
            </w:tcBorders>
            <w:tcMar>
              <w:top w:type="dxa" w:w="80"/>
              <w:left w:type="dxa" w:w="120"/>
              <w:bottom w:type="dxa" w:w="80"/>
              <w:right w:type="dxa" w:w="120"/>
            </w:tcMar>
            <w:vAlign w:val="center"/>
          </w:tcPr>
          <w:p>
            <w:pPr>
              <w:pStyle w:val="MdTableCell"/>
              <w:jc w:val="left"/>
            </w:pPr>
            <w:r>
              <w:t xml:space="preserve">Deshabilitar la exposición de banners de servidor y versiones de software en las respuestas HTTP.</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PENTEST-007</w:t>
            </w:r>
          </w:p>
        </w:tc>
        <w:tc>
          <w:tcPr>
            <w:tcBorders>
              <w:bottom w:val="single" w:color="E1E4E8" w:sz="4"/>
            </w:tcBorders>
            <w:tcMar>
              <w:top w:type="dxa" w:w="80"/>
              <w:left w:type="dxa" w:w="120"/>
              <w:bottom w:type="dxa" w:w="80"/>
              <w:right w:type="dxa" w:w="120"/>
            </w:tcMar>
            <w:vAlign w:val="center"/>
          </w:tcPr>
          <w:p>
            <w:pPr>
              <w:pStyle w:val="MdTableCell"/>
              <w:jc w:val="left"/>
            </w:pPr>
            <w:r>
              <w:t xml:space="preserve">Permisos excesivos en S3 Bucket</w:t>
            </w:r>
          </w:p>
        </w:tc>
        <w:tc>
          <w:tcPr>
            <w:tcBorders>
              <w:bottom w:val="single" w:color="E1E4E8" w:sz="4"/>
            </w:tcBorders>
            <w:tcMar>
              <w:top w:type="dxa" w:w="80"/>
              <w:left w:type="dxa" w:w="120"/>
              <w:bottom w:type="dxa" w:w="80"/>
              <w:right w:type="dxa" w:w="120"/>
            </w:tcMar>
            <w:vAlign w:val="center"/>
          </w:tcPr>
          <w:p>
            <w:pPr>
              <w:pStyle w:val="MdTableCell"/>
              <w:jc w:val="left"/>
            </w:pPr>
            <w:r>
              <w:t xml:space="preserve">Almacenamiento de Objetos (S3)</w:t>
            </w:r>
          </w:p>
        </w:tc>
        <w:tc>
          <w:tcPr>
            <w:tcBorders>
              <w:bottom w:val="single" w:color="E1E4E8" w:sz="4"/>
            </w:tcBorders>
            <w:tcMar>
              <w:top w:type="dxa" w:w="80"/>
              <w:left w:type="dxa" w:w="120"/>
              <w:bottom w:type="dxa" w:w="80"/>
              <w:right w:type="dxa" w:w="120"/>
            </w:tcMar>
            <w:vAlign w:val="center"/>
          </w:tcPr>
          <w:p>
            <w:pPr>
              <w:pStyle w:val="MdTableCell"/>
              <w:jc w:val="left"/>
            </w:pPr>
            <w:r>
              <w:t xml:space="preserve">Acceso no autorizado a documentos XML/PDF almacenados.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Revisar y aplicar el principio de mínimo privilegio a las políticas de acceso del bucket S3.</w:t>
            </w:r>
          </w:p>
        </w:tc>
      </w:tr>
    </w:tbl>
    <w:p>
      <w:pPr>
        <w:pStyle w:val="Heading2"/>
        <w:pStyle w:val="MdHeading2"/>
      </w:pPr>
      <w:r>
        <w:t xml:space="preserve">6. Conclusiones</w:t>
      </w:r>
    </w:p>
    <w:p>
      <w:pPr>
        <w:pStyle w:val="MdParagraph"/>
      </w:pPr>
      <w:r>
        <w:t xml:space="preserve">El Sistema de Facturación Electrónica en la Nube presenta una base de seguridad adecuada, pero se han identificado vulnerabilidades que requieren atención inmediata, especialmente la inyección SQL crítica y las exposiciones de credenciales. La mitigación de estos hallazgos es esencial para proteger la información sensible y mantener la confianza en la plataforma. Se recomienda priorizar la resolución de las vulnerabilidades críticas y altas para fortalecer significativamente la postura de seguridad del sistema.</w:t>
      </w:r>
    </w:p>
    <w:p>
      <w:pPr>
        <w:pStyle w:val="MdSpace"/>
        <w:spacing w:before="0" w:after="60"/>
      </w:pPr>
    </w:p>
    <w:p>
      <w:pPr>
        <w:pStyle w:val="Heading2"/>
        <w:pStyle w:val="MdHeading2"/>
      </w:pPr>
      <w:r>
        <w:t xml:space="preserve">7. Recomendaciones Generales</w:t>
      </w:r>
    </w:p>
    <w:p>
      <w:pPr>
        <w:pStyle w:val="MdListItem"/>
        <w:numPr>
          <w:ilvl w:val="0"/>
          <w:numId w:val="2"/>
        </w:numPr>
      </w:pPr>
      <w:r>
        <w:rPr>
          <w:rStyle w:val="MdStrong"/>
          <w:b/>
          <w:bCs/>
        </w:rPr>
        <w:t xml:space="preserve">Ciclo de Vida de Desarrollo Seguro (SDLC):</w:t>
      </w:r>
      <w:r>
        <w:t xml:space="preserve"> Integrar prácticas de seguridad desde las primeras etapas del desarrollo (Diseño Seguro, Revisión de Código). </w:t>
      </w:r>
    </w:p>
    <w:p>
      <w:pPr>
        <w:pStyle w:val="MdListItem"/>
        <w:numPr>
          <w:ilvl w:val="0"/>
          <w:numId w:val="2"/>
        </w:numPr>
      </w:pPr>
      <w:r>
        <w:rPr>
          <w:rStyle w:val="MdStrong"/>
          <w:b/>
          <w:bCs/>
        </w:rPr>
        <w:t xml:space="preserve">Actualización Continua:</w:t>
      </w:r>
      <w:r>
        <w:t xml:space="preserve"> Mantener todos los componentes de software (librerías, frameworks, sistemas operativos) actualizados para protegerse contra vulnerabilidades conocidas.</w:t>
      </w:r>
    </w:p>
    <w:p>
      <w:pPr>
        <w:pStyle w:val="MdListItem"/>
        <w:numPr>
          <w:ilvl w:val="0"/>
          <w:numId w:val="2"/>
        </w:numPr>
      </w:pPr>
      <w:r>
        <w:rPr>
          <w:rStyle w:val="MdStrong"/>
          <w:b/>
          <w:bCs/>
        </w:rPr>
        <w:t xml:space="preserve">Monitoreo de Seguridad:</w:t>
      </w:r>
      <w:r>
        <w:t xml:space="preserve"> Implementar un sistema SIEM (Security Information and Event Management) para la detección temprana de actividades sospechosas.</w:t>
      </w:r>
    </w:p>
    <w:p>
      <w:pPr>
        <w:pStyle w:val="MdListItem"/>
        <w:numPr>
          <w:ilvl w:val="0"/>
          <w:numId w:val="2"/>
        </w:numPr>
      </w:pPr>
      <w:r>
        <w:rPr>
          <w:rStyle w:val="MdStrong"/>
          <w:b/>
          <w:bCs/>
        </w:rPr>
        <w:t xml:space="preserve">Capacitación en Seguridad:</w:t>
      </w:r>
      <w:r>
        <w:t xml:space="preserve"> Realizar capacitaciones periódicas para el equipo de desarrollo sobre las mejores prácticas de codificación segura.</w:t>
      </w:r>
    </w:p>
    <w:p>
      <w:pPr>
        <w:pStyle w:val="MdListItem"/>
        <w:numPr>
          <w:ilvl w:val="0"/>
          <w:numId w:val="2"/>
        </w:numPr>
      </w:pPr>
      <w:r>
        <w:rPr>
          <w:rStyle w:val="MdStrong"/>
          <w:b/>
          <w:bCs/>
        </w:rPr>
        <w:t xml:space="preserve">Auditorías Periódicas:</w:t>
      </w:r>
      <w:r>
        <w:t xml:space="preserve"> Programar pruebas de penetración y auditorías de seguridad de forma regular.</w:t>
      </w:r>
    </w:p>
    <w:p>
      <w:pPr>
        <w:pStyle w:val="MdSpace"/>
        <w:spacing w:before="0" w:after="60"/>
      </w:pPr>
    </w:p>
    <w:p>
      <w:pPr>
        <w:pStyle w:val="Heading2"/>
        <w:pStyle w:val="MdHeading2"/>
      </w:pPr>
      <w:r>
        <w:t xml:space="preserve">8. Anexos</w:t>
      </w:r>
    </w:p>
    <w:p>
      <w:pPr>
        <w:pStyle w:val="MdListItem"/>
        <w:numPr>
          <w:ilvl w:val="0"/>
          <w:numId w:val="2"/>
        </w:numPr>
      </w:pPr>
      <w:r>
        <w:t xml:space="preserve">Reporte completo de Nessus/OpenVAS.</w:t>
      </w:r>
    </w:p>
    <w:p>
      <w:pPr>
        <w:pStyle w:val="MdListItem"/>
        <w:numPr>
          <w:ilvl w:val="0"/>
          <w:numId w:val="2"/>
        </w:numPr>
      </w:pPr>
      <w:r>
        <w:t xml:space="preserve">Evidencias de explotación (capturas de pantalla, logs).</w:t>
      </w:r>
    </w:p>
    <w:p>
      <w:pPr>
        <w:pStyle w:val="MdListItem"/>
        <w:numPr>
          <w:ilvl w:val="0"/>
          <w:numId w:val="2"/>
        </w:numPr>
      </w:pPr>
      <w:r>
        <w:t xml:space="preserve">Plan de Remediación de Vulnerabilidades (documento separado).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2026-06-11T11:59:40.738Z</dcterms:created>
  <dcterms:modified xsi:type="dcterms:W3CDTF">2026-06-11T11:59:40.738Z</dcterms:modified>
</cp:coreProperties>
</file>

<file path=docProps/custom.xml><?xml version="1.0" encoding="utf-8"?>
<Properties xmlns="http://schemas.openxmlformats.org/officeDocument/2006/custom-properties" xmlns:vt="http://schemas.openxmlformats.org/officeDocument/2006/docPropsVTypes"/>
</file>