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eastAsia="Times New Roman"/>
          <w:b/>
          <w:sz w:val="24"/>
        </w:rPr>
        <w:t>SERVICE AGREEMENT No. ____ / JT-BSI-2026</w:t>
      </w:r>
    </w:p>
    <w:p>
      <w:pPr>
        <w:spacing w:before="0" w:after="120" w:line="259" w:lineRule="auto"/>
        <w:jc w:val="center"/>
      </w:pPr>
      <w:r>
        <w:rPr>
          <w:rFonts w:ascii="Times New Roman" w:hAnsi="Times New Roman" w:eastAsia="Times New Roman"/>
          <w:b/>
          <w:sz w:val="22"/>
        </w:rPr>
        <w:t>for Aircraft Inspection and Engine/APU Borescope Inspection Services</w:t>
      </w:r>
    </w:p>
    <w:p>
      <w:pPr>
        <w:spacing w:before="0" w:after="160" w:line="259" w:lineRule="auto"/>
        <w:jc w:val="center"/>
      </w:pPr>
      <w:r>
        <w:rPr>
          <w:rFonts w:ascii="Times New Roman" w:hAnsi="Times New Roman" w:eastAsia="Times New Roman"/>
          <w:b w:val="0"/>
          <w:sz w:val="20"/>
        </w:rPr>
        <w:t>Place of conclusion: ________________    Date: «____» ____________ 2026</w:t>
      </w:r>
    </w:p>
    <w:p>
      <w:pPr>
        <w:spacing w:before="0" w:after="120" w:line="259" w:lineRule="auto"/>
        <w:jc w:val="both"/>
      </w:pPr>
      <w:r>
        <w:rPr>
          <w:rFonts w:ascii="Times New Roman" w:hAnsi="Times New Roman" w:eastAsia="Times New Roman"/>
          <w:b/>
          <w:sz w:val="20"/>
        </w:rPr>
        <w:t>JET Technic</w:t>
      </w:r>
      <w:r>
        <w:rPr>
          <w:rFonts w:ascii="Times New Roman" w:hAnsi="Times New Roman" w:eastAsia="Times New Roman"/>
          <w:b w:val="0"/>
          <w:sz w:val="20"/>
        </w:rPr>
        <w:t xml:space="preserve"> ([full legal name as per Company Card], registered address: [address], registration / tax ID: [●], hereinafter the “</w:t>
      </w:r>
      <w:r>
        <w:rPr>
          <w:rFonts w:ascii="Times New Roman" w:hAnsi="Times New Roman" w:eastAsia="Times New Roman"/>
          <w:b/>
          <w:sz w:val="20"/>
        </w:rPr>
        <w:t>Contractor</w:t>
      </w:r>
      <w:r>
        <w:rPr>
          <w:rFonts w:ascii="Times New Roman" w:hAnsi="Times New Roman" w:eastAsia="Times New Roman"/>
          <w:b w:val="0"/>
          <w:sz w:val="20"/>
        </w:rPr>
        <w:t>”), represented by [full name, title], acting on the basis of [Charter / Power of Attorney No. ● dated ●], on the one part, and</w:t>
      </w:r>
    </w:p>
    <w:p>
      <w:pPr>
        <w:spacing w:before="0" w:after="80" w:line="259" w:lineRule="auto"/>
        <w:jc w:val="both"/>
      </w:pPr>
      <w:r>
        <w:rPr>
          <w:rFonts w:ascii="Times New Roman" w:hAnsi="Times New Roman" w:eastAsia="Times New Roman"/>
          <w:b/>
          <w:sz w:val="20"/>
        </w:rPr>
        <w:t>[CLIENT FULL LEGAL NAME]</w:t>
      </w:r>
      <w:r>
        <w:rPr>
          <w:rFonts w:ascii="Times New Roman" w:hAnsi="Times New Roman" w:eastAsia="Times New Roman"/>
          <w:b w:val="0"/>
          <w:sz w:val="20"/>
        </w:rPr>
        <w:t xml:space="preserve"> (registered address: [address], registration / tax ID: [●], hereinafter the “</w:t>
      </w:r>
      <w:r>
        <w:rPr>
          <w:rFonts w:ascii="Times New Roman" w:hAnsi="Times New Roman" w:eastAsia="Times New Roman"/>
          <w:b/>
          <w:sz w:val="20"/>
        </w:rPr>
        <w:t>Customer</w:t>
      </w:r>
      <w:r>
        <w:rPr>
          <w:rFonts w:ascii="Times New Roman" w:hAnsi="Times New Roman" w:eastAsia="Times New Roman"/>
          <w:b w:val="0"/>
          <w:sz w:val="20"/>
        </w:rPr>
        <w:t>”), represented by [full name, title], acting on the basis of [Charter / Power of Attorney], on the other part,</w:t>
      </w:r>
    </w:p>
    <w:p>
      <w:pPr>
        <w:spacing w:before="0" w:after="120" w:line="259" w:lineRule="auto"/>
        <w:jc w:val="both"/>
      </w:pPr>
      <w:r>
        <w:rPr>
          <w:rFonts w:ascii="Times New Roman" w:hAnsi="Times New Roman" w:eastAsia="Times New Roman"/>
          <w:b w:val="0"/>
          <w:sz w:val="20"/>
        </w:rPr>
        <w:t>collectively referred to as the “Parties” and individually as a “Party”, have entered into this Service Agreement (the “Agreement”) as follows:</w:t>
      </w:r>
    </w:p>
    <w:p>
      <w:pPr>
        <w:spacing w:before="40" w:after="60" w:line="259" w:lineRule="auto"/>
      </w:pPr>
      <w:r>
        <w:rPr>
          <w:rFonts w:ascii="Times New Roman" w:hAnsi="Times New Roman" w:eastAsia="Times New Roman"/>
          <w:b/>
          <w:sz w:val="21"/>
        </w:rPr>
        <w:t>1. SUBJECT OF THE AGREEMENT</w:t>
      </w:r>
    </w:p>
    <w:p>
      <w:pPr>
        <w:spacing w:before="0" w:after="80" w:line="259" w:lineRule="auto"/>
        <w:jc w:val="both"/>
      </w:pPr>
      <w:r>
        <w:rPr>
          <w:rFonts w:ascii="Times New Roman" w:hAnsi="Times New Roman" w:eastAsia="Times New Roman"/>
          <w:b w:val="0"/>
          <w:sz w:val="20"/>
        </w:rPr>
        <w:t>1.1. The Contractor undertakes to provide, and the Customer undertakes to accept and pay for, the following services (the “Services”):</w:t>
      </w:r>
    </w:p>
    <w:p>
      <w:pPr>
        <w:spacing w:before="0" w:after="80" w:line="259" w:lineRule="auto"/>
        <w:jc w:val="both"/>
      </w:pPr>
      <w:r>
        <w:rPr>
          <w:rFonts w:ascii="Times New Roman" w:hAnsi="Times New Roman" w:eastAsia="Times New Roman"/>
          <w:b w:val="0"/>
          <w:sz w:val="20"/>
        </w:rPr>
        <w:t>(a) inspection of the Aircraft (airframe / visual / technical inspection as specified in the Commercial Proposal);</w:t>
      </w:r>
    </w:p>
    <w:p>
      <w:pPr>
        <w:spacing w:before="0" w:after="80" w:line="259" w:lineRule="auto"/>
        <w:jc w:val="both"/>
      </w:pPr>
      <w:r>
        <w:rPr>
          <w:rFonts w:ascii="Times New Roman" w:hAnsi="Times New Roman" w:eastAsia="Times New Roman"/>
          <w:b w:val="0"/>
          <w:sz w:val="20"/>
        </w:rPr>
        <w:t>(b) borescope inspection (BSI) of the Aircraft engines; and</w:t>
      </w:r>
    </w:p>
    <w:p>
      <w:pPr>
        <w:spacing w:before="0" w:after="80" w:line="259" w:lineRule="auto"/>
        <w:jc w:val="both"/>
      </w:pPr>
      <w:r>
        <w:rPr>
          <w:rFonts w:ascii="Times New Roman" w:hAnsi="Times New Roman" w:eastAsia="Times New Roman"/>
          <w:b w:val="0"/>
          <w:sz w:val="20"/>
        </w:rPr>
        <w:t>(c) borescope inspection (BSI) of the Auxiliary Power Unit (APU).</w:t>
      </w:r>
    </w:p>
    <w:p>
      <w:pPr>
        <w:spacing w:before="0" w:after="80" w:line="259" w:lineRule="auto"/>
        <w:jc w:val="both"/>
      </w:pPr>
      <w:r>
        <w:rPr>
          <w:rFonts w:ascii="Times New Roman" w:hAnsi="Times New Roman" w:eastAsia="Times New Roman"/>
          <w:b w:val="0"/>
          <w:sz w:val="20"/>
        </w:rPr>
        <w:t>1.2. The detailed scope, methodology, deliverables, exclusions, price and timelines are set out in the Commercial Proposal “BSI JT” dated 06.08.2026 (the “Proposal”), which forms an integral Annex No. 1 to this Agreement. In case of conflict, the body of this Agreement prevails, except for technical scope and price, for which the Proposal prevails.</w:t>
      </w:r>
    </w:p>
    <w:p>
      <w:pPr>
        <w:spacing w:before="0" w:after="80" w:line="259" w:lineRule="auto"/>
        <w:jc w:val="both"/>
      </w:pPr>
      <w:r>
        <w:rPr>
          <w:rFonts w:ascii="Times New Roman" w:hAnsi="Times New Roman" w:eastAsia="Times New Roman"/>
          <w:b w:val="0"/>
          <w:sz w:val="20"/>
        </w:rPr>
        <w:t>1.3. Aircraft identification (to be completed / as available): Type / Model: [●]; MSN: [●]; Registration: [●]; Engines: [type / ESN ●]; APU: [type / S/N ●].</w:t>
      </w:r>
    </w:p>
    <w:p>
      <w:pPr>
        <w:spacing w:before="0" w:after="80" w:line="259" w:lineRule="auto"/>
        <w:jc w:val="both"/>
      </w:pPr>
      <w:r>
        <w:rPr>
          <w:rFonts w:ascii="Times New Roman" w:hAnsi="Times New Roman" w:eastAsia="Times New Roman"/>
          <w:b w:val="0"/>
          <w:sz w:val="20"/>
        </w:rPr>
        <w:t>1.4. Place of performance: Belgrade Airport (BEG), Republic of Serbia; Aircraft is currently in storage in the hangar of JAT Tehnika. Access to the Aircraft and hangar facilities is arranged by / with the involvement of JAT Tehnika and/or the Customer.</w:t>
      </w:r>
    </w:p>
    <w:p>
      <w:pPr>
        <w:spacing w:before="80" w:after="60" w:line="259" w:lineRule="auto"/>
      </w:pPr>
      <w:r>
        <w:rPr>
          <w:rFonts w:ascii="Times New Roman" w:hAnsi="Times New Roman" w:eastAsia="Times New Roman"/>
          <w:b/>
          <w:sz w:val="21"/>
        </w:rPr>
        <w:t>2. TERM OF PERFORMANCE</w:t>
      </w:r>
    </w:p>
    <w:p>
      <w:pPr>
        <w:spacing w:before="0" w:after="80" w:line="259" w:lineRule="auto"/>
        <w:jc w:val="both"/>
      </w:pPr>
      <w:r>
        <w:rPr>
          <w:rFonts w:ascii="Times New Roman" w:hAnsi="Times New Roman" w:eastAsia="Times New Roman"/>
          <w:b w:val="0"/>
          <w:sz w:val="20"/>
        </w:rPr>
        <w:t>2.1. The Services shall be performed within [●] business days from the later of: (i) the Effective Date of this Agreement; (ii) receipt of the advance payment (if applicable); and (iii) provision of Aircraft access, hangar slot and required documentation by the Customer / JAT Tehnika.</w:t>
      </w:r>
    </w:p>
    <w:p>
      <w:pPr>
        <w:spacing w:before="0" w:after="80" w:line="259" w:lineRule="auto"/>
        <w:jc w:val="both"/>
      </w:pPr>
      <w:r>
        <w:rPr>
          <w:rFonts w:ascii="Times New Roman" w:hAnsi="Times New Roman" w:eastAsia="Times New Roman"/>
          <w:b w:val="0"/>
          <w:sz w:val="20"/>
        </w:rPr>
        <w:t>2.2. Upon completion, the Contractor shall deliver a written inspection / BSI report (electronic copy is sufficient unless otherwise agreed). The Customer shall confirm acceptance within 5 (five) business days or state reasoned objections; failing which the Services are deemed accepted.</w:t>
      </w:r>
    </w:p>
    <w:p>
      <w:pPr>
        <w:spacing w:before="80" w:after="60" w:line="259" w:lineRule="auto"/>
      </w:pPr>
      <w:r>
        <w:rPr>
          <w:rFonts w:ascii="Times New Roman" w:hAnsi="Times New Roman" w:eastAsia="Times New Roman"/>
          <w:b/>
          <w:sz w:val="21"/>
        </w:rPr>
        <w:t>3. PRICE AND PAYMENT</w:t>
      </w:r>
    </w:p>
    <w:p>
      <w:pPr>
        <w:spacing w:before="0" w:after="80" w:line="259" w:lineRule="auto"/>
        <w:jc w:val="both"/>
      </w:pPr>
      <w:r>
        <w:rPr>
          <w:rFonts w:ascii="Times New Roman" w:hAnsi="Times New Roman" w:eastAsia="Times New Roman"/>
          <w:b w:val="0"/>
          <w:sz w:val="20"/>
        </w:rPr>
        <w:t>3.1. The total contract price for the Services is [amount in figures and words] [USD / EUR] (the “Price”), as per the Proposal, exclusive / inclusive of VAT (as applicable under applicable law).</w:t>
      </w:r>
    </w:p>
    <w:p>
      <w:pPr>
        <w:spacing w:before="0" w:after="80" w:line="259" w:lineRule="auto"/>
        <w:jc w:val="both"/>
      </w:pPr>
      <w:r>
        <w:rPr>
          <w:rFonts w:ascii="Times New Roman" w:hAnsi="Times New Roman" w:eastAsia="Times New Roman"/>
          <w:b w:val="0"/>
          <w:sz w:val="20"/>
        </w:rPr>
        <w:t>3.2. Payment terms: [e.g. 100% advance / 50% advance within 3 banking days of invoice and 50% within 5 banking days after delivery of the report], by bank transfer to the Contractor’s account specified in Clause 10 / the Company Card / invoice.</w:t>
      </w:r>
    </w:p>
    <w:p>
      <w:pPr>
        <w:spacing w:before="0" w:after="80" w:line="259" w:lineRule="auto"/>
        <w:jc w:val="both"/>
      </w:pPr>
      <w:r>
        <w:rPr>
          <w:rFonts w:ascii="Times New Roman" w:hAnsi="Times New Roman" w:eastAsia="Times New Roman"/>
          <w:b w:val="0"/>
          <w:sz w:val="20"/>
        </w:rPr>
        <w:t>3.3. Any additional works outside the Proposal scope (including extra man-hours due to delayed access, non-readiness of the Aircraft, or Customer’s change requests) shall be agreed in writing and charged at rates stated in the Proposal or as otherwise agreed.</w:t>
      </w:r>
    </w:p>
    <w:p>
      <w:pPr>
        <w:spacing w:before="0" w:after="80" w:line="259" w:lineRule="auto"/>
        <w:jc w:val="both"/>
      </w:pPr>
      <w:r>
        <w:rPr>
          <w:rFonts w:ascii="Times New Roman" w:hAnsi="Times New Roman" w:eastAsia="Times New Roman"/>
          <w:b w:val="0"/>
          <w:sz w:val="20"/>
        </w:rPr>
        <w:t>3.4. Travel, visa, local transportation, hangar / MRO access fees of JAT Tehnika, airport passes and similar third-party charges are [included in the Price / payable by the Customer separately against supporting documents], as stated in the Proposal.</w:t>
      </w:r>
    </w:p>
    <w:p>
      <w:pPr>
        <w:spacing w:before="80" w:after="60" w:line="259" w:lineRule="auto"/>
      </w:pPr>
      <w:r>
        <w:rPr>
          <w:rFonts w:ascii="Times New Roman" w:hAnsi="Times New Roman" w:eastAsia="Times New Roman"/>
          <w:b/>
          <w:sz w:val="21"/>
        </w:rPr>
        <w:t>4. OBLIGATIONS OF THE PARTIES</w:t>
      </w:r>
    </w:p>
    <w:p>
      <w:pPr>
        <w:spacing w:before="0" w:after="80" w:line="259" w:lineRule="auto"/>
        <w:jc w:val="both"/>
      </w:pPr>
      <w:r>
        <w:rPr>
          <w:rFonts w:ascii="Times New Roman" w:hAnsi="Times New Roman" w:eastAsia="Times New Roman"/>
          <w:b w:val="0"/>
          <w:sz w:val="20"/>
        </w:rPr>
        <w:t>4.1. The Contractor shall: (a) perform the Services in a professional manner using qualified personnel and suitable equipment; (b) comply with applicable safety rules at the place of performance and JAT Tehnika hangar procedures; (c) deliver the report within the agreed term; (d) keep Customer information confidential.</w:t>
      </w:r>
    </w:p>
    <w:p>
      <w:pPr>
        <w:spacing w:before="0" w:after="80" w:line="259" w:lineRule="auto"/>
        <w:jc w:val="both"/>
      </w:pPr>
      <w:r>
        <w:rPr>
          <w:rFonts w:ascii="Times New Roman" w:hAnsi="Times New Roman" w:eastAsia="Times New Roman"/>
          <w:b w:val="0"/>
          <w:sz w:val="20"/>
        </w:rPr>
        <w:t>4.2. The Customer shall: (a) timely provide Aircraft access, hangar coordination with JAT Tehnika, and all technical documentation reasonably required (status, last inspections, engine/APU data, authorizations); (b) ensure that persons granting access have authority; (c) pay the Price as agreed; (d) appoint a contact person for operational coordination.</w:t>
      </w:r>
    </w:p>
    <w:p>
      <w:pPr>
        <w:spacing w:before="0" w:after="80" w:line="259" w:lineRule="auto"/>
        <w:jc w:val="both"/>
      </w:pPr>
      <w:r>
        <w:rPr>
          <w:rFonts w:ascii="Times New Roman" w:hAnsi="Times New Roman" w:eastAsia="Times New Roman"/>
          <w:b w:val="0"/>
          <w:sz w:val="20"/>
        </w:rPr>
        <w:t>4.3. The Services constitute inspection / diagnostic activities and do not include repair, rectification, certification of airworthiness, or release to service, unless expressly agreed in writing. Findings in the report are based on the condition observed at the time of inspection and available access.</w:t>
      </w:r>
    </w:p>
    <w:p>
      <w:pPr>
        <w:spacing w:before="80" w:after="60" w:line="259" w:lineRule="auto"/>
      </w:pPr>
      <w:r>
        <w:rPr>
          <w:rFonts w:ascii="Times New Roman" w:hAnsi="Times New Roman" w:eastAsia="Times New Roman"/>
          <w:b/>
          <w:sz w:val="21"/>
        </w:rPr>
        <w:t>5. LIABILITY AND FORCE MAJEURE</w:t>
      </w:r>
    </w:p>
    <w:p>
      <w:pPr>
        <w:spacing w:before="0" w:after="80" w:line="259" w:lineRule="auto"/>
        <w:jc w:val="both"/>
      </w:pPr>
      <w:r>
        <w:rPr>
          <w:rFonts w:ascii="Times New Roman" w:hAnsi="Times New Roman" w:eastAsia="Times New Roman"/>
          <w:b w:val="0"/>
          <w:sz w:val="20"/>
        </w:rPr>
        <w:t>5.1. Each Party is liable for breach of this Agreement in accordance with applicable law, subject to Clause 5.2.</w:t>
      </w:r>
    </w:p>
    <w:p>
      <w:pPr>
        <w:spacing w:before="0" w:after="80" w:line="259" w:lineRule="auto"/>
        <w:jc w:val="both"/>
      </w:pPr>
      <w:r>
        <w:rPr>
          <w:rFonts w:ascii="Times New Roman" w:hAnsi="Times New Roman" w:eastAsia="Times New Roman"/>
          <w:b w:val="0"/>
          <w:sz w:val="20"/>
        </w:rPr>
        <w:t>5.2. Except for willful misconduct or gross negligence, the Contractor’s aggregate liability under this Agreement shall not exceed the Price actually paid by the Customer. Neither Party is liable for indirect, incidental or consequential losses (including loss of profit, loss of use of the Aircraft, or downtime), except where mandatory law provides otherwise.</w:t>
      </w:r>
    </w:p>
    <w:p>
      <w:pPr>
        <w:spacing w:before="0" w:after="80" w:line="259" w:lineRule="auto"/>
        <w:jc w:val="both"/>
      </w:pPr>
      <w:r>
        <w:rPr>
          <w:rFonts w:ascii="Times New Roman" w:hAnsi="Times New Roman" w:eastAsia="Times New Roman"/>
          <w:b w:val="0"/>
          <w:sz w:val="20"/>
        </w:rPr>
        <w:t>5.3. A Party is excused from performance while prevented by force majeure (including war, sanctions preventing performance, natural disasters, epidemic, acts of authorities, airport / hangar closure), provided prompt notice is given. If force majeure continues for more than 30 days, either Party may terminate this Agreement by written notice without penalty, subject to payment for Services already performed.</w:t>
      </w:r>
    </w:p>
    <w:p>
      <w:pPr>
        <w:spacing w:before="80" w:after="60" w:line="259" w:lineRule="auto"/>
      </w:pPr>
      <w:r>
        <w:rPr>
          <w:rFonts w:ascii="Times New Roman" w:hAnsi="Times New Roman" w:eastAsia="Times New Roman"/>
          <w:b/>
          <w:sz w:val="21"/>
        </w:rPr>
        <w:t>6. CONFIDENTIALITY</w:t>
      </w:r>
    </w:p>
    <w:p>
      <w:pPr>
        <w:spacing w:before="0" w:after="80" w:line="259" w:lineRule="auto"/>
        <w:jc w:val="both"/>
      </w:pPr>
      <w:r>
        <w:rPr>
          <w:rFonts w:ascii="Times New Roman" w:hAnsi="Times New Roman" w:eastAsia="Times New Roman"/>
          <w:b w:val="0"/>
          <w:sz w:val="20"/>
        </w:rPr>
        <w:t>6.1. Each Party shall keep confidential the other Party’s non-public commercial and technical information obtained in connection with this Agreement and shall not disclose it to third parties without prior written consent, except to professional advisors and as required by law or competent authorities. This Clause survives for 3 (three) years after termination.</w:t>
      </w:r>
    </w:p>
    <w:p>
      <w:pPr>
        <w:spacing w:before="80" w:after="60" w:line="259" w:lineRule="auto"/>
      </w:pPr>
      <w:r>
        <w:rPr>
          <w:rFonts w:ascii="Times New Roman" w:hAnsi="Times New Roman" w:eastAsia="Times New Roman"/>
          <w:b/>
          <w:sz w:val="21"/>
        </w:rPr>
        <w:t>7. TERM, AMENDMENTS AND TERMINATION</w:t>
      </w:r>
    </w:p>
    <w:p>
      <w:pPr>
        <w:spacing w:before="0" w:after="80" w:line="259" w:lineRule="auto"/>
        <w:jc w:val="both"/>
      </w:pPr>
      <w:r>
        <w:rPr>
          <w:rFonts w:ascii="Times New Roman" w:hAnsi="Times New Roman" w:eastAsia="Times New Roman"/>
          <w:b w:val="0"/>
          <w:sz w:val="20"/>
        </w:rPr>
        <w:t>7.1. This Agreement enters into force on the date of signing by both Parties (or the later signature date) (the “Effective Date”) and remains in force until full performance of the Parties’ obligations.</w:t>
      </w:r>
    </w:p>
    <w:p>
      <w:pPr>
        <w:spacing w:before="0" w:after="80" w:line="259" w:lineRule="auto"/>
        <w:jc w:val="both"/>
      </w:pPr>
      <w:r>
        <w:rPr>
          <w:rFonts w:ascii="Times New Roman" w:hAnsi="Times New Roman" w:eastAsia="Times New Roman"/>
          <w:b w:val="0"/>
          <w:sz w:val="20"/>
        </w:rPr>
        <w:t>7.2. Either Party may terminate this Agreement by written notice if the other Party materially breaches and fails to cure within 10 (ten) business days of notice. The Customer may cancel before start of works subject to reimbursement of documented costs incurred by the Contractor.</w:t>
      </w:r>
    </w:p>
    <w:p>
      <w:pPr>
        <w:spacing w:before="0" w:after="80" w:line="259" w:lineRule="auto"/>
        <w:jc w:val="both"/>
      </w:pPr>
      <w:r>
        <w:rPr>
          <w:rFonts w:ascii="Times New Roman" w:hAnsi="Times New Roman" w:eastAsia="Times New Roman"/>
          <w:b w:val="0"/>
          <w:sz w:val="20"/>
        </w:rPr>
        <w:t>7.3. Amendments are valid only if made in writing and signed by both Parties (including exchange of signed PDF scans).</w:t>
      </w:r>
    </w:p>
    <w:p>
      <w:pPr>
        <w:spacing w:before="80" w:after="60" w:line="259" w:lineRule="auto"/>
      </w:pPr>
      <w:r>
        <w:rPr>
          <w:rFonts w:ascii="Times New Roman" w:hAnsi="Times New Roman" w:eastAsia="Times New Roman"/>
          <w:b/>
          <w:sz w:val="21"/>
        </w:rPr>
        <w:t>8. GOVERNING LAW AND DISPUTES</w:t>
      </w:r>
    </w:p>
    <w:p>
      <w:pPr>
        <w:spacing w:before="0" w:after="80" w:line="259" w:lineRule="auto"/>
        <w:jc w:val="both"/>
      </w:pPr>
      <w:r>
        <w:rPr>
          <w:rFonts w:ascii="Times New Roman" w:hAnsi="Times New Roman" w:eastAsia="Times New Roman"/>
          <w:b w:val="0"/>
          <w:sz w:val="20"/>
        </w:rPr>
        <w:t>8.1. This Agreement is governed by the laws of [● — e.g. England and Wales / Russian Federation / Republic of Serbia], without regard to conflict-of-laws rules.</w:t>
      </w:r>
    </w:p>
    <w:p>
      <w:pPr>
        <w:spacing w:before="0" w:after="80" w:line="259" w:lineRule="auto"/>
        <w:jc w:val="both"/>
      </w:pPr>
      <w:r>
        <w:rPr>
          <w:rFonts w:ascii="Times New Roman" w:hAnsi="Times New Roman" w:eastAsia="Times New Roman"/>
          <w:b w:val="0"/>
          <w:sz w:val="20"/>
        </w:rPr>
        <w:t>8.2. The Parties shall attempt to settle disputes amicably within 15 (fifteen) business days. Failing amicable settlement, disputes shall be referred to [competent court at the Contractor’s registered office / arbitration: ●]. The language of proceedings shall be English, unless otherwise agreed.</w:t>
      </w:r>
    </w:p>
    <w:p>
      <w:pPr>
        <w:spacing w:before="80" w:after="60" w:line="259" w:lineRule="auto"/>
      </w:pPr>
      <w:r>
        <w:rPr>
          <w:rFonts w:ascii="Times New Roman" w:hAnsi="Times New Roman" w:eastAsia="Times New Roman"/>
          <w:b/>
          <w:sz w:val="21"/>
        </w:rPr>
        <w:t>9. FINAL PROVISIONS</w:t>
      </w:r>
    </w:p>
    <w:p>
      <w:pPr>
        <w:spacing w:before="0" w:after="80" w:line="259" w:lineRule="auto"/>
        <w:jc w:val="both"/>
      </w:pPr>
      <w:r>
        <w:rPr>
          <w:rFonts w:ascii="Times New Roman" w:hAnsi="Times New Roman" w:eastAsia="Times New Roman"/>
          <w:b w:val="0"/>
          <w:sz w:val="20"/>
        </w:rPr>
        <w:t>9.1. This Agreement is executed in English and Russian in two counterparts (one for each Party). In case of discrepancy, the [English / Russian] version shall prevail. Each counterpart (including PDF scan of a signed original) has equal legal force.</w:t>
      </w:r>
    </w:p>
    <w:p>
      <w:pPr>
        <w:spacing w:before="0" w:after="80" w:line="259" w:lineRule="auto"/>
        <w:jc w:val="both"/>
      </w:pPr>
      <w:r>
        <w:rPr>
          <w:rFonts w:ascii="Times New Roman" w:hAnsi="Times New Roman" w:eastAsia="Times New Roman"/>
          <w:b w:val="0"/>
          <w:sz w:val="20"/>
        </w:rPr>
        <w:t>9.2. Annexes forming integral parts of this Agreement: Annex No. 1 — Commercial Proposal “BSI JT” dated 06.08.2026; Annex No. 2 — Contractor’s Company Card / bank details (as updated).</w:t>
      </w:r>
    </w:p>
    <w:p>
      <w:pPr>
        <w:spacing w:before="0" w:after="80" w:line="259" w:lineRule="auto"/>
        <w:jc w:val="both"/>
      </w:pPr>
      <w:r>
        <w:rPr>
          <w:rFonts w:ascii="Times New Roman" w:hAnsi="Times New Roman" w:eastAsia="Times New Roman"/>
          <w:b w:val="0"/>
          <w:sz w:val="20"/>
        </w:rPr>
        <w:t>9.3. Notices may be sent by email to the addresses in Clause 10, with originals/scans upon request. Notices are deemed received on the next business day after sending, if no delivery failure notice is received.</w:t>
      </w:r>
    </w:p>
    <w:p>
      <w:pPr>
        <w:spacing w:before="80" w:after="120" w:line="259" w:lineRule="auto"/>
      </w:pPr>
      <w:r>
        <w:rPr>
          <w:rFonts w:ascii="Times New Roman" w:hAnsi="Times New Roman" w:eastAsia="Times New Roman"/>
          <w:b/>
          <w:sz w:val="21"/>
        </w:rPr>
        <w:t>10. DETAILS AND SIGNATURES OF THE PARTIES</w:t>
      </w:r>
    </w:p>
    <w:tbl>
      <w:tblPr>
        <w:tblW w:type="auto" w:w="0"/>
        <w:tblLayout w:type="autofit"/>
        <w:tblLook w:firstColumn="1" w:firstRow="1" w:lastColumn="0" w:lastRow="0" w:noHBand="0" w:noVBand="1" w:val="04A0"/>
      </w:tblPr>
      <w:tblGrid>
        <w:gridCol w:w="5128"/>
        <w:gridCol w:w="5128"/>
      </w:tblGrid>
      <w:tr>
        <w:tc>
          <w:tcPr>
            <w:tcW w:type="dxa" w:w="5128"/>
          </w:tcPr>
          <w:p>
            <w:r/>
            <w:r>
              <w:rPr>
                <w:rFonts w:ascii="Times New Roman" w:hAnsi="Times New Roman" w:eastAsia="Times New Roman"/>
                <w:b/>
                <w:sz w:val="20"/>
              </w:rPr>
              <w:t>CONTRACTOR: JET Technic</w:t>
            </w:r>
          </w:p>
          <w:p>
            <w:pPr>
              <w:spacing w:after="20" w:before="0" w:line="252" w:lineRule="auto"/>
            </w:pPr>
            <w:r>
              <w:rPr>
                <w:rFonts w:ascii="Times New Roman" w:hAnsi="Times New Roman" w:eastAsia="Times New Roman"/>
                <w:b w:val="0"/>
                <w:sz w:val="18"/>
              </w:rPr>
              <w:t>Full legal name: [●]</w:t>
            </w:r>
          </w:p>
          <w:p>
            <w:pPr>
              <w:spacing w:after="20" w:before="0" w:line="252" w:lineRule="auto"/>
            </w:pPr>
            <w:r>
              <w:rPr>
                <w:rFonts w:ascii="Times New Roman" w:hAnsi="Times New Roman" w:eastAsia="Times New Roman"/>
                <w:b w:val="0"/>
                <w:sz w:val="18"/>
              </w:rPr>
              <w:t>Address: [●]</w:t>
            </w:r>
          </w:p>
          <w:p>
            <w:pPr>
              <w:spacing w:after="20" w:before="0" w:line="252" w:lineRule="auto"/>
            </w:pPr>
            <w:r>
              <w:rPr>
                <w:rFonts w:ascii="Times New Roman" w:hAnsi="Times New Roman" w:eastAsia="Times New Roman"/>
                <w:b w:val="0"/>
                <w:sz w:val="18"/>
              </w:rPr>
              <w:t>Reg. / Tax ID: [●]</w:t>
            </w:r>
          </w:p>
          <w:p>
            <w:pPr>
              <w:spacing w:after="20" w:before="0" w:line="252" w:lineRule="auto"/>
            </w:pPr>
            <w:r>
              <w:rPr>
                <w:rFonts w:ascii="Times New Roman" w:hAnsi="Times New Roman" w:eastAsia="Times New Roman"/>
                <w:b w:val="0"/>
                <w:sz w:val="18"/>
              </w:rPr>
              <w:t>Bank: [●]</w:t>
            </w:r>
          </w:p>
          <w:p>
            <w:pPr>
              <w:spacing w:after="20" w:before="0" w:line="252" w:lineRule="auto"/>
            </w:pPr>
            <w:r>
              <w:rPr>
                <w:rFonts w:ascii="Times New Roman" w:hAnsi="Times New Roman" w:eastAsia="Times New Roman"/>
                <w:b w:val="0"/>
                <w:sz w:val="18"/>
              </w:rPr>
              <w:t>Account / IBAN: [●]</w:t>
            </w:r>
          </w:p>
          <w:p>
            <w:pPr>
              <w:spacing w:after="20" w:before="0" w:line="252" w:lineRule="auto"/>
            </w:pPr>
            <w:r>
              <w:rPr>
                <w:rFonts w:ascii="Times New Roman" w:hAnsi="Times New Roman" w:eastAsia="Times New Roman"/>
                <w:b w:val="0"/>
                <w:sz w:val="18"/>
              </w:rPr>
              <w:t>SWIFT: [●]</w:t>
            </w:r>
          </w:p>
          <w:p>
            <w:pPr>
              <w:spacing w:after="20" w:before="0" w:line="252" w:lineRule="auto"/>
            </w:pPr>
            <w:r>
              <w:rPr>
                <w:rFonts w:ascii="Times New Roman" w:hAnsi="Times New Roman" w:eastAsia="Times New Roman"/>
                <w:b w:val="0"/>
                <w:sz w:val="18"/>
              </w:rPr>
              <w:t>Email: [●]   Tel.: [●]</w:t>
            </w:r>
          </w:p>
        </w:tc>
        <w:tc>
          <w:tcPr>
            <w:tcW w:type="dxa" w:w="5128"/>
          </w:tcPr>
          <w:p>
            <w:r/>
            <w:r>
              <w:rPr>
                <w:rFonts w:ascii="Times New Roman" w:hAnsi="Times New Roman" w:eastAsia="Times New Roman"/>
                <w:b/>
                <w:sz w:val="20"/>
              </w:rPr>
              <w:t>CUSTOMER: [●]</w:t>
            </w:r>
          </w:p>
          <w:p>
            <w:pPr>
              <w:spacing w:after="20" w:before="0" w:line="252" w:lineRule="auto"/>
            </w:pPr>
            <w:r>
              <w:rPr>
                <w:rFonts w:ascii="Times New Roman" w:hAnsi="Times New Roman" w:eastAsia="Times New Roman"/>
                <w:b w:val="0"/>
                <w:sz w:val="18"/>
              </w:rPr>
              <w:t>Full legal name: [●]</w:t>
            </w:r>
          </w:p>
          <w:p>
            <w:pPr>
              <w:spacing w:after="20" w:before="0" w:line="252" w:lineRule="auto"/>
            </w:pPr>
            <w:r>
              <w:rPr>
                <w:rFonts w:ascii="Times New Roman" w:hAnsi="Times New Roman" w:eastAsia="Times New Roman"/>
                <w:b w:val="0"/>
                <w:sz w:val="18"/>
              </w:rPr>
              <w:t>Address: [●]</w:t>
            </w:r>
          </w:p>
          <w:p>
            <w:pPr>
              <w:spacing w:after="20" w:before="0" w:line="252" w:lineRule="auto"/>
            </w:pPr>
            <w:r>
              <w:rPr>
                <w:rFonts w:ascii="Times New Roman" w:hAnsi="Times New Roman" w:eastAsia="Times New Roman"/>
                <w:b w:val="0"/>
                <w:sz w:val="18"/>
              </w:rPr>
              <w:t>Reg. / Tax ID: [●]</w:t>
            </w:r>
          </w:p>
          <w:p>
            <w:pPr>
              <w:spacing w:after="20" w:before="0" w:line="252" w:lineRule="auto"/>
            </w:pPr>
            <w:r>
              <w:rPr>
                <w:rFonts w:ascii="Times New Roman" w:hAnsi="Times New Roman" w:eastAsia="Times New Roman"/>
                <w:b w:val="0"/>
                <w:sz w:val="18"/>
              </w:rPr>
              <w:t>Bank: [●]</w:t>
            </w:r>
          </w:p>
          <w:p>
            <w:pPr>
              <w:spacing w:after="20" w:before="0" w:line="252" w:lineRule="auto"/>
            </w:pPr>
            <w:r>
              <w:rPr>
                <w:rFonts w:ascii="Times New Roman" w:hAnsi="Times New Roman" w:eastAsia="Times New Roman"/>
                <w:b w:val="0"/>
                <w:sz w:val="18"/>
              </w:rPr>
              <w:t>Account / IBAN: [●]</w:t>
            </w:r>
          </w:p>
          <w:p>
            <w:pPr>
              <w:spacing w:after="20" w:before="0" w:line="252" w:lineRule="auto"/>
            </w:pPr>
            <w:r>
              <w:rPr>
                <w:rFonts w:ascii="Times New Roman" w:hAnsi="Times New Roman" w:eastAsia="Times New Roman"/>
                <w:b w:val="0"/>
                <w:sz w:val="18"/>
              </w:rPr>
              <w:t>SWIFT: [●]</w:t>
            </w:r>
          </w:p>
          <w:p>
            <w:pPr>
              <w:spacing w:after="20" w:before="0" w:line="252" w:lineRule="auto"/>
            </w:pPr>
            <w:r>
              <w:rPr>
                <w:rFonts w:ascii="Times New Roman" w:hAnsi="Times New Roman" w:eastAsia="Times New Roman"/>
                <w:b w:val="0"/>
                <w:sz w:val="18"/>
              </w:rPr>
              <w:t>Email: [●]   Tel.: [●]</w:t>
            </w:r>
          </w:p>
        </w:tc>
      </w:tr>
      <w:tr>
        <w:tc>
          <w:tcPr>
            <w:tcW w:type="dxa" w:w="5128"/>
          </w:tcPr>
          <w:p>
            <w:r/>
            <w:r>
              <w:rPr>
                <w:rFonts w:ascii="Times New Roman" w:hAnsi="Times New Roman" w:eastAsia="Times New Roman"/>
                <w:b/>
                <w:sz w:val="20"/>
              </w:rPr>
            </w:r>
          </w:p>
          <w:p>
            <w:pPr>
              <w:spacing w:after="20" w:before="0" w:line="252" w:lineRule="auto"/>
            </w:pPr>
            <w:r>
              <w:rPr>
                <w:rFonts w:ascii="Times New Roman" w:hAnsi="Times New Roman" w:eastAsia="Times New Roman"/>
                <w:b w:val="0"/>
                <w:sz w:val="18"/>
              </w:rPr>
            </w:r>
          </w:p>
          <w:p>
            <w:pPr>
              <w:spacing w:after="20" w:before="0" w:line="252" w:lineRule="auto"/>
            </w:pPr>
            <w:r>
              <w:rPr>
                <w:rFonts w:ascii="Times New Roman" w:hAnsi="Times New Roman" w:eastAsia="Times New Roman"/>
                <w:b w:val="0"/>
                <w:sz w:val="18"/>
              </w:rPr>
              <w:t>________________ / [Name] /</w:t>
            </w:r>
          </w:p>
          <w:p>
            <w:pPr>
              <w:spacing w:after="20" w:before="0" w:line="252" w:lineRule="auto"/>
            </w:pPr>
            <w:r>
              <w:rPr>
                <w:rFonts w:ascii="Times New Roman" w:hAnsi="Times New Roman" w:eastAsia="Times New Roman"/>
                <w:b w:val="0"/>
                <w:sz w:val="18"/>
              </w:rPr>
              <w:t>Title: [●]</w:t>
            </w:r>
          </w:p>
          <w:p>
            <w:pPr>
              <w:spacing w:after="20" w:before="0" w:line="252" w:lineRule="auto"/>
            </w:pPr>
            <w:r>
              <w:rPr>
                <w:rFonts w:ascii="Times New Roman" w:hAnsi="Times New Roman" w:eastAsia="Times New Roman"/>
                <w:b w:val="0"/>
                <w:sz w:val="18"/>
              </w:rPr>
              <w:t>L.S.</w:t>
            </w:r>
          </w:p>
        </w:tc>
        <w:tc>
          <w:tcPr>
            <w:tcW w:type="dxa" w:w="5128"/>
          </w:tcPr>
          <w:p>
            <w:r/>
            <w:r>
              <w:rPr>
                <w:rFonts w:ascii="Times New Roman" w:hAnsi="Times New Roman" w:eastAsia="Times New Roman"/>
                <w:b/>
                <w:sz w:val="20"/>
              </w:rPr>
            </w:r>
          </w:p>
          <w:p>
            <w:pPr>
              <w:spacing w:after="20" w:before="0" w:line="252" w:lineRule="auto"/>
            </w:pPr>
            <w:r>
              <w:rPr>
                <w:rFonts w:ascii="Times New Roman" w:hAnsi="Times New Roman" w:eastAsia="Times New Roman"/>
                <w:b w:val="0"/>
                <w:sz w:val="18"/>
              </w:rPr>
            </w:r>
          </w:p>
          <w:p>
            <w:pPr>
              <w:spacing w:after="20" w:before="0" w:line="252" w:lineRule="auto"/>
            </w:pPr>
            <w:r>
              <w:rPr>
                <w:rFonts w:ascii="Times New Roman" w:hAnsi="Times New Roman" w:eastAsia="Times New Roman"/>
                <w:b w:val="0"/>
                <w:sz w:val="18"/>
              </w:rPr>
              <w:t>________________ / [Name] /</w:t>
            </w:r>
          </w:p>
          <w:p>
            <w:pPr>
              <w:spacing w:after="20" w:before="0" w:line="252" w:lineRule="auto"/>
            </w:pPr>
            <w:r>
              <w:rPr>
                <w:rFonts w:ascii="Times New Roman" w:hAnsi="Times New Roman" w:eastAsia="Times New Roman"/>
                <w:b w:val="0"/>
                <w:sz w:val="18"/>
              </w:rPr>
              <w:t>Title: [●]</w:t>
            </w:r>
          </w:p>
          <w:p>
            <w:pPr>
              <w:spacing w:after="20" w:before="0" w:line="252" w:lineRule="auto"/>
            </w:pPr>
            <w:r>
              <w:rPr>
                <w:rFonts w:ascii="Times New Roman" w:hAnsi="Times New Roman" w:eastAsia="Times New Roman"/>
                <w:b w:val="0"/>
                <w:sz w:val="18"/>
              </w:rPr>
              <w:t>L.S.</w:t>
            </w:r>
          </w:p>
        </w:tc>
      </w:tr>
    </w:tbl>
    <w:p>
      <w:pPr>
        <w:spacing w:before="0" w:after="40" w:line="259" w:lineRule="auto"/>
        <w:jc w:val="both"/>
      </w:pPr>
      <w:r>
        <w:rPr>
          <w:rFonts w:ascii="Times New Roman" w:hAnsi="Times New Roman" w:eastAsia="Times New Roman"/>
          <w:b w:val="0"/>
          <w:sz w:val="20"/>
        </w:rPr>
      </w:r>
    </w:p>
    <w:p>
      <w:pPr>
        <w:spacing w:before="0" w:after="40" w:line="259" w:lineRule="auto"/>
      </w:pPr>
      <w:r>
        <w:rPr>
          <w:rFonts w:ascii="Times New Roman" w:hAnsi="Times New Roman" w:eastAsia="Times New Roman"/>
          <w:b w:val="0"/>
          <w:sz w:val="18"/>
        </w:rPr>
        <w:t>Annex No. 1 — Commercial Proposal “BSI JT” dated 06.08.2026 (attached).</w:t>
      </w:r>
    </w:p>
    <w:p>
      <w:pPr>
        <w:spacing w:before="0" w:after="40" w:line="259" w:lineRule="auto"/>
      </w:pPr>
      <w:r>
        <w:rPr>
          <w:rFonts w:ascii="Times New Roman" w:hAnsi="Times New Roman" w:eastAsia="Times New Roman"/>
          <w:b w:val="0"/>
          <w:sz w:val="18"/>
        </w:rPr>
        <w:t>Annex No. 2 — JET Technic Company Card / payment details (attached).</w:t>
      </w:r>
    </w:p>
    <w:p>
      <w:pPr>
        <w:spacing w:before="120" w:after="80" w:line="259" w:lineRule="auto"/>
      </w:pPr>
      <w:r>
        <w:rPr>
          <w:rFonts w:ascii="Times New Roman" w:hAnsi="Times New Roman" w:eastAsia="Times New Roman"/>
          <w:b w:val="0"/>
          <w:sz w:val="16"/>
        </w:rPr>
        <w:t>DRAFT — for internal review. Not a signed contract. Placeholders “[●]” to be completed from the Company Card, Proposal and Customer data.</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