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Times New Roman" w:hAnsi="Times New Roman" w:eastAsia="Times New Roman"/>
          <w:b/>
          <w:sz w:val="24"/>
        </w:rPr>
        <w:t xml:space="preserve">ДОГОВОР ВОЗМЕЗДНОГО ОКАЗАНИЯ УСЛУГ № </w:t>
      </w:r>
      <w:r>
        <w:rPr>
          <w:rFonts w:ascii="Times New Roman" w:hAnsi="Times New Roman" w:eastAsia="Times New Roman"/>
          <w:b/>
          <w:sz w:val="24"/>
          <w:highlight w:val="yellow"/>
        </w:rPr>
        <w:t>____</w:t>
      </w:r>
      <w:r>
        <w:rPr>
          <w:rFonts w:ascii="Times New Roman" w:hAnsi="Times New Roman" w:eastAsia="Times New Roman"/>
          <w:b/>
          <w:sz w:val="24"/>
        </w:rPr>
        <w:t xml:space="preserve"> / JT-BSI-2026</w:t>
      </w:r>
    </w:p>
    <w:p>
      <w:pPr>
        <w:spacing w:before="0" w:after="20" w:line="252" w:lineRule="auto"/>
        <w:jc w:val="center"/>
      </w:pPr>
      <w:r>
        <w:rPr>
          <w:rFonts w:ascii="Times New Roman" w:hAnsi="Times New Roman" w:eastAsia="Times New Roman"/>
          <w:b/>
          <w:sz w:val="21"/>
        </w:rPr>
        <w:t>инспекция ВС и бороскопическая инспекция двигателей и ВСУ</w:t>
      </w:r>
    </w:p>
    <w:p>
      <w:pPr>
        <w:spacing w:before="0" w:after="60" w:line="252" w:lineRule="auto"/>
        <w:jc w:val="center"/>
      </w:pPr>
      <w:r>
        <w:rPr>
          <w:rFonts w:ascii="Times New Roman" w:hAnsi="Times New Roman" w:eastAsia="Times New Roman"/>
          <w:b/>
          <w:sz w:val="20"/>
        </w:rPr>
        <w:t>Boeing 737-500, регистрационный знак VQ-BOO</w:t>
      </w:r>
    </w:p>
    <w:p>
      <w:pPr>
        <w:spacing w:before="0" w:after="100" w:line="252" w:lineRule="auto"/>
        <w:jc w:val="center"/>
      </w:pPr>
      <w:r>
        <w:rPr>
          <w:rFonts w:ascii="Times New Roman" w:hAnsi="Times New Roman" w:eastAsia="Times New Roman"/>
          <w:b w:val="0"/>
          <w:sz w:val="19"/>
        </w:rPr>
        <w:t xml:space="preserve">Место заключения: </w:t>
      </w:r>
      <w:r>
        <w:rPr>
          <w:rFonts w:ascii="Times New Roman" w:hAnsi="Times New Roman" w:eastAsia="Times New Roman"/>
          <w:b w:val="0"/>
          <w:sz w:val="19"/>
          <w:highlight w:val="yellow"/>
        </w:rPr>
        <w:t>________________</w:t>
      </w:r>
      <w:r>
        <w:rPr>
          <w:rFonts w:ascii="Times New Roman" w:hAnsi="Times New Roman" w:eastAsia="Times New Roman"/>
          <w:b w:val="0"/>
          <w:sz w:val="19"/>
        </w:rPr>
        <w:t xml:space="preserve">    Дата: </w:t>
      </w:r>
      <w:r>
        <w:rPr>
          <w:rFonts w:ascii="Times New Roman" w:hAnsi="Times New Roman" w:eastAsia="Times New Roman"/>
          <w:b w:val="0"/>
          <w:sz w:val="19"/>
          <w:highlight w:val="yellow"/>
        </w:rPr>
        <w:t>«____»</w:t>
      </w:r>
      <w:r>
        <w:rPr>
          <w:rFonts w:ascii="Times New Roman" w:hAnsi="Times New Roman" w:eastAsia="Times New Roman"/>
          <w:b w:val="0"/>
          <w:sz w:val="19"/>
        </w:rPr>
        <w:t xml:space="preserve"> </w:t>
      </w:r>
      <w:r>
        <w:rPr>
          <w:rFonts w:ascii="Times New Roman" w:hAnsi="Times New Roman" w:eastAsia="Times New Roman"/>
          <w:b w:val="0"/>
          <w:sz w:val="19"/>
          <w:highlight w:val="yellow"/>
        </w:rPr>
        <w:t>____________</w:t>
      </w:r>
      <w:r>
        <w:rPr>
          <w:rFonts w:ascii="Times New Roman" w:hAnsi="Times New Roman" w:eastAsia="Times New Roman"/>
          <w:b w:val="0"/>
          <w:sz w:val="19"/>
        </w:rPr>
        <w:t xml:space="preserve"> 2026 г.</w:t>
      </w:r>
    </w:p>
    <w:p>
      <w:pPr>
        <w:spacing w:after="60" w:line="252" w:lineRule="auto"/>
        <w:jc w:val="both"/>
      </w:pPr>
      <w:r>
        <w:rPr>
          <w:rFonts w:ascii="Times New Roman" w:hAnsi="Times New Roman" w:eastAsia="Times New Roman"/>
          <w:b/>
          <w:sz w:val="20"/>
        </w:rPr>
        <w:t>JET TECHNIC / Hava Araclari Lojistik Sanayi ve Ticaret Anonim</w:t>
      </w:r>
      <w:r>
        <w:rPr>
          <w:rFonts w:ascii="Times New Roman" w:hAnsi="Times New Roman" w:eastAsia="Times New Roman"/>
          <w:b w:val="0"/>
          <w:sz w:val="20"/>
        </w:rPr>
        <w:t xml:space="preserve"> (Egitim Mahallesi, Fahrettin Kerim Gokay Caddesi, Ortaklar Is Merkezi, No: 71/57, Kadikoy, Istanbul, Turkey; Company No. 389609-5; Tax No. 484 212 4015; тел. +90 533 736 84 00; sales@jetechnic.com; «</w:t>
      </w:r>
      <w:r>
        <w:rPr>
          <w:rFonts w:ascii="Times New Roman" w:hAnsi="Times New Roman" w:eastAsia="Times New Roman"/>
          <w:b/>
          <w:sz w:val="20"/>
        </w:rPr>
        <w:t>Исполнитель</w:t>
      </w:r>
      <w:r>
        <w:rPr>
          <w:rFonts w:ascii="Times New Roman" w:hAnsi="Times New Roman" w:eastAsia="Times New Roman"/>
          <w:b w:val="0"/>
          <w:sz w:val="20"/>
        </w:rPr>
        <w:t>»), в лице Генерального директора Serdar Guler, с одной стороны, и</w:t>
      </w:r>
    </w:p>
    <w:p>
      <w:pPr>
        <w:spacing w:after="60" w:line="252" w:lineRule="auto"/>
        <w:jc w:val="both"/>
      </w:pPr>
      <w:r>
        <w:rPr>
          <w:rFonts w:ascii="Times New Roman" w:hAnsi="Times New Roman" w:eastAsia="Times New Roman"/>
          <w:b/>
          <w:sz w:val="20"/>
          <w:highlight w:val="yellow"/>
        </w:rPr>
        <w:t>[ПОЛНОЕ НАИМЕНОВАНИЕ ЗАКАЗЧИКА]</w:t>
      </w:r>
      <w:r>
        <w:rPr>
          <w:rFonts w:ascii="Times New Roman" w:hAnsi="Times New Roman" w:eastAsia="Times New Roman"/>
          <w:b w:val="0"/>
          <w:sz w:val="20"/>
        </w:rPr>
        <w:t xml:space="preserve"> (</w:t>
      </w:r>
      <w:r>
        <w:rPr>
          <w:rFonts w:ascii="Times New Roman" w:hAnsi="Times New Roman" w:eastAsia="Times New Roman"/>
          <w:b w:val="0"/>
          <w:sz w:val="20"/>
          <w:highlight w:val="yellow"/>
        </w:rPr>
        <w:t>[●]</w:t>
      </w:r>
      <w:r>
        <w:rPr>
          <w:rFonts w:ascii="Times New Roman" w:hAnsi="Times New Roman" w:eastAsia="Times New Roman"/>
          <w:b w:val="0"/>
          <w:sz w:val="20"/>
        </w:rPr>
        <w:t xml:space="preserve">; рег. / налог. номер: </w:t>
      </w:r>
      <w:r>
        <w:rPr>
          <w:rFonts w:ascii="Times New Roman" w:hAnsi="Times New Roman" w:eastAsia="Times New Roman"/>
          <w:b w:val="0"/>
          <w:sz w:val="20"/>
          <w:highlight w:val="yellow"/>
        </w:rPr>
        <w:t>[●]</w:t>
      </w:r>
      <w:r>
        <w:rPr>
          <w:rFonts w:ascii="Times New Roman" w:hAnsi="Times New Roman" w:eastAsia="Times New Roman"/>
          <w:b w:val="0"/>
          <w:sz w:val="20"/>
        </w:rPr>
        <w:t>; «</w:t>
      </w:r>
      <w:r>
        <w:rPr>
          <w:rFonts w:ascii="Times New Roman" w:hAnsi="Times New Roman" w:eastAsia="Times New Roman"/>
          <w:b/>
          <w:sz w:val="20"/>
        </w:rPr>
        <w:t>Заказчик</w:t>
      </w:r>
      <w:r>
        <w:rPr>
          <w:rFonts w:ascii="Times New Roman" w:hAnsi="Times New Roman" w:eastAsia="Times New Roman"/>
          <w:b w:val="0"/>
          <w:sz w:val="20"/>
        </w:rPr>
        <w:t xml:space="preserve">»), в лице </w:t>
      </w:r>
      <w:r>
        <w:rPr>
          <w:rFonts w:ascii="Times New Roman" w:hAnsi="Times New Roman" w:eastAsia="Times New Roman"/>
          <w:b w:val="0"/>
          <w:sz w:val="20"/>
          <w:highlight w:val="yellow"/>
        </w:rPr>
        <w:t>[ФИО, должность]</w:t>
      </w:r>
      <w:r>
        <w:rPr>
          <w:rFonts w:ascii="Times New Roman" w:hAnsi="Times New Roman" w:eastAsia="Times New Roman"/>
          <w:b w:val="0"/>
          <w:sz w:val="20"/>
        </w:rPr>
        <w:t xml:space="preserve"> на основании </w:t>
      </w:r>
      <w:r>
        <w:rPr>
          <w:rFonts w:ascii="Times New Roman" w:hAnsi="Times New Roman" w:eastAsia="Times New Roman"/>
          <w:b w:val="0"/>
          <w:sz w:val="20"/>
          <w:highlight w:val="yellow"/>
        </w:rPr>
        <w:t>[Устава / доверенности]</w:t>
      </w:r>
      <w:r>
        <w:rPr>
          <w:rFonts w:ascii="Times New Roman" w:hAnsi="Times New Roman" w:eastAsia="Times New Roman"/>
          <w:b w:val="0"/>
          <w:sz w:val="20"/>
        </w:rPr>
        <w:t>, с другой стороны,</w:t>
      </w:r>
    </w:p>
    <w:p>
      <w:pPr>
        <w:spacing w:before="0" w:after="8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договорились о нижеследующем:</w:t>
      </w:r>
    </w:p>
    <w:p>
      <w:pPr>
        <w:spacing w:before="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1. ПРЕДМЕТ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1.1. Исполнитель оказывает, а Заказчик принимает и оплачивает следующие услуги в отношении Boeing 737-500 VQ-BOO (далее — «ВС»):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(a) BSI двух (2) двигателей CFM56-3 (объём уточняется); (b) BSI ВСУ APS2000; (c) GVI ВС (шасси, кабина, отсек авионики); (d) проверка документации (двигатели, ВСУ); (e) транспорт и проживание Исполнителя в объёме, включённом в Цену.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1.2. Место оказания: JAT Tehnika, Белград, Сербия. Заказчик обеспечивает доступ в аэропорт и к ВС.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1.3. Результат: отчёт(ы) об инспекции / BSI и видеоматериалы BSI. BSI выполняет сертифицированный инженер.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2. СРОК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2.1. Ориентировочно 3 (три) дня с даты вступления Договора в силу и предоставления Заказчиком доступа и необходимой документации.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2.2. Заказчик принимает отчёт(ы) в течение 5 (пяти) рабочих дней либо направляет мотивированные возражения; иначе Услуги считаются принятыми.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3. ЦЕНА И ОПЛАТА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3.1. Общая Цена: USD 24 000,00 (двадцать четыре тысячи долларов США) без учёта налогов и сборов: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BSI CFM56-3 — 2 двигателя (объём уточняется) — USD 9 500,00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BSI ВСУ APS2000 — USD 4 000,00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GVI ВС (шасси, кабина, авионика) — USD 3 000,00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Проверка документации (двигатели, ВСУ) — USD 3 500,00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Транспорт и проживание — USD 4 000,00</w:t>
      </w:r>
    </w:p>
    <w:p>
      <w:pPr>
        <w:spacing w:before="0" w:after="60" w:line="252" w:lineRule="auto"/>
        <w:jc w:val="left"/>
      </w:pPr>
      <w:r>
        <w:rPr>
          <w:rFonts w:ascii="Times New Roman" w:hAnsi="Times New Roman" w:eastAsia="Times New Roman"/>
          <w:b/>
          <w:sz w:val="20"/>
        </w:rPr>
        <w:t>Итого: USD 24 000,00.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3.2. Вариант оплаты (выбрать один; остальные вычеркнуть):</w:t>
      </w:r>
    </w:p>
    <w:p>
      <w:pPr>
        <w:spacing w:before="0" w:after="20" w:line="252" w:lineRule="auto"/>
        <w:jc w:val="both"/>
      </w:pPr>
      <w:r>
        <w:rPr>
          <w:rFonts w:ascii="Times New Roman" w:hAnsi="Times New Roman" w:eastAsia="Times New Roman"/>
          <w:b w:val="0"/>
          <w:sz w:val="20"/>
          <w:highlight w:val="yellow"/>
        </w:rPr>
        <w:t>(A) 100% постоплата в течение 5 банковских дней после приёмки;</w:t>
      </w:r>
    </w:p>
    <w:p>
      <w:pPr>
        <w:spacing w:before="0" w:after="20" w:line="252" w:lineRule="auto"/>
        <w:jc w:val="both"/>
      </w:pPr>
      <w:r>
        <w:rPr>
          <w:rFonts w:ascii="Times New Roman" w:hAnsi="Times New Roman" w:eastAsia="Times New Roman"/>
          <w:b w:val="0"/>
          <w:sz w:val="20"/>
          <w:highlight w:val="yellow"/>
        </w:rPr>
        <w:t>(B) 50% по счёту и 50% в течение 5 банковских дней после приёмки; либо</w:t>
      </w:r>
    </w:p>
    <w:p>
      <w:pPr>
        <w:spacing w:before="0" w:after="20" w:line="252" w:lineRule="auto"/>
        <w:jc w:val="both"/>
      </w:pPr>
      <w:r>
        <w:rPr>
          <w:rFonts w:ascii="Times New Roman" w:hAnsi="Times New Roman" w:eastAsia="Times New Roman"/>
          <w:b w:val="0"/>
          <w:sz w:val="20"/>
          <w:highlight w:val="yellow"/>
        </w:rPr>
        <w:t>(C) 100% предоплата в течение 3 банковских дней с даты счёта.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  <w:highlight w:val="yellow"/>
        </w:rPr>
        <w:t>Если иное не выбрано письменно, применяется вариант (A).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3.3. Оплата в USD на счёт Исполнителя (раздел 7). Комиссии банка-отправителя — за счёт Заказчика.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3.4. Дополнительные работы — только по предварительному письменному согласованию и отдельной цене.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4. ОБЯЗАННОСТИ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4.1. Исполнитель оказывает Услуги профессионально, соблюдает правила ТБ и процедуры JAT Tehnika, передаёт отчёт(ы) и видеоматериалы BSI.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4.2. Заказчик своевременно обеспечивает доступ, координацию с JAT Tehnika, разрешения и документацию, оплату и контактное лицо.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4.3. Услуги носят инспекционный характер и не включают ремонт, устранение дефектов, подтверждение лётной годности и допуск к эксплуатации, если иное не согласовано письменно.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5. ОТВЕТСТВЕННОСТЬ И ФОРС-МАЖОР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5.1. За исключением умысла или грубой неосторожности ответственность Исполнителя ограничена фактически уплаченной Ценой. Стороны не отвечают за косвенные убытки.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5.2. Форс-мажор освобождает от ответственности на период его действия при своевременном уведомлении. При продолжении более 30 дней любая Сторона вправе расторгнуть Договор без штрафов с оплатой фактически оказанных Услуг.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6. ОБЩИЕ ПОЛОЖЕНИЯ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6.1. Договор вступает в силу с даты подписания и действует до полного исполнения.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6.2. Любая Сторона вправе расторгнуть Договор при существенном нарушении, не устранённом в течение 10 рабочих дней. Заказчик вправе отказаться до начала работ с возмещением документально подтверждённых расходов Исполнителя.</w:t>
      </w:r>
    </w:p>
    <w:p>
      <w:pPr>
        <w:spacing w:before="0" w:after="40" w:line="252" w:lineRule="auto"/>
        <w:jc w:val="both"/>
      </w:pPr>
      <w:r>
        <w:t>6.3. Изменения — только в письменной форме, подписанной обеими Сторонами (включая PDF-сканы подписанных оригиналов).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6.4. Конфиденциальная информация защищается в течение 3 лет после прекращения Договора.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6.5. Уведомления по email (раздел 7) считаются полученными на следующий рабочий день.</w:t>
      </w:r>
    </w:p>
    <w:p>
      <w:pPr>
        <w:spacing w:before="0" w:after="40" w:line="252" w:lineRule="auto"/>
        <w:jc w:val="both"/>
      </w:pPr>
      <w:r>
        <w:t>6.6. Применимое право — Турция. Споры, не урегулированные за 15 рабочих дней, передаются в суды Стамбула (язык — английский, если не согласовано иное).</w:t>
      </w:r>
    </w:p>
    <w:p>
      <w:pPr>
        <w:spacing w:before="40" w:after="6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7. РЕКВИЗИТЫ И ПОДПИСИ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</w:tcPr>
          <w:p>
            <w:r/>
            <w:r>
              <w:rPr>
                <w:rFonts w:ascii="Times New Roman" w:hAnsi="Times New Roman" w:eastAsia="Times New Roman"/>
                <w:b/>
                <w:sz w:val="19"/>
              </w:rPr>
              <w:t>ИСПОЛНИТЕЛЬ: JET TECHNIC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Hava Araclari Lojistik Sanayi ve Ticaret Anonim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Egitim Mahallesi, Fahrettin Kerim Gokay Caddesi, Ortaklar Is Merkezi, No: 71/57, Kadikoy, Istanbul, Turkey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Company No.: 389609-5   Tax No.: 484 212 4015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Банк: YAPI KREDI BANK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IBAN (USD): TR850006701000000015176740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SWIFT: YAPITRISXXX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Тел.: +90 533 736 84 00   Email: sales@jetechnic.com</w:t>
            </w:r>
          </w:p>
        </w:tc>
        <w:tc>
          <w:tcPr>
            <w:tcW w:type="dxa" w:w="5185"/>
          </w:tcPr>
          <w:p>
            <w:r/>
            <w:r>
              <w:rPr>
                <w:rFonts w:ascii="Times New Roman" w:hAnsi="Times New Roman" w:eastAsia="Times New Roman"/>
                <w:b/>
                <w:sz w:val="19"/>
              </w:rPr>
              <w:t>ЗАКАЗЧИК: 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Наименование: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Адрес: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Рег. / налог. номер: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Банк / IBAN / SWIFT: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Email: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   Тел.: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</w:tc>
      </w:tr>
      <w:tr>
        <w:tc>
          <w:tcPr>
            <w:tcW w:type="dxa" w:w="5185"/>
          </w:tcPr>
          <w:p>
            <w:r/>
            <w:r>
              <w:rPr>
                <w:rFonts w:ascii="Times New Roman" w:hAnsi="Times New Roman" w:eastAsia="Times New Roman"/>
                <w:b/>
                <w:sz w:val="19"/>
              </w:rPr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________________</w:t>
            </w: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 / Serdar Guler /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Генеральный директор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М.П.</w:t>
            </w:r>
          </w:p>
        </w:tc>
        <w:tc>
          <w:tcPr>
            <w:tcW w:type="dxa" w:w="5185"/>
          </w:tcPr>
          <w:p>
            <w:r/>
            <w:r>
              <w:rPr>
                <w:rFonts w:ascii="Times New Roman" w:hAnsi="Times New Roman" w:eastAsia="Times New Roman"/>
                <w:b/>
                <w:sz w:val="19"/>
              </w:rPr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________________</w:t>
            </w: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 /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[ФИО]</w:t>
            </w: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 /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Должность: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М.П.</w:t>
            </w:r>
          </w:p>
        </w:tc>
      </w:tr>
    </w:tbl>
    <w:p>
      <w:pPr>
        <w:spacing w:before="0" w:after="0" w:line="252" w:lineRule="auto"/>
        <w:jc w:val="left"/>
      </w:pPr>
      <w:r>
        <w:rPr>
          <w:rFonts w:ascii="Times New Roman" w:hAnsi="Times New Roman" w:eastAsia="Times New Roman"/>
          <w:b w:val="0"/>
          <w:sz w:val="16"/>
        </w:rPr>
        <w:t>ЧЕРНОВИК — не юридическая консультация.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80" w:right="850" w:bottom="850" w:left="102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666666"/>
        <w:sz w:val="15"/>
      </w:rPr>
      <w:t>Egitim Mahallesi, Fahrettin Kerim Gokay Caddesi, Ortaklar Ishani, N: 71/57, Kadikoy, 34722, Istanbul, Turkey  |  sales@jetechnic.com  |  jetechnic.com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3600000" cy="614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jet_technic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0" cy="61417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