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63AD3" w14:textId="77777777" w:rsidR="007B24BF" w:rsidRPr="007B24BF" w:rsidRDefault="007B24BF" w:rsidP="007B24BF">
      <w:pPr>
        <w:rPr>
          <w:b/>
          <w:bCs/>
        </w:rPr>
      </w:pPr>
      <w:r w:rsidRPr="007B24BF">
        <w:rPr>
          <w:b/>
          <w:bCs/>
        </w:rPr>
        <w:t>White Paper: Marktentwicklung Ladeinfrastruktur in Deutschland</w:t>
      </w:r>
    </w:p>
    <w:p w14:paraId="594B6AB8" w14:textId="77777777" w:rsidR="007B24BF" w:rsidRPr="007B24BF" w:rsidRDefault="007B24BF" w:rsidP="007B24BF">
      <w:pPr>
        <w:rPr>
          <w:b/>
          <w:bCs/>
        </w:rPr>
      </w:pPr>
      <w:r w:rsidRPr="007B24BF">
        <w:rPr>
          <w:b/>
          <w:bCs/>
        </w:rPr>
        <w:t>Einleitung</w:t>
      </w:r>
    </w:p>
    <w:p w14:paraId="3D4A0C48" w14:textId="77777777" w:rsidR="007B24BF" w:rsidRPr="007B24BF" w:rsidRDefault="007B24BF" w:rsidP="007B24BF">
      <w:r w:rsidRPr="007B24BF">
        <w:t>Die Elektromobilität in Deutschland verzeichnet ein starkes Wachstum. Mit steigender Nachfrage nach Elektrofahrzeugen wächst auch der Bedarf an flächendeckender Ladeinfrastruktur. Derzeit bestehen noch erhebliche Unterschiede in der regionalen Abdeckung, insbesondere zwischen urbanen und ländlichen Gebieten.</w:t>
      </w:r>
    </w:p>
    <w:p w14:paraId="5CC5EE29" w14:textId="77777777" w:rsidR="007B24BF" w:rsidRPr="007B24BF" w:rsidRDefault="007B24BF" w:rsidP="007B24BF">
      <w:pPr>
        <w:rPr>
          <w:b/>
          <w:bCs/>
        </w:rPr>
      </w:pPr>
      <w:r w:rsidRPr="007B24BF">
        <w:rPr>
          <w:b/>
          <w:bCs/>
        </w:rPr>
        <w:t>Status Quo</w:t>
      </w:r>
    </w:p>
    <w:p w14:paraId="304E8A17" w14:textId="77777777" w:rsidR="007B24BF" w:rsidRPr="007B24BF" w:rsidRDefault="007B24BF" w:rsidP="007B24BF">
      <w:r w:rsidRPr="007B24BF">
        <w:t>Laut Bundesnetzagentur existieren in Deutschland (Stand: März 2025) rund 115.000 öffentlich zugängliche Ladepunkte. Davon sind etwa 20 % Schnellladepunkte. Ballungsräume wie Berlin, München und Hamburg weisen eine vergleichsweise dichte Infrastruktur auf, während Flächenländer wie Mecklenburg-Vorpommern oder Teile von Bayern deutliche Lücken aufzeigen.</w:t>
      </w:r>
    </w:p>
    <w:p w14:paraId="50145D1C" w14:textId="77777777" w:rsidR="007B24BF" w:rsidRPr="007B24BF" w:rsidRDefault="007B24BF" w:rsidP="007B24BF">
      <w:pPr>
        <w:rPr>
          <w:b/>
          <w:bCs/>
        </w:rPr>
      </w:pPr>
      <w:r w:rsidRPr="007B24BF">
        <w:rPr>
          <w:b/>
          <w:bCs/>
        </w:rPr>
        <w:t>Regulatorische Rahmenbedingungen</w:t>
      </w:r>
    </w:p>
    <w:p w14:paraId="3844E353" w14:textId="77777777" w:rsidR="007B24BF" w:rsidRPr="007B24BF" w:rsidRDefault="007B24BF" w:rsidP="007B24BF">
      <w:r w:rsidRPr="007B24BF">
        <w:t>Die Bundesregierung verfolgt das Ziel, bis 2030 mindestens 1 Million Ladepunkte zu errichten. Förderprogramme wie die „Ladeinfrastruktur vor Ort“ unterstützen Kommunen und Unternehmen. Die Novellierung der Ladesäulenverordnung (LSV) schreibt künftig eine einheitliche Bezahlmöglichkeit (u.</w:t>
      </w:r>
      <w:r w:rsidRPr="007B24BF">
        <w:rPr>
          <w:rFonts w:ascii="Arial" w:hAnsi="Arial" w:cs="Arial"/>
        </w:rPr>
        <w:t> </w:t>
      </w:r>
      <w:r w:rsidRPr="007B24BF">
        <w:t>a. kontaktlos) vor und soll den Ausbau beschleunigen.</w:t>
      </w:r>
    </w:p>
    <w:p w14:paraId="45D1AD0F" w14:textId="77777777" w:rsidR="007B24BF" w:rsidRPr="007B24BF" w:rsidRDefault="007B24BF" w:rsidP="007B24BF">
      <w:pPr>
        <w:rPr>
          <w:b/>
          <w:bCs/>
        </w:rPr>
      </w:pPr>
      <w:r w:rsidRPr="007B24BF">
        <w:rPr>
          <w:b/>
          <w:bCs/>
        </w:rPr>
        <w:t>Markttreiber &amp; Herausforderungen</w:t>
      </w:r>
    </w:p>
    <w:p w14:paraId="17E90459" w14:textId="77777777" w:rsidR="007B24BF" w:rsidRPr="007B24BF" w:rsidRDefault="007B24BF" w:rsidP="007B24BF">
      <w:r w:rsidRPr="007B24BF">
        <w:rPr>
          <w:b/>
          <w:bCs/>
        </w:rPr>
        <w:t>Treiber:</w:t>
      </w:r>
    </w:p>
    <w:p w14:paraId="61589363" w14:textId="77777777" w:rsidR="007B24BF" w:rsidRPr="007B24BF" w:rsidRDefault="007B24BF" w:rsidP="007B24BF">
      <w:pPr>
        <w:numPr>
          <w:ilvl w:val="0"/>
          <w:numId w:val="1"/>
        </w:numPr>
      </w:pPr>
      <w:r w:rsidRPr="007B24BF">
        <w:t>Steigende Zulassungen von E-Autos (über 2 Mio. Fahrzeuge in 2024)</w:t>
      </w:r>
    </w:p>
    <w:p w14:paraId="1E1B1AA1" w14:textId="77777777" w:rsidR="007B24BF" w:rsidRPr="007B24BF" w:rsidRDefault="007B24BF" w:rsidP="007B24BF">
      <w:pPr>
        <w:numPr>
          <w:ilvl w:val="0"/>
          <w:numId w:val="1"/>
        </w:numPr>
      </w:pPr>
      <w:r w:rsidRPr="007B24BF">
        <w:t>Förderungen für Ladepunkte im privaten und öffentlichen Raum</w:t>
      </w:r>
    </w:p>
    <w:p w14:paraId="10D947EA" w14:textId="77777777" w:rsidR="007B24BF" w:rsidRPr="007B24BF" w:rsidRDefault="007B24BF" w:rsidP="007B24BF">
      <w:pPr>
        <w:numPr>
          <w:ilvl w:val="0"/>
          <w:numId w:val="1"/>
        </w:numPr>
      </w:pPr>
      <w:r w:rsidRPr="007B24BF">
        <w:t>Ausbau der Schnellladeinfrastruktur entlang der Autobahnen</w:t>
      </w:r>
    </w:p>
    <w:p w14:paraId="7AA8A309" w14:textId="77777777" w:rsidR="007B24BF" w:rsidRPr="007B24BF" w:rsidRDefault="007B24BF" w:rsidP="007B24BF">
      <w:r w:rsidRPr="007B24BF">
        <w:rPr>
          <w:b/>
          <w:bCs/>
        </w:rPr>
        <w:t>Herausforderungen:</w:t>
      </w:r>
    </w:p>
    <w:p w14:paraId="328397F7" w14:textId="77777777" w:rsidR="007B24BF" w:rsidRPr="007B24BF" w:rsidRDefault="007B24BF" w:rsidP="007B24BF">
      <w:pPr>
        <w:numPr>
          <w:ilvl w:val="0"/>
          <w:numId w:val="2"/>
        </w:numPr>
      </w:pPr>
      <w:r w:rsidRPr="007B24BF">
        <w:t>Netzanschlussprobleme in ländlichen Regionen</w:t>
      </w:r>
    </w:p>
    <w:p w14:paraId="7D69B6C5" w14:textId="77777777" w:rsidR="007B24BF" w:rsidRPr="007B24BF" w:rsidRDefault="007B24BF" w:rsidP="007B24BF">
      <w:pPr>
        <w:numPr>
          <w:ilvl w:val="0"/>
          <w:numId w:val="2"/>
        </w:numPr>
      </w:pPr>
      <w:r w:rsidRPr="007B24BF">
        <w:t>Hohes Investitionsvolumen für Gleichstrom-Technologie</w:t>
      </w:r>
    </w:p>
    <w:p w14:paraId="5B958DD0" w14:textId="77777777" w:rsidR="007B24BF" w:rsidRPr="007B24BF" w:rsidRDefault="007B24BF" w:rsidP="007B24BF">
      <w:pPr>
        <w:numPr>
          <w:ilvl w:val="0"/>
          <w:numId w:val="2"/>
        </w:numPr>
      </w:pPr>
      <w:r w:rsidRPr="007B24BF">
        <w:t>Uneinheitliche Nutzererfahrung aufgrund verschiedener Anbieterplattformen</w:t>
      </w:r>
    </w:p>
    <w:p w14:paraId="136E5449" w14:textId="77777777" w:rsidR="007B24BF" w:rsidRPr="007B24BF" w:rsidRDefault="007B24BF" w:rsidP="007B24BF">
      <w:pPr>
        <w:rPr>
          <w:b/>
          <w:bCs/>
        </w:rPr>
      </w:pPr>
      <w:r w:rsidRPr="007B24BF">
        <w:rPr>
          <w:b/>
          <w:bCs/>
        </w:rPr>
        <w:t>Ausblick</w:t>
      </w:r>
    </w:p>
    <w:p w14:paraId="0AA42155" w14:textId="77777777" w:rsidR="007B24BF" w:rsidRPr="007B24BF" w:rsidRDefault="007B24BF" w:rsidP="007B24BF">
      <w:r w:rsidRPr="007B24BF">
        <w:t>Die Ladeinfrastruktur wird zum entscheidenden Standortfaktor – für Verbraucher, aber auch für Handel, Gastronomie und Gewerbe. Experten prognostizieren ein Marktwachstum von über 15</w:t>
      </w:r>
      <w:r w:rsidRPr="007B24BF">
        <w:rPr>
          <w:rFonts w:ascii="Arial" w:hAnsi="Arial" w:cs="Arial"/>
        </w:rPr>
        <w:t> </w:t>
      </w:r>
      <w:r w:rsidRPr="007B24BF">
        <w:t>% j</w:t>
      </w:r>
      <w:r w:rsidRPr="007B24BF">
        <w:rPr>
          <w:rFonts w:ascii="Aptos" w:hAnsi="Aptos" w:cs="Aptos"/>
        </w:rPr>
        <w:t>ä</w:t>
      </w:r>
      <w:r w:rsidRPr="007B24BF">
        <w:t>hrlich bis 2030. Neue Konzepte wie bidirektionales Laden, mobile Ladestationen oder kombinierte Energie-Hubs (PV + Speicher + Lades</w:t>
      </w:r>
      <w:r w:rsidRPr="007B24BF">
        <w:rPr>
          <w:rFonts w:ascii="Aptos" w:hAnsi="Aptos" w:cs="Aptos"/>
        </w:rPr>
        <w:t>ä</w:t>
      </w:r>
      <w:r w:rsidRPr="007B24BF">
        <w:t>ule) werden die Marktstruktur ver</w:t>
      </w:r>
      <w:r w:rsidRPr="007B24BF">
        <w:rPr>
          <w:rFonts w:ascii="Aptos" w:hAnsi="Aptos" w:cs="Aptos"/>
        </w:rPr>
        <w:t>ä</w:t>
      </w:r>
      <w:r w:rsidRPr="007B24BF">
        <w:t>ndern.</w:t>
      </w:r>
    </w:p>
    <w:p w14:paraId="559F5ED1" w14:textId="77777777" w:rsidR="007B24BF" w:rsidRPr="007B24BF" w:rsidRDefault="007B24BF" w:rsidP="007B24BF">
      <w:pPr>
        <w:rPr>
          <w:b/>
          <w:bCs/>
        </w:rPr>
      </w:pPr>
      <w:r w:rsidRPr="007B24BF">
        <w:rPr>
          <w:b/>
          <w:bCs/>
        </w:rPr>
        <w:lastRenderedPageBreak/>
        <w:t>Fazit</w:t>
      </w:r>
    </w:p>
    <w:p w14:paraId="5E0566D1" w14:textId="77777777" w:rsidR="007B24BF" w:rsidRPr="007B24BF" w:rsidRDefault="007B24BF" w:rsidP="007B24BF">
      <w:r w:rsidRPr="007B24BF">
        <w:t>Deutschland steht bei der Ladeinfrastruktur an einem Wendepunkt. Der regulatorische Druck und die Marktdynamik eröffnen Chancen für Anbieter, die standardisierte, benutzerfreundliche und skalierbare Lösungen bieten.</w:t>
      </w:r>
    </w:p>
    <w:p w14:paraId="1046598A" w14:textId="77777777" w:rsidR="007B24BF" w:rsidRPr="007B24BF" w:rsidRDefault="007B24BF" w:rsidP="007B24BF">
      <w:r w:rsidRPr="007B24BF">
        <w:pict w14:anchorId="0D83E71F">
          <v:rect id="_x0000_i1031" style="width:0;height:1.5pt" o:hralign="center" o:hrstd="t" o:hr="t" fillcolor="#a0a0a0" stroked="f"/>
        </w:pict>
      </w:r>
    </w:p>
    <w:p w14:paraId="75E5AF0A" w14:textId="77777777" w:rsidR="007B24BF" w:rsidRPr="007B24BF" w:rsidRDefault="007B24BF" w:rsidP="007B24BF">
      <w:r w:rsidRPr="007B24BF">
        <w:rPr>
          <w:i/>
          <w:iCs/>
        </w:rPr>
        <w:t>Hinweis: Dieses White Paper dient ausschließlich zu Demonstrationszwecken im Rahmen des Workshops „ChatGPT meets Microsoft“.</w:t>
      </w:r>
    </w:p>
    <w:p w14:paraId="2681C7E1" w14:textId="77777777" w:rsidR="00061587" w:rsidRDefault="00061587"/>
    <w:sectPr w:rsidR="00061587" w:rsidSect="00B07740">
      <w:pgSz w:w="11900" w:h="16840"/>
      <w:pgMar w:top="1701" w:right="1417" w:bottom="1134" w:left="1417" w:header="709"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43EE4"/>
    <w:multiLevelType w:val="multilevel"/>
    <w:tmpl w:val="EBF6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BF3D72"/>
    <w:multiLevelType w:val="multilevel"/>
    <w:tmpl w:val="E8AC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008927">
    <w:abstractNumId w:val="1"/>
  </w:num>
  <w:num w:numId="2" w16cid:durableId="72799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90F"/>
    <w:rsid w:val="00061587"/>
    <w:rsid w:val="007833D8"/>
    <w:rsid w:val="007B24BF"/>
    <w:rsid w:val="00B07740"/>
    <w:rsid w:val="00B435E5"/>
    <w:rsid w:val="00CE6576"/>
    <w:rsid w:val="00DD690F"/>
    <w:rsid w:val="00F70C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5B1823-5114-4899-94E5-79745C47D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D6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D6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D690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D690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D690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D690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D690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D690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D690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690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D690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D690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D690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D690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D690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D690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D690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D690F"/>
    <w:rPr>
      <w:rFonts w:eastAsiaTheme="majorEastAsia" w:cstheme="majorBidi"/>
      <w:color w:val="272727" w:themeColor="text1" w:themeTint="D8"/>
    </w:rPr>
  </w:style>
  <w:style w:type="paragraph" w:styleId="Titel">
    <w:name w:val="Title"/>
    <w:basedOn w:val="Standard"/>
    <w:next w:val="Standard"/>
    <w:link w:val="TitelZchn"/>
    <w:uiPriority w:val="10"/>
    <w:qFormat/>
    <w:rsid w:val="00DD6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690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D690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D690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D690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D690F"/>
    <w:rPr>
      <w:i/>
      <w:iCs/>
      <w:color w:val="404040" w:themeColor="text1" w:themeTint="BF"/>
    </w:rPr>
  </w:style>
  <w:style w:type="paragraph" w:styleId="Listenabsatz">
    <w:name w:val="List Paragraph"/>
    <w:basedOn w:val="Standard"/>
    <w:uiPriority w:val="34"/>
    <w:qFormat/>
    <w:rsid w:val="00DD690F"/>
    <w:pPr>
      <w:ind w:left="720"/>
      <w:contextualSpacing/>
    </w:pPr>
  </w:style>
  <w:style w:type="character" w:styleId="IntensiveHervorhebung">
    <w:name w:val="Intense Emphasis"/>
    <w:basedOn w:val="Absatz-Standardschriftart"/>
    <w:uiPriority w:val="21"/>
    <w:qFormat/>
    <w:rsid w:val="00DD690F"/>
    <w:rPr>
      <w:i/>
      <w:iCs/>
      <w:color w:val="0F4761" w:themeColor="accent1" w:themeShade="BF"/>
    </w:rPr>
  </w:style>
  <w:style w:type="paragraph" w:styleId="IntensivesZitat">
    <w:name w:val="Intense Quote"/>
    <w:basedOn w:val="Standard"/>
    <w:next w:val="Standard"/>
    <w:link w:val="IntensivesZitatZchn"/>
    <w:uiPriority w:val="30"/>
    <w:qFormat/>
    <w:rsid w:val="00DD6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D690F"/>
    <w:rPr>
      <w:i/>
      <w:iCs/>
      <w:color w:val="0F4761" w:themeColor="accent1" w:themeShade="BF"/>
    </w:rPr>
  </w:style>
  <w:style w:type="character" w:styleId="IntensiverVerweis">
    <w:name w:val="Intense Reference"/>
    <w:basedOn w:val="Absatz-Standardschriftart"/>
    <w:uiPriority w:val="32"/>
    <w:qFormat/>
    <w:rsid w:val="00DD69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694830">
      <w:bodyDiv w:val="1"/>
      <w:marLeft w:val="0"/>
      <w:marRight w:val="0"/>
      <w:marTop w:val="0"/>
      <w:marBottom w:val="0"/>
      <w:divBdr>
        <w:top w:val="none" w:sz="0" w:space="0" w:color="auto"/>
        <w:left w:val="none" w:sz="0" w:space="0" w:color="auto"/>
        <w:bottom w:val="none" w:sz="0" w:space="0" w:color="auto"/>
        <w:right w:val="none" w:sz="0" w:space="0" w:color="auto"/>
      </w:divBdr>
    </w:div>
    <w:div w:id="134107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1979</Characters>
  <Application>Microsoft Office Word</Application>
  <DocSecurity>0</DocSecurity>
  <Lines>73</Lines>
  <Paragraphs>64</Paragraphs>
  <ScaleCrop>false</ScaleCrop>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Schönfeld</dc:creator>
  <cp:keywords/>
  <dc:description/>
  <cp:lastModifiedBy>Alexander Schönfeld</cp:lastModifiedBy>
  <cp:revision>2</cp:revision>
  <dcterms:created xsi:type="dcterms:W3CDTF">2025-05-14T10:50:00Z</dcterms:created>
  <dcterms:modified xsi:type="dcterms:W3CDTF">2025-05-14T10:50:00Z</dcterms:modified>
</cp:coreProperties>
</file>