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DISPERON SHA v2 — LEGAL &amp; COMMERCIAL ISSUES REGISTER</w:t>
      </w:r>
    </w:p>
    <w:p>
      <w:pPr>
        <w:jc w:val="center"/>
      </w:pPr>
      <w:r>
        <w:rPr>
          <w:i/>
          <w:color w:val="404040"/>
          <w:sz w:val="18"/>
        </w:rPr>
        <w:t>Lighthief EUBESS Ltd (HE 474192)  ·  Prepared: April 2026  ·  CONFIDENTIAL</w:t>
      </w:r>
    </w:p>
    <w:p/>
    <w:tbl>
      <w:tblPr>
        <w:tblStyle w:val="TableGrid"/>
        <w:tblW w:type="auto" w:w="0"/>
        <w:tblLook w:firstColumn="1" w:firstRow="1" w:lastColumn="0" w:lastRow="0" w:noHBand="0" w:noVBand="1" w:val="04A0"/>
      </w:tblPr>
      <w:tblGrid>
        <w:gridCol w:w="9406"/>
      </w:tblGrid>
      <w:tr>
        <w:tc>
          <w:tcPr>
            <w:tcW w:type="dxa" w:w="9406"/>
            <w:shd w:val="clear" w:color="auto" w:fill="EEF3FB"/>
          </w:tcPr>
          <w:p>
            <w:r>
              <w:rPr>
                <w:b/>
                <w:color w:val="1F497D"/>
                <w:sz w:val="22"/>
              </w:rPr>
              <w:t>EXECUTIVE SUMMARY</w:t>
              <w:br/>
            </w:r>
            <w:r>
              <w:rPr>
                <w:color w:val="000000"/>
                <w:sz w:val="20"/>
              </w:rPr>
              <w:t>This document identifies 11 legal and commercial issues in the DISPERON SHA v2 between Lighthief EUBESS Ltd, the Voltus Parties, and individual shareholders. Issues are graded CRITICAL / HIGH / MEDIUM / LOW. A revised clean draft (SHA v3) incorporating all proposed fixes accompanies this register.</w:t>
            </w:r>
          </w:p>
        </w:tc>
      </w:tr>
    </w:tbl>
    <w:p/>
    <w:p>
      <w:pPr>
        <w:pStyle w:val="Heading2"/>
        <w:jc w:val="left"/>
      </w:pPr>
      <w:r>
        <w:rPr>
          <w:b/>
          <w:color w:val="1F497D"/>
        </w:rPr>
        <w:t>PRIORITY LEGEND</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color w:val="FF0000"/>
                <w:sz w:val="18"/>
              </w:rPr>
              <w:t>🔴  CRITICAL</w:t>
              <w:br/>
            </w:r>
            <w:r>
              <w:rPr>
                <w:color w:val="404040"/>
                <w:sz w:val="16"/>
              </w:rPr>
              <w:t>Contract cannot safely be signed</w:t>
            </w:r>
          </w:p>
        </w:tc>
        <w:tc>
          <w:tcPr>
            <w:tcW w:type="dxa" w:w="2351"/>
          </w:tcPr>
          <w:p>
            <w:r>
              <w:rPr>
                <w:b/>
                <w:color w:val="FF8000"/>
                <w:sz w:val="18"/>
              </w:rPr>
              <w:t>🟡  HIGH</w:t>
              <w:br/>
            </w:r>
            <w:r>
              <w:rPr>
                <w:color w:val="404040"/>
                <w:sz w:val="16"/>
              </w:rPr>
              <w:t>Significant commercial exposure</w:t>
            </w:r>
          </w:p>
        </w:tc>
        <w:tc>
          <w:tcPr>
            <w:tcW w:type="dxa" w:w="2351"/>
          </w:tcPr>
          <w:p>
            <w:r>
              <w:rPr>
                <w:b/>
                <w:color w:val="1F497D"/>
                <w:sz w:val="18"/>
              </w:rPr>
              <w:t>🔵  MEDIUM</w:t>
              <w:br/>
            </w:r>
            <w:r>
              <w:rPr>
                <w:color w:val="404040"/>
                <w:sz w:val="16"/>
              </w:rPr>
              <w:t>Manageable but should be addressed</w:t>
            </w:r>
          </w:p>
        </w:tc>
        <w:tc>
          <w:tcPr>
            <w:tcW w:type="dxa" w:w="2351"/>
          </w:tcPr>
          <w:p>
            <w:r>
              <w:rPr>
                <w:b/>
                <w:color w:val="606060"/>
                <w:sz w:val="18"/>
              </w:rPr>
              <w:t>⚪  LOW</w:t>
              <w:br/>
            </w:r>
            <w:r>
              <w:rPr>
                <w:color w:val="404040"/>
                <w:sz w:val="16"/>
              </w:rPr>
              <w:t>Administrative / clarification</w:t>
            </w:r>
          </w:p>
        </w:tc>
      </w:tr>
    </w:tbl>
    <w:p/>
    <w:p>
      <w:pPr>
        <w:pStyle w:val="Heading2"/>
        <w:jc w:val="left"/>
      </w:pPr>
      <w:r>
        <w:rPr>
          <w:b/>
          <w:color w:val="1F497D"/>
        </w:rPr>
        <w:t>ISSUES SUMMARY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b/>
                <w:color w:val="FFFFFF"/>
                <w:sz w:val="18"/>
              </w:rPr>
              <w:t>#</w:t>
            </w:r>
          </w:p>
        </w:tc>
        <w:tc>
          <w:tcPr>
            <w:tcW w:type="dxa" w:w="1881"/>
            <w:shd w:val="clear" w:color="auto" w:fill="1F497D"/>
          </w:tcPr>
          <w:p>
            <w:r>
              <w:rPr>
                <w:b/>
                <w:color w:val="FFFFFF"/>
                <w:sz w:val="18"/>
              </w:rPr>
              <w:t>Issue</w:t>
            </w:r>
          </w:p>
        </w:tc>
        <w:tc>
          <w:tcPr>
            <w:tcW w:type="dxa" w:w="1881"/>
            <w:shd w:val="clear" w:color="auto" w:fill="1F497D"/>
          </w:tcPr>
          <w:p>
            <w:r>
              <w:rPr>
                <w:b/>
                <w:color w:val="FFFFFF"/>
                <w:sz w:val="18"/>
              </w:rPr>
              <w:t>Article(s)</w:t>
            </w:r>
          </w:p>
        </w:tc>
        <w:tc>
          <w:tcPr>
            <w:tcW w:type="dxa" w:w="1881"/>
            <w:shd w:val="clear" w:color="auto" w:fill="1F497D"/>
          </w:tcPr>
          <w:p>
            <w:r>
              <w:rPr>
                <w:b/>
                <w:color w:val="FFFFFF"/>
                <w:sz w:val="18"/>
              </w:rPr>
              <w:t>Priority</w:t>
            </w:r>
          </w:p>
        </w:tc>
        <w:tc>
          <w:tcPr>
            <w:tcW w:type="dxa" w:w="1881"/>
            <w:shd w:val="clear" w:color="auto" w:fill="1F497D"/>
          </w:tcPr>
          <w:p>
            <w:r>
              <w:rPr>
                <w:b/>
                <w:color w:val="FFFFFF"/>
                <w:sz w:val="18"/>
              </w:rPr>
              <w:t>Status</w:t>
            </w:r>
          </w:p>
        </w:tc>
      </w:tr>
      <w:tr>
        <w:tc>
          <w:tcPr>
            <w:tcW w:type="dxa" w:w="1881"/>
          </w:tcPr>
          <w:p>
            <w:r>
              <w:rPr>
                <w:b/>
                <w:sz w:val="18"/>
              </w:rPr>
              <w:t>1</w:t>
            </w:r>
          </w:p>
        </w:tc>
        <w:tc>
          <w:tcPr>
            <w:tcW w:type="dxa" w:w="1881"/>
          </w:tcPr>
          <w:p>
            <w:r>
              <w:rPr>
                <w:sz w:val="18"/>
              </w:rPr>
              <w:t>Per-project licence fee — no formula or schedule</w:t>
            </w:r>
          </w:p>
        </w:tc>
        <w:tc>
          <w:tcPr>
            <w:tcW w:type="dxa" w:w="1881"/>
          </w:tcPr>
          <w:p>
            <w:r>
              <w:rPr>
                <w:sz w:val="18"/>
              </w:rPr>
              <w:t>Art 6.1(a)</w:t>
            </w:r>
          </w:p>
        </w:tc>
        <w:tc>
          <w:tcPr>
            <w:tcW w:type="dxa" w:w="1881"/>
            <w:shd w:val="clear" w:color="auto" w:fill="FFE0E0"/>
          </w:tcPr>
          <w:p>
            <w:r>
              <w:rPr>
                <w:sz w:val="18"/>
              </w:rPr>
              <w:t>🔴 CRITICAL</w:t>
            </w:r>
          </w:p>
        </w:tc>
        <w:tc>
          <w:tcPr>
            <w:tcW w:type="dxa" w:w="1881"/>
          </w:tcPr>
          <w:p>
            <w:r>
              <w:rPr>
                <w:sz w:val="18"/>
              </w:rPr>
              <w:t>OPEN</w:t>
            </w:r>
          </w:p>
        </w:tc>
      </w:tr>
      <w:tr>
        <w:tc>
          <w:tcPr>
            <w:tcW w:type="dxa" w:w="1881"/>
          </w:tcPr>
          <w:p>
            <w:r>
              <w:rPr>
                <w:b/>
                <w:sz w:val="18"/>
              </w:rPr>
              <w:t>2</w:t>
            </w:r>
          </w:p>
        </w:tc>
        <w:tc>
          <w:tcPr>
            <w:tcW w:type="dxa" w:w="1881"/>
          </w:tcPr>
          <w:p>
            <w:r>
              <w:rPr>
                <w:sz w:val="18"/>
              </w:rPr>
              <w:t>No source code escrow — perpetual licence is hollow</w:t>
            </w:r>
          </w:p>
        </w:tc>
        <w:tc>
          <w:tcPr>
            <w:tcW w:type="dxa" w:w="1881"/>
          </w:tcPr>
          <w:p>
            <w:r>
              <w:rPr>
                <w:sz w:val="18"/>
              </w:rPr>
              <w:t>Art 6.3</w:t>
            </w:r>
          </w:p>
        </w:tc>
        <w:tc>
          <w:tcPr>
            <w:tcW w:type="dxa" w:w="1881"/>
            <w:shd w:val="clear" w:color="auto" w:fill="FFE0E0"/>
          </w:tcPr>
          <w:p>
            <w:r>
              <w:rPr>
                <w:sz w:val="18"/>
              </w:rPr>
              <w:t>🔴 CRITICAL</w:t>
            </w:r>
          </w:p>
        </w:tc>
        <w:tc>
          <w:tcPr>
            <w:tcW w:type="dxa" w:w="1881"/>
          </w:tcPr>
          <w:p>
            <w:r>
              <w:rPr>
                <w:sz w:val="18"/>
              </w:rPr>
              <w:t>OPEN</w:t>
            </w:r>
          </w:p>
        </w:tc>
      </w:tr>
      <w:tr>
        <w:tc>
          <w:tcPr>
            <w:tcW w:type="dxa" w:w="1881"/>
          </w:tcPr>
          <w:p>
            <w:r>
              <w:rPr>
                <w:b/>
                <w:sz w:val="18"/>
              </w:rPr>
              <w:t>3</w:t>
            </w:r>
          </w:p>
        </w:tc>
        <w:tc>
          <w:tcPr>
            <w:tcW w:type="dxa" w:w="1881"/>
          </w:tcPr>
          <w:p>
            <w:r>
              <w:rPr>
                <w:sz w:val="18"/>
              </w:rPr>
              <w:t>Linyang Exhibit B bypasses DISPERON commercial logic</w:t>
            </w:r>
          </w:p>
        </w:tc>
        <w:tc>
          <w:tcPr>
            <w:tcW w:type="dxa" w:w="1881"/>
          </w:tcPr>
          <w:p>
            <w:r>
              <w:rPr>
                <w:sz w:val="18"/>
              </w:rPr>
              <w:t>Art 8.6, Ex B</w:t>
            </w:r>
          </w:p>
        </w:tc>
        <w:tc>
          <w:tcPr>
            <w:tcW w:type="dxa" w:w="1881"/>
            <w:shd w:val="clear" w:color="auto" w:fill="FFE0E0"/>
          </w:tcPr>
          <w:p>
            <w:r>
              <w:rPr>
                <w:sz w:val="18"/>
              </w:rPr>
              <w:t>🔴 CRITICAL</w:t>
            </w:r>
          </w:p>
        </w:tc>
        <w:tc>
          <w:tcPr>
            <w:tcW w:type="dxa" w:w="1881"/>
          </w:tcPr>
          <w:p>
            <w:r>
              <w:rPr>
                <w:sz w:val="18"/>
              </w:rPr>
              <w:t>OPEN</w:t>
            </w:r>
          </w:p>
        </w:tc>
      </w:tr>
      <w:tr>
        <w:tc>
          <w:tcPr>
            <w:tcW w:type="dxa" w:w="1881"/>
          </w:tcPr>
          <w:p>
            <w:r>
              <w:rPr>
                <w:b/>
                <w:sz w:val="18"/>
              </w:rPr>
              <w:t>4</w:t>
            </w:r>
          </w:p>
        </w:tc>
        <w:tc>
          <w:tcPr>
            <w:tcW w:type="dxa" w:w="1881"/>
          </w:tcPr>
          <w:p>
            <w:r>
              <w:rPr>
                <w:sz w:val="18"/>
              </w:rPr>
              <w:t>Software Margin definition is ambiguous</w:t>
            </w:r>
          </w:p>
        </w:tc>
        <w:tc>
          <w:tcPr>
            <w:tcW w:type="dxa" w:w="1881"/>
          </w:tcPr>
          <w:p>
            <w:r>
              <w:rPr>
                <w:sz w:val="18"/>
              </w:rPr>
              <w:t>Art 6.4(b)</w:t>
            </w:r>
          </w:p>
        </w:tc>
        <w:tc>
          <w:tcPr>
            <w:tcW w:type="dxa" w:w="1881"/>
            <w:shd w:val="clear" w:color="auto" w:fill="FFF3CD"/>
          </w:tcPr>
          <w:p>
            <w:r>
              <w:rPr>
                <w:sz w:val="18"/>
              </w:rPr>
              <w:t>🟡 HIGH</w:t>
            </w:r>
          </w:p>
        </w:tc>
        <w:tc>
          <w:tcPr>
            <w:tcW w:type="dxa" w:w="1881"/>
          </w:tcPr>
          <w:p>
            <w:r>
              <w:rPr>
                <w:sz w:val="18"/>
              </w:rPr>
              <w:t>OPEN</w:t>
            </w:r>
          </w:p>
        </w:tc>
      </w:tr>
      <w:tr>
        <w:tc>
          <w:tcPr>
            <w:tcW w:type="dxa" w:w="1881"/>
          </w:tcPr>
          <w:p>
            <w:r>
              <w:rPr>
                <w:b/>
                <w:sz w:val="18"/>
              </w:rPr>
              <w:t>5</w:t>
            </w:r>
          </w:p>
        </w:tc>
        <w:tc>
          <w:tcPr>
            <w:tcW w:type="dxa" w:w="1881"/>
          </w:tcPr>
          <w:p>
            <w:r>
              <w:rPr>
                <w:sz w:val="18"/>
              </w:rPr>
              <w:t>Development Bonus rate deferred post-signing</w:t>
            </w:r>
          </w:p>
        </w:tc>
        <w:tc>
          <w:tcPr>
            <w:tcW w:type="dxa" w:w="1881"/>
          </w:tcPr>
          <w:p>
            <w:r>
              <w:rPr>
                <w:sz w:val="18"/>
              </w:rPr>
              <w:t>Art 6.4(b)</w:t>
            </w:r>
          </w:p>
        </w:tc>
        <w:tc>
          <w:tcPr>
            <w:tcW w:type="dxa" w:w="1881"/>
            <w:shd w:val="clear" w:color="auto" w:fill="FFF3CD"/>
          </w:tcPr>
          <w:p>
            <w:r>
              <w:rPr>
                <w:sz w:val="18"/>
              </w:rPr>
              <w:t>🟡 HIGH</w:t>
            </w:r>
          </w:p>
        </w:tc>
        <w:tc>
          <w:tcPr>
            <w:tcW w:type="dxa" w:w="1881"/>
          </w:tcPr>
          <w:p>
            <w:r>
              <w:rPr>
                <w:sz w:val="18"/>
              </w:rPr>
              <w:t>OPEN</w:t>
            </w:r>
          </w:p>
        </w:tc>
      </w:tr>
      <w:tr>
        <w:tc>
          <w:tcPr>
            <w:tcW w:type="dxa" w:w="1881"/>
          </w:tcPr>
          <w:p>
            <w:r>
              <w:rPr>
                <w:b/>
                <w:sz w:val="18"/>
              </w:rPr>
              <w:t>6</w:t>
            </w:r>
          </w:p>
        </w:tc>
        <w:tc>
          <w:tcPr>
            <w:tcW w:type="dxa" w:w="1881"/>
          </w:tcPr>
          <w:p>
            <w:r>
              <w:rPr>
                <w:sz w:val="18"/>
              </w:rPr>
              <w:t>No SLA or uptime obligations from Voltus</w:t>
            </w:r>
          </w:p>
        </w:tc>
        <w:tc>
          <w:tcPr>
            <w:tcW w:type="dxa" w:w="1881"/>
          </w:tcPr>
          <w:p>
            <w:r>
              <w:rPr>
                <w:sz w:val="18"/>
              </w:rPr>
              <w:t>Art 7.2</w:t>
            </w:r>
          </w:p>
        </w:tc>
        <w:tc>
          <w:tcPr>
            <w:tcW w:type="dxa" w:w="1881"/>
            <w:shd w:val="clear" w:color="auto" w:fill="FFF3CD"/>
          </w:tcPr>
          <w:p>
            <w:r>
              <w:rPr>
                <w:sz w:val="18"/>
              </w:rPr>
              <w:t>🟡 HIGH</w:t>
            </w:r>
          </w:p>
        </w:tc>
        <w:tc>
          <w:tcPr>
            <w:tcW w:type="dxa" w:w="1881"/>
          </w:tcPr>
          <w:p>
            <w:r>
              <w:rPr>
                <w:sz w:val="18"/>
              </w:rPr>
              <w:t>OPEN</w:t>
            </w:r>
          </w:p>
        </w:tc>
      </w:tr>
      <w:tr>
        <w:tc>
          <w:tcPr>
            <w:tcW w:type="dxa" w:w="1881"/>
          </w:tcPr>
          <w:p>
            <w:r>
              <w:rPr>
                <w:b/>
                <w:sz w:val="18"/>
              </w:rPr>
              <w:t>7</w:t>
            </w:r>
          </w:p>
        </w:tc>
        <w:tc>
          <w:tcPr>
            <w:tcW w:type="dxa" w:w="1881"/>
          </w:tcPr>
          <w:p>
            <w:r>
              <w:rPr>
                <w:sz w:val="18"/>
              </w:rPr>
              <w:t>No IP warranty or indemnity from Voltus</w:t>
            </w:r>
          </w:p>
        </w:tc>
        <w:tc>
          <w:tcPr>
            <w:tcW w:type="dxa" w:w="1881"/>
          </w:tcPr>
          <w:p>
            <w:r>
              <w:rPr>
                <w:sz w:val="18"/>
              </w:rPr>
              <w:t>Art 5.1</w:t>
            </w:r>
          </w:p>
        </w:tc>
        <w:tc>
          <w:tcPr>
            <w:tcW w:type="dxa" w:w="1881"/>
            <w:shd w:val="clear" w:color="auto" w:fill="E8F0FE"/>
          </w:tcPr>
          <w:p>
            <w:r>
              <w:rPr>
                <w:sz w:val="18"/>
              </w:rPr>
              <w:t>🔵 MEDIUM</w:t>
            </w:r>
          </w:p>
        </w:tc>
        <w:tc>
          <w:tcPr>
            <w:tcW w:type="dxa" w:w="1881"/>
          </w:tcPr>
          <w:p>
            <w:r>
              <w:rPr>
                <w:sz w:val="18"/>
              </w:rPr>
              <w:t>OPEN</w:t>
            </w:r>
          </w:p>
        </w:tc>
      </w:tr>
      <w:tr>
        <w:tc>
          <w:tcPr>
            <w:tcW w:type="dxa" w:w="1881"/>
          </w:tcPr>
          <w:p>
            <w:r>
              <w:rPr>
                <w:b/>
                <w:sz w:val="18"/>
              </w:rPr>
              <w:t>8</w:t>
            </w:r>
          </w:p>
        </w:tc>
        <w:tc>
          <w:tcPr>
            <w:tcW w:type="dxa" w:w="1881"/>
          </w:tcPr>
          <w:p>
            <w:r>
              <w:rPr>
                <w:sz w:val="18"/>
              </w:rPr>
              <w:t>Kamil Talar — no performance KPI</w:t>
            </w:r>
          </w:p>
        </w:tc>
        <w:tc>
          <w:tcPr>
            <w:tcW w:type="dxa" w:w="1881"/>
          </w:tcPr>
          <w:p>
            <w:r>
              <w:rPr>
                <w:sz w:val="18"/>
              </w:rPr>
              <w:t>Art 4.2</w:t>
            </w:r>
          </w:p>
        </w:tc>
        <w:tc>
          <w:tcPr>
            <w:tcW w:type="dxa" w:w="1881"/>
            <w:shd w:val="clear" w:color="auto" w:fill="E8F0FE"/>
          </w:tcPr>
          <w:p>
            <w:r>
              <w:rPr>
                <w:sz w:val="18"/>
              </w:rPr>
              <w:t>🔵 MEDIUM</w:t>
            </w:r>
          </w:p>
        </w:tc>
        <w:tc>
          <w:tcPr>
            <w:tcW w:type="dxa" w:w="1881"/>
          </w:tcPr>
          <w:p>
            <w:r>
              <w:rPr>
                <w:sz w:val="18"/>
              </w:rPr>
              <w:t>OPEN</w:t>
            </w:r>
          </w:p>
        </w:tc>
      </w:tr>
      <w:tr>
        <w:tc>
          <w:tcPr>
            <w:tcW w:type="dxa" w:w="1881"/>
          </w:tcPr>
          <w:p>
            <w:r>
              <w:rPr>
                <w:b/>
                <w:sz w:val="18"/>
              </w:rPr>
              <w:t>9</w:t>
            </w:r>
          </w:p>
        </w:tc>
        <w:tc>
          <w:tcPr>
            <w:tcW w:type="dxa" w:w="1881"/>
          </w:tcPr>
          <w:p>
            <w:r>
              <w:rPr>
                <w:sz w:val="18"/>
              </w:rPr>
              <w:t>Exhibit A (share certificates) not attached</w:t>
            </w:r>
          </w:p>
        </w:tc>
        <w:tc>
          <w:tcPr>
            <w:tcW w:type="dxa" w:w="1881"/>
          </w:tcPr>
          <w:p>
            <w:r>
              <w:rPr>
                <w:sz w:val="18"/>
              </w:rPr>
              <w:t>Art 2.7</w:t>
            </w:r>
          </w:p>
        </w:tc>
        <w:tc>
          <w:tcPr>
            <w:tcW w:type="dxa" w:w="1881"/>
            <w:shd w:val="clear" w:color="auto" w:fill="E8F0FE"/>
          </w:tcPr>
          <w:p>
            <w:r>
              <w:rPr>
                <w:sz w:val="18"/>
              </w:rPr>
              <w:t>🔵 MEDIUM</w:t>
            </w:r>
          </w:p>
        </w:tc>
        <w:tc>
          <w:tcPr>
            <w:tcW w:type="dxa" w:w="1881"/>
          </w:tcPr>
          <w:p>
            <w:r>
              <w:rPr>
                <w:sz w:val="18"/>
              </w:rPr>
              <w:t>OPEN</w:t>
            </w:r>
          </w:p>
        </w:tc>
      </w:tr>
      <w:tr>
        <w:tc>
          <w:tcPr>
            <w:tcW w:type="dxa" w:w="1881"/>
          </w:tcPr>
          <w:p>
            <w:r>
              <w:rPr>
                <w:b/>
                <w:sz w:val="18"/>
              </w:rPr>
              <w:t>10</w:t>
            </w:r>
          </w:p>
        </w:tc>
        <w:tc>
          <w:tcPr>
            <w:tcW w:type="dxa" w:w="1881"/>
          </w:tcPr>
          <w:p>
            <w:r>
              <w:rPr>
                <w:sz w:val="18"/>
              </w:rPr>
              <w:t>Exclusivity thresholds identical for large/mid markets</w:t>
            </w:r>
          </w:p>
        </w:tc>
        <w:tc>
          <w:tcPr>
            <w:tcW w:type="dxa" w:w="1881"/>
          </w:tcPr>
          <w:p>
            <w:r>
              <w:rPr>
                <w:sz w:val="18"/>
              </w:rPr>
              <w:t>Art 8.3</w:t>
            </w:r>
          </w:p>
        </w:tc>
        <w:tc>
          <w:tcPr>
            <w:tcW w:type="dxa" w:w="1881"/>
            <w:shd w:val="clear" w:color="auto" w:fill="F5F5F5"/>
          </w:tcPr>
          <w:p>
            <w:r>
              <w:rPr>
                <w:sz w:val="18"/>
              </w:rPr>
              <w:t>⚪ LOW</w:t>
            </w:r>
          </w:p>
        </w:tc>
        <w:tc>
          <w:tcPr>
            <w:tcW w:type="dxa" w:w="1881"/>
          </w:tcPr>
          <w:p>
            <w:r>
              <w:rPr>
                <w:sz w:val="18"/>
              </w:rPr>
              <w:t>OPEN</w:t>
            </w:r>
          </w:p>
        </w:tc>
      </w:tr>
      <w:tr>
        <w:tc>
          <w:tcPr>
            <w:tcW w:type="dxa" w:w="1881"/>
          </w:tcPr>
          <w:p>
            <w:r>
              <w:rPr>
                <w:b/>
                <w:sz w:val="18"/>
              </w:rPr>
              <w:t>11</w:t>
            </w:r>
          </w:p>
        </w:tc>
        <w:tc>
          <w:tcPr>
            <w:tcW w:type="dxa" w:w="1881"/>
          </w:tcPr>
          <w:p>
            <w:r>
              <w:rPr>
                <w:sz w:val="18"/>
              </w:rPr>
              <w:t>Voltus board representation vs economic interest</w:t>
            </w:r>
          </w:p>
        </w:tc>
        <w:tc>
          <w:tcPr>
            <w:tcW w:type="dxa" w:w="1881"/>
          </w:tcPr>
          <w:p>
            <w:r>
              <w:rPr>
                <w:sz w:val="18"/>
              </w:rPr>
              <w:t>Art 10.2</w:t>
            </w:r>
          </w:p>
        </w:tc>
        <w:tc>
          <w:tcPr>
            <w:tcW w:type="dxa" w:w="1881"/>
            <w:shd w:val="clear" w:color="auto" w:fill="F5F5F5"/>
          </w:tcPr>
          <w:p>
            <w:r>
              <w:rPr>
                <w:sz w:val="18"/>
              </w:rPr>
              <w:t>⚪ LOW</w:t>
            </w:r>
          </w:p>
        </w:tc>
        <w:tc>
          <w:tcPr>
            <w:tcW w:type="dxa" w:w="1881"/>
          </w:tcPr>
          <w:p>
            <w:r>
              <w:rPr>
                <w:sz w:val="18"/>
              </w:rPr>
              <w:t>NOTE</w:t>
            </w:r>
          </w:p>
        </w:tc>
      </w:tr>
    </w:tbl>
    <w:p/>
    <w:p>
      <w:r>
        <w:br w:type="page"/>
      </w:r>
    </w:p>
    <w:p>
      <w:pPr>
        <w:pStyle w:val="Heading1"/>
        <w:jc w:val="left"/>
      </w:pPr>
      <w:r>
        <w:rPr>
          <w:b/>
          <w:color w:val="1F497D"/>
        </w:rPr>
        <w:t>DETAILED ISSUE ANALYSIS</w:t>
      </w:r>
    </w:p>
    <w:p/>
    <w:tbl>
      <w:tblPr>
        <w:tblStyle w:val="TableGrid"/>
        <w:tblW w:type="auto" w:w="0"/>
        <w:jc w:val="center"/>
        <w:tblLook w:firstColumn="1" w:firstRow="1" w:lastColumn="0" w:lastRow="0" w:noHBand="0" w:noVBand="1" w:val="04A0"/>
      </w:tblPr>
      <w:tblGrid>
        <w:gridCol w:w="9406"/>
      </w:tblGrid>
      <w:tr>
        <w:tc>
          <w:tcPr>
            <w:tcW w:type="dxa" w:w="9406"/>
            <w:shd w:val="clear" w:color="auto" w:fill="D6E4F0"/>
          </w:tcPr>
          <w:p>
            <w:r>
              <w:rPr>
                <w:b/>
                <w:color w:val="C00000"/>
                <w:sz w:val="22"/>
              </w:rPr>
              <w:t>ISSUE 1  ·  Per-Project Licence Fee — No Formula or Schedule    [CRITICAL]</w:t>
            </w:r>
          </w:p>
        </w:tc>
      </w:tr>
      <w:tr>
        <w:tc>
          <w:tcPr>
            <w:tcW w:type="dxa" w:w="9406"/>
            <w:shd w:val="clear" w:color="auto" w:fill="EAF0FB"/>
          </w:tcPr>
          <w:p>
            <w:r>
              <w:rPr>
                <w:i/>
                <w:color w:val="404040"/>
                <w:sz w:val="18"/>
              </w:rPr>
              <w:t>Contract Reference: Article 6.1(a)</w:t>
            </w:r>
          </w:p>
        </w:tc>
      </w:tr>
      <w:tr>
        <w:tc>
          <w:tcPr>
            <w:tcW w:type="dxa" w:w="9406"/>
            <w:shd w:val="clear" w:color="auto" w:fill="FFF9E6"/>
          </w:tcPr>
          <w:p>
            <w:r>
              <w:rPr>
                <w:i/>
                <w:color w:val="604000"/>
                <w:sz w:val="18"/>
              </w:rPr>
              <w:t>"a Licence Fee shall be agreed between the Parties on a per-project basis."</w:t>
            </w:r>
          </w:p>
        </w:tc>
      </w:tr>
      <w:tr>
        <w:tc>
          <w:tcPr>
            <w:tcW w:type="dxa" w:w="9406"/>
          </w:tcPr>
          <w:p>
            <w:r>
              <w:rPr>
                <w:b/>
                <w:color w:val="C00000"/>
                <w:sz w:val="20"/>
              </w:rPr>
              <w:t xml:space="preserve">Problem:  </w:t>
            </w:r>
            <w:r>
              <w:rPr>
                <w:color w:val="000000"/>
                <w:sz w:val="20"/>
              </w:rPr>
              <w:t>There is no formula, floor price, ceiling, or reference rate defined anywhere in the agreement. Every project requires a fresh bilateral negotiation with Voltus before DISPERON can commit to customer pricing. Voltus can withhold agreement or inflate fees on any project, creating a structural choke point. It is impossible to build a customer price book or respond to tenders without this certainty.</w:t>
            </w:r>
          </w:p>
        </w:tc>
      </w:tr>
      <w:tr>
        <w:tc>
          <w:tcPr>
            <w:tcW w:type="dxa" w:w="9406"/>
            <w:shd w:val="clear" w:color="auto" w:fill="E8F5E9"/>
          </w:tcPr>
          <w:p>
            <w:r>
              <w:rPr>
                <w:b/>
                <w:color w:val="37864E"/>
                <w:sz w:val="20"/>
              </w:rPr>
              <w:t xml:space="preserve">Proposed Fix:  </w:t>
            </w:r>
            <w:r>
              <w:rPr>
                <w:color w:val="000000"/>
                <w:sz w:val="20"/>
              </w:rPr>
              <w:t>Insert Exhibit C: Fee Schedule. Define a per-MWh licence fee (e.g. EUR X/MWh installed) indexed to an agreed annual escalator (e.g. HICP). Include a 14-day response obligation for Voltus to confirm project-specific fees and a deemed-approval mechanism if they fail to respond.</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D6E4F0"/>
          </w:tcPr>
          <w:p>
            <w:r>
              <w:rPr>
                <w:b/>
                <w:color w:val="C00000"/>
                <w:sz w:val="22"/>
              </w:rPr>
              <w:t>ISSUE 2  ·  No Source Code Escrow — Perpetual Licence Is Hollow    [CRITICAL]</w:t>
            </w:r>
          </w:p>
        </w:tc>
      </w:tr>
      <w:tr>
        <w:tc>
          <w:tcPr>
            <w:tcW w:type="dxa" w:w="9406"/>
            <w:shd w:val="clear" w:color="auto" w:fill="EAF0FB"/>
          </w:tcPr>
          <w:p>
            <w:r>
              <w:rPr>
                <w:i/>
                <w:color w:val="404040"/>
                <w:sz w:val="18"/>
              </w:rPr>
              <w:t>Contract Reference: Article 6.3</w:t>
            </w:r>
          </w:p>
        </w:tc>
      </w:tr>
      <w:tr>
        <w:tc>
          <w:tcPr>
            <w:tcW w:type="dxa" w:w="9406"/>
            <w:shd w:val="clear" w:color="auto" w:fill="FFF9E6"/>
          </w:tcPr>
          <w:p>
            <w:r>
              <w:rPr>
                <w:i/>
                <w:color w:val="604000"/>
                <w:sz w:val="18"/>
              </w:rPr>
              <w:t>"Voltus Energy Sp. z o.o. shall automatically grant … a perpetual, irrevocable … licence … This Perpetual Licence shall … survive any change of control, dissolution, or restructuring of Voltus Energy Sp. z o.o."</w:t>
            </w:r>
          </w:p>
        </w:tc>
      </w:tr>
      <w:tr>
        <w:tc>
          <w:tcPr>
            <w:tcW w:type="dxa" w:w="9406"/>
          </w:tcPr>
          <w:p>
            <w:r>
              <w:rPr>
                <w:b/>
                <w:color w:val="C00000"/>
                <w:sz w:val="20"/>
              </w:rPr>
              <w:t xml:space="preserve">Problem:  </w:t>
            </w:r>
            <w:r>
              <w:rPr>
                <w:color w:val="000000"/>
                <w:sz w:val="20"/>
              </w:rPr>
              <w:t>A licence to use software that no one can access, maintain, or update is worthless. If Voltus dissolves, Szumiło and Lechowicz leave, or the company becomes insolvent, DISPERON holds a contractual right it cannot practically exercise. There is no mechanism for the Company to obtain the source code, documentation, or build environment under any scenario.</w:t>
            </w:r>
          </w:p>
        </w:tc>
      </w:tr>
      <w:tr>
        <w:tc>
          <w:tcPr>
            <w:tcW w:type="dxa" w:w="9406"/>
            <w:shd w:val="clear" w:color="auto" w:fill="E8F5E9"/>
          </w:tcPr>
          <w:p>
            <w:r>
              <w:rPr>
                <w:b/>
                <w:color w:val="37864E"/>
                <w:sz w:val="20"/>
              </w:rPr>
              <w:t xml:space="preserve">Proposed Fix:  </w:t>
            </w:r>
            <w:r>
              <w:rPr>
                <w:color w:val="000000"/>
                <w:sz w:val="20"/>
              </w:rPr>
              <w:t>Add a Source Code Escrow clause. A neutral third party (e.g. NCC Group Escrow, Iron Mountain, or Escrow London) holds a continuously updated copy of the EMS Software source code, build scripts, and technical documentation. Release triggers: (a) Voltus insolvency or cessation of operations; (b) failure to provide contracted maintenance for &gt;90 days; (c) material uncured breach. Costs split 50/50 Voltus/Company.</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D6E4F0"/>
          </w:tcPr>
          <w:p>
            <w:r>
              <w:rPr>
                <w:b/>
                <w:color w:val="C00000"/>
                <w:sz w:val="22"/>
              </w:rPr>
              <w:t>ISSUE 3  ·  Linyang Exhibit B Carve-Out Bypasses DISPERON's Core Commercial Logic    [CRITICAL]</w:t>
            </w:r>
          </w:p>
        </w:tc>
      </w:tr>
      <w:tr>
        <w:tc>
          <w:tcPr>
            <w:tcW w:type="dxa" w:w="9406"/>
            <w:shd w:val="clear" w:color="auto" w:fill="EAF0FB"/>
          </w:tcPr>
          <w:p>
            <w:r>
              <w:rPr>
                <w:i/>
                <w:color w:val="404040"/>
                <w:sz w:val="18"/>
              </w:rPr>
              <w:t>Contract Reference: Article 8.6 and Exhibit B</w:t>
            </w:r>
          </w:p>
        </w:tc>
      </w:tr>
      <w:tr>
        <w:tc>
          <w:tcPr>
            <w:tcW w:type="dxa" w:w="9406"/>
            <w:shd w:val="clear" w:color="auto" w:fill="FFF9E6"/>
          </w:tcPr>
          <w:p>
            <w:r>
              <w:rPr>
                <w:i/>
                <w:color w:val="604000"/>
                <w:sz w:val="18"/>
              </w:rPr>
              <w:t>"Voltus Energy Sp. z o.o. retains the right to supply the EMS Software directly to BESS Manufacturers listed in Exhibit B … Is not subject to any exclusivity threshold or geographic restriction …"</w:t>
            </w:r>
          </w:p>
        </w:tc>
      </w:tr>
      <w:tr>
        <w:tc>
          <w:tcPr>
            <w:tcW w:type="dxa" w:w="9406"/>
          </w:tcPr>
          <w:p>
            <w:r>
              <w:rPr>
                <w:b/>
                <w:color w:val="C00000"/>
                <w:sz w:val="20"/>
              </w:rPr>
              <w:t xml:space="preserve">Problem:  </w:t>
            </w:r>
            <w:r>
              <w:rPr>
                <w:color w:val="000000"/>
                <w:sz w:val="20"/>
              </w:rPr>
              <w:t>Linyang Energy is listed as Exhibit B Row 1. The stated business model relies on Kamil Talar's Linyang relationships directing customers to DISPERON. But Voltus can supply EMS directly to any Linyang project — regardless of geography, exclusivity, or prior DISPERON contact — and DISPERON receives nothing. This makes Linyang a liability: every Linyang sale Talar develops risks being taken directly by Voltus. The carve-out also has no revenue-sharing obligation on Voltus for Linyang-originated revenue.</w:t>
            </w:r>
          </w:p>
        </w:tc>
      </w:tr>
      <w:tr>
        <w:tc>
          <w:tcPr>
            <w:tcW w:type="dxa" w:w="9406"/>
            <w:shd w:val="clear" w:color="auto" w:fill="E8F5E9"/>
          </w:tcPr>
          <w:p>
            <w:r>
              <w:rPr>
                <w:b/>
                <w:color w:val="37864E"/>
                <w:sz w:val="20"/>
              </w:rPr>
              <w:t xml:space="preserve">Proposed Fix:  </w:t>
            </w:r>
            <w:r>
              <w:rPr>
                <w:color w:val="000000"/>
                <w:sz w:val="20"/>
              </w:rPr>
              <w:t>Add to Article 8.6: 'Notwithstanding the above, where a project originating from a BESS Manufacturer Partner has been the subject of prior commercial engagement by the Company — evidenced by written proposal, meeting record, or customer registration — Voltus shall refer such project to the Company and the parties shall agree a revenue-sharing arrangement within 15 business days. In the absence of agreement, the standard Development Bonus shall apply.' Separately, add a transparency obligation: Voltus to notify DISPERON of any Linyang project within 5 business days of engagement.</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D6E4F0"/>
          </w:tcPr>
          <w:p>
            <w:r>
              <w:rPr>
                <w:b/>
                <w:color w:val="FF8000"/>
                <w:sz w:val="22"/>
              </w:rPr>
              <w:t>ISSUE 4  ·  Software Margin — Definition Is Ambiguous    [HIGH]</w:t>
            </w:r>
          </w:p>
        </w:tc>
      </w:tr>
      <w:tr>
        <w:tc>
          <w:tcPr>
            <w:tcW w:type="dxa" w:w="9406"/>
            <w:shd w:val="clear" w:color="auto" w:fill="EAF0FB"/>
          </w:tcPr>
          <w:p>
            <w:r>
              <w:rPr>
                <w:i/>
                <w:color w:val="404040"/>
                <w:sz w:val="18"/>
              </w:rPr>
              <w:t>Contract Reference: Article 1 (Definitions) and Article 6.4(b)</w:t>
            </w:r>
          </w:p>
        </w:tc>
      </w:tr>
      <w:tr>
        <w:tc>
          <w:tcPr>
            <w:tcW w:type="dxa" w:w="9406"/>
            <w:shd w:val="clear" w:color="auto" w:fill="FFF9E6"/>
          </w:tcPr>
          <w:p>
            <w:r>
              <w:rPr>
                <w:i/>
                <w:color w:val="604000"/>
                <w:sz w:val="18"/>
              </w:rPr>
              <w:t>"Software Margin means the revenue received by the Company from the customer in respect of the Licence component of a customer contract, excluding Commissioning Fees and any other service fees."</w:t>
            </w:r>
          </w:p>
        </w:tc>
      </w:tr>
      <w:tr>
        <w:tc>
          <w:tcPr>
            <w:tcW w:type="dxa" w:w="9406"/>
          </w:tcPr>
          <w:p>
            <w:r>
              <w:rPr>
                <w:b/>
                <w:color w:val="C00000"/>
                <w:sz w:val="20"/>
              </w:rPr>
              <w:t xml:space="preserve">Problem:  </w:t>
            </w:r>
            <w:r>
              <w:rPr>
                <w:color w:val="000000"/>
                <w:sz w:val="20"/>
              </w:rPr>
              <w:t>When a customer is invoiced a bundled price, there is no agreed mechanism to determine what portion is 'Licence component' vs. 'Commissioning.' DISPERON could allocate 90% to commissioning to minimise the bonus base; Voltus could argue the opposite. This will generate disputes on every post-milestone invoice.</w:t>
            </w:r>
          </w:p>
        </w:tc>
      </w:tr>
      <w:tr>
        <w:tc>
          <w:tcPr>
            <w:tcW w:type="dxa" w:w="9406"/>
            <w:shd w:val="clear" w:color="auto" w:fill="E8F5E9"/>
          </w:tcPr>
          <w:p>
            <w:r>
              <w:rPr>
                <w:b/>
                <w:color w:val="37864E"/>
                <w:sz w:val="20"/>
              </w:rPr>
              <w:t xml:space="preserve">Proposed Fix:  </w:t>
            </w:r>
            <w:r>
              <w:rPr>
                <w:color w:val="000000"/>
                <w:sz w:val="20"/>
              </w:rPr>
              <w:t>Define Software Margin with a formula or fixed ratio. Insert into the Definitions: 'Software Margin means X% of the total customer contract value for the relevant project, as set in the Fee Schedule (Exhibit C), which shall specify both the Commissioning component and the Software Licence component as separate line items.' Alternatively, use a cost-plus formula referenced to the agreed per-project licence fee.</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D6E4F0"/>
          </w:tcPr>
          <w:p>
            <w:r>
              <w:rPr>
                <w:b/>
                <w:color w:val="FF8000"/>
                <w:sz w:val="22"/>
              </w:rPr>
              <w:t>ISSUE 5  ·  Development Bonus Rate Deferred to Post-Signing Negotiation    [HIGH]</w:t>
            </w:r>
          </w:p>
        </w:tc>
      </w:tr>
      <w:tr>
        <w:tc>
          <w:tcPr>
            <w:tcW w:type="dxa" w:w="9406"/>
            <w:shd w:val="clear" w:color="auto" w:fill="EAF0FB"/>
          </w:tcPr>
          <w:p>
            <w:r>
              <w:rPr>
                <w:i/>
                <w:color w:val="404040"/>
                <w:sz w:val="18"/>
              </w:rPr>
              <w:t>Contract Reference: Article 6.4(b)</w:t>
            </w:r>
          </w:p>
        </w:tc>
      </w:tr>
      <w:tr>
        <w:tc>
          <w:tcPr>
            <w:tcW w:type="dxa" w:w="9406"/>
            <w:shd w:val="clear" w:color="auto" w:fill="FFF9E6"/>
          </w:tcPr>
          <w:p>
            <w:r>
              <w:rPr>
                <w:i/>
                <w:color w:val="604000"/>
                <w:sz w:val="18"/>
              </w:rPr>
              <w:t>"The Development Bonus percentage shall be agreed between the Parties within 30 (thirty) days of execution of this Agreement and shall fall within the range of 20% to 30%."</w:t>
            </w:r>
          </w:p>
        </w:tc>
      </w:tr>
      <w:tr>
        <w:tc>
          <w:tcPr>
            <w:tcW w:type="dxa" w:w="9406"/>
          </w:tcPr>
          <w:p>
            <w:r>
              <w:rPr>
                <w:b/>
                <w:color w:val="C00000"/>
                <w:sz w:val="20"/>
              </w:rPr>
              <w:t xml:space="preserve">Problem:  </w:t>
            </w:r>
            <w:r>
              <w:rPr>
                <w:color w:val="000000"/>
                <w:sz w:val="20"/>
              </w:rPr>
              <w:t>Signing a shareholders agreement with a key economic term unresolved is poor practice. If the parties cannot agree within 30 days they default to 25%, but having signed the agreement already, there is no leverage to negotiate. The 30-day window creates a brief period of false urgency followed by a permanent default.</w:t>
            </w:r>
          </w:p>
        </w:tc>
      </w:tr>
      <w:tr>
        <w:tc>
          <w:tcPr>
            <w:tcW w:type="dxa" w:w="9406"/>
            <w:shd w:val="clear" w:color="auto" w:fill="E8F5E9"/>
          </w:tcPr>
          <w:p>
            <w:r>
              <w:rPr>
                <w:b/>
                <w:color w:val="37864E"/>
                <w:sz w:val="20"/>
              </w:rPr>
              <w:t xml:space="preserve">Proposed Fix:  </w:t>
            </w:r>
            <w:r>
              <w:rPr>
                <w:color w:val="000000"/>
                <w:sz w:val="20"/>
              </w:rPr>
              <w:t>Lock the Development Bonus at 25% in the signed agreement. Remove the deferred negotiation process entirely. If either party wants a different rate, negotiate it now and state it clearly. The range (20-30%) can be retained as a periodic review mechanism (e.g. every 3 years) tied to demonstrated R&amp;D spend by Voltus.</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D6E4F0"/>
          </w:tcPr>
          <w:p>
            <w:r>
              <w:rPr>
                <w:b/>
                <w:color w:val="FF8000"/>
                <w:sz w:val="22"/>
              </w:rPr>
              <w:t>ISSUE 6  ·  No SLA, Uptime, or Maintenance Obligations from Voltus    [HIGH]</w:t>
            </w:r>
          </w:p>
        </w:tc>
      </w:tr>
      <w:tr>
        <w:tc>
          <w:tcPr>
            <w:tcW w:type="dxa" w:w="9406"/>
            <w:shd w:val="clear" w:color="auto" w:fill="EAF0FB"/>
          </w:tcPr>
          <w:p>
            <w:r>
              <w:rPr>
                <w:i/>
                <w:color w:val="404040"/>
                <w:sz w:val="18"/>
              </w:rPr>
              <w:t>Contract Reference: Article 7.2</w:t>
            </w:r>
          </w:p>
        </w:tc>
      </w:tr>
      <w:tr>
        <w:tc>
          <w:tcPr>
            <w:tcW w:type="dxa" w:w="9406"/>
            <w:shd w:val="clear" w:color="auto" w:fill="FFF9E6"/>
          </w:tcPr>
          <w:p>
            <w:r>
              <w:rPr>
                <w:i/>
                <w:color w:val="604000"/>
                <w:sz w:val="18"/>
              </w:rPr>
              <w:t>"Voltus Energy Sp. z o.o. shall be primarily responsible for the continuous development, maintenance, security, and improvement of the EMS Software, maintaining it in a commercially deployable and regulatory-compliant state at all times."</w:t>
            </w:r>
          </w:p>
        </w:tc>
      </w:tr>
      <w:tr>
        <w:tc>
          <w:tcPr>
            <w:tcW w:type="dxa" w:w="9406"/>
          </w:tcPr>
          <w:p>
            <w:r>
              <w:rPr>
                <w:b/>
                <w:color w:val="C00000"/>
                <w:sz w:val="20"/>
              </w:rPr>
              <w:t xml:space="preserve">Problem:  </w:t>
            </w:r>
            <w:r>
              <w:rPr>
                <w:color w:val="000000"/>
                <w:sz w:val="20"/>
              </w:rPr>
              <w:t>DISPERON signs customer contracts promising software performance, uptime, and regulatory compliance. If Voltus fails to patch a critical bug, respond to a security incident, or update for new EU grid code requirements, DISPERON bears full customer liability with no contractual backstop. There are no defined response times, severity levels, or remedies.</w:t>
            </w:r>
          </w:p>
        </w:tc>
      </w:tr>
      <w:tr>
        <w:tc>
          <w:tcPr>
            <w:tcW w:type="dxa" w:w="9406"/>
            <w:shd w:val="clear" w:color="auto" w:fill="E8F5E9"/>
          </w:tcPr>
          <w:p>
            <w:r>
              <w:rPr>
                <w:b/>
                <w:color w:val="37864E"/>
                <w:sz w:val="20"/>
              </w:rPr>
              <w:t xml:space="preserve">Proposed Fix:  </w:t>
            </w:r>
            <w:r>
              <w:rPr>
                <w:color w:val="000000"/>
                <w:sz w:val="20"/>
              </w:rPr>
              <w:t>Add Software Support Annex (Exhibit D) defining: (a) severity levels (P1 system down, P2 major function impaired, P3 minor issue, P4 cosmetic); (b) response and resolution SLAs per severity; (c) planned maintenance windows with 5-day advance notice; (d) uptime target of ≥99.5% for cloud-hosted components measured monthly; (e) regulatory update obligation — Voltus to implement required EU/national grid code changes within 90 days of publication; (f) credit or fee-offset mechanism if SLAs are missed.</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D6E4F0"/>
          </w:tcPr>
          <w:p>
            <w:r>
              <w:rPr>
                <w:b/>
                <w:color w:val="1F497D"/>
                <w:sz w:val="22"/>
              </w:rPr>
              <w:t>ISSUE 7  ·  No IP Warranty or Third-Party Infringement Indemnity from Voltus    [MEDIUM]</w:t>
            </w:r>
          </w:p>
        </w:tc>
      </w:tr>
      <w:tr>
        <w:tc>
          <w:tcPr>
            <w:tcW w:type="dxa" w:w="9406"/>
            <w:shd w:val="clear" w:color="auto" w:fill="EAF0FB"/>
          </w:tcPr>
          <w:p>
            <w:r>
              <w:rPr>
                <w:i/>
                <w:color w:val="404040"/>
                <w:sz w:val="18"/>
              </w:rPr>
              <w:t>Contract Reference: Article 5.1</w:t>
            </w:r>
          </w:p>
        </w:tc>
      </w:tr>
      <w:tr>
        <w:tc>
          <w:tcPr>
            <w:tcW w:type="dxa" w:w="9406"/>
            <w:shd w:val="clear" w:color="auto" w:fill="FFF9E6"/>
          </w:tcPr>
          <w:p>
            <w:r>
              <w:rPr>
                <w:i/>
                <w:color w:val="604000"/>
                <w:sz w:val="18"/>
              </w:rPr>
              <w:t>"The Parties acknowledge and confirm that all Intellectual Property rights in and to the EMS Software are owned exclusively by Voltus Energy Sp. z o.o."</w:t>
            </w:r>
          </w:p>
        </w:tc>
      </w:tr>
      <w:tr>
        <w:tc>
          <w:tcPr>
            <w:tcW w:type="dxa" w:w="9406"/>
          </w:tcPr>
          <w:p>
            <w:r>
              <w:rPr>
                <w:b/>
                <w:color w:val="C00000"/>
                <w:sz w:val="20"/>
              </w:rPr>
              <w:t xml:space="preserve">Problem:  </w:t>
            </w:r>
            <w:r>
              <w:rPr>
                <w:color w:val="000000"/>
                <w:sz w:val="20"/>
              </w:rPr>
              <w:t>Voltus asserts ownership but gives no warranty that: (a) the software is free of third-party IP claims (patent, copyright, trade secret); (b) there is no contaminating open-source licence; (c) EU export control laws are complied with. If a patent holder or OSS licensor brings a claim, DISPERON is the commercially visible entity facing customers and potential injunctions.</w:t>
            </w:r>
          </w:p>
        </w:tc>
      </w:tr>
      <w:tr>
        <w:tc>
          <w:tcPr>
            <w:tcW w:type="dxa" w:w="9406"/>
            <w:shd w:val="clear" w:color="auto" w:fill="E8F5E9"/>
          </w:tcPr>
          <w:p>
            <w:r>
              <w:rPr>
                <w:b/>
                <w:color w:val="37864E"/>
                <w:sz w:val="20"/>
              </w:rPr>
              <w:t xml:space="preserve">Proposed Fix:  </w:t>
            </w:r>
            <w:r>
              <w:rPr>
                <w:color w:val="000000"/>
                <w:sz w:val="20"/>
              </w:rPr>
              <w:t>Add Article 5.5: 'Voltus warrants that (a) it is the sole and unencumbered owner of all IP in the EMS Software; (b) the EMS Software does not infringe any third-party IP right; (c) no open-source components are included under licences incompatible with commercial distribution. Voltus shall indemnify, defend, and hold harmless the Company against any third-party IP claim relating to the EMS Software, including costs, damages, and legal fees.'</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D6E4F0"/>
          </w:tcPr>
          <w:p>
            <w:r>
              <w:rPr>
                <w:b/>
                <w:color w:val="1F497D"/>
                <w:sz w:val="22"/>
              </w:rPr>
              <w:t>ISSUE 8  ·  Kamil Talar — No Performance KPI or Consequence for Inactivity    [MEDIUM]</w:t>
            </w:r>
          </w:p>
        </w:tc>
      </w:tr>
      <w:tr>
        <w:tc>
          <w:tcPr>
            <w:tcW w:type="dxa" w:w="9406"/>
            <w:shd w:val="clear" w:color="auto" w:fill="EAF0FB"/>
          </w:tcPr>
          <w:p>
            <w:r>
              <w:rPr>
                <w:i/>
                <w:color w:val="404040"/>
                <w:sz w:val="18"/>
              </w:rPr>
              <w:t>Contract Reference: Article 4.2</w:t>
            </w:r>
          </w:p>
        </w:tc>
      </w:tr>
      <w:tr>
        <w:tc>
          <w:tcPr>
            <w:tcW w:type="dxa" w:w="9406"/>
            <w:shd w:val="clear" w:color="auto" w:fill="FFF9E6"/>
          </w:tcPr>
          <w:p>
            <w:r>
              <w:rPr>
                <w:i/>
                <w:color w:val="604000"/>
                <w:sz w:val="18"/>
              </w:rPr>
              <w:t>"Mr. Kamil Talar shall … actively develop and manage sales channels … Report pipeline and sales activity to the Director on a monthly basis."</w:t>
            </w:r>
          </w:p>
        </w:tc>
      </w:tr>
      <w:tr>
        <w:tc>
          <w:tcPr>
            <w:tcW w:type="dxa" w:w="9406"/>
          </w:tcPr>
          <w:p>
            <w:r>
              <w:rPr>
                <w:b/>
                <w:color w:val="C00000"/>
                <w:sz w:val="20"/>
              </w:rPr>
              <w:t xml:space="preserve">Problem:  </w:t>
            </w:r>
            <w:r>
              <w:rPr>
                <w:color w:val="000000"/>
                <w:sz w:val="20"/>
              </w:rPr>
              <w:t>Talar holds 8% with no defined minimum output. The obligation to 'actively develop' and 'report monthly' has no measurable standard and no consequence clause. A shareholder can remain passive, hold equity, and face no contractual remedy. Given that Talar's key value is the Linyang relationship, this gap is commercially significant.</w:t>
            </w:r>
          </w:p>
        </w:tc>
      </w:tr>
      <w:tr>
        <w:tc>
          <w:tcPr>
            <w:tcW w:type="dxa" w:w="9406"/>
            <w:shd w:val="clear" w:color="auto" w:fill="E8F5E9"/>
          </w:tcPr>
          <w:p>
            <w:r>
              <w:rPr>
                <w:b/>
                <w:color w:val="37864E"/>
                <w:sz w:val="20"/>
              </w:rPr>
              <w:t xml:space="preserve">Proposed Fix:  </w:t>
            </w:r>
            <w:r>
              <w:rPr>
                <w:color w:val="000000"/>
                <w:sz w:val="20"/>
              </w:rPr>
              <w:t>Add to Article 4.2: 'Mr. Talar shall, during each calendar year following execution of this Agreement, maintain a documented active pipeline of not less than [X] MWh of BESS projects incorporating the EMS Software and shall introduce a minimum of [Y] qualified customer leads per year to the Company. Failure to meet these targets in any two consecutive annual periods shall entitle the Board to reclassify his shares as non-voting ordinary shares and to suspend dividend rights, subject to 30 days written notice and a cure period.'</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D6E4F0"/>
          </w:tcPr>
          <w:p>
            <w:r>
              <w:rPr>
                <w:b/>
                <w:color w:val="1F497D"/>
                <w:sz w:val="22"/>
              </w:rPr>
              <w:t>ISSUE 9  ·  Exhibit A (Share Certificates) Not Attached at Execution    [MEDIUM]</w:t>
            </w:r>
          </w:p>
        </w:tc>
      </w:tr>
      <w:tr>
        <w:tc>
          <w:tcPr>
            <w:tcW w:type="dxa" w:w="9406"/>
            <w:shd w:val="clear" w:color="auto" w:fill="EAF0FB"/>
          </w:tcPr>
          <w:p>
            <w:r>
              <w:rPr>
                <w:i/>
                <w:color w:val="404040"/>
                <w:sz w:val="18"/>
              </w:rPr>
              <w:t>Contract Reference: Article 2.7</w:t>
            </w:r>
          </w:p>
        </w:tc>
      </w:tr>
      <w:tr>
        <w:tc>
          <w:tcPr>
            <w:tcW w:type="dxa" w:w="9406"/>
            <w:shd w:val="clear" w:color="auto" w:fill="FFF9E6"/>
          </w:tcPr>
          <w:p>
            <w:r>
              <w:rPr>
                <w:i/>
                <w:color w:val="604000"/>
                <w:sz w:val="18"/>
              </w:rPr>
              <w:t>"Current and updated share certificates shall be appended as Exhibit A. Each Shareholder acknowledges receipt of a copy of Exhibit A upon signing."</w:t>
            </w:r>
          </w:p>
        </w:tc>
      </w:tr>
      <w:tr>
        <w:tc>
          <w:tcPr>
            <w:tcW w:type="dxa" w:w="9406"/>
          </w:tcPr>
          <w:p>
            <w:r>
              <w:rPr>
                <w:b/>
                <w:color w:val="C00000"/>
                <w:sz w:val="20"/>
              </w:rPr>
              <w:t xml:space="preserve">Problem:  </w:t>
            </w:r>
            <w:r>
              <w:rPr>
                <w:color w:val="000000"/>
                <w:sz w:val="20"/>
              </w:rPr>
              <w:t>The agreement states certificates are appended, but Exhibit A is blank. Shareholders are acknowledging receipt of a document that does not exist. This creates an evidentiary gap and could complicate Registrar filings.</w:t>
            </w:r>
          </w:p>
        </w:tc>
      </w:tr>
      <w:tr>
        <w:tc>
          <w:tcPr>
            <w:tcW w:type="dxa" w:w="9406"/>
            <w:shd w:val="clear" w:color="auto" w:fill="E8F5E9"/>
          </w:tcPr>
          <w:p>
            <w:r>
              <w:rPr>
                <w:b/>
                <w:color w:val="37864E"/>
                <w:sz w:val="20"/>
              </w:rPr>
              <w:t xml:space="preserve">Proposed Fix:  </w:t>
            </w:r>
            <w:r>
              <w:rPr>
                <w:color w:val="000000"/>
                <w:sz w:val="20"/>
              </w:rPr>
              <w:t>Either attach executed certificates at signing (preferred), or replace Article 2.7 language with: 'Share certificates reflecting the revised shareholding shall be issued within 30 days of registration with the Cyprus Registrar of Companies and shall thereupon be appended as Exhibit A and circulated to all Shareholders.'</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D6E4F0"/>
          </w:tcPr>
          <w:p>
            <w:r>
              <w:rPr>
                <w:b/>
                <w:color w:val="404040"/>
                <w:sz w:val="22"/>
              </w:rPr>
              <w:t>ISSUE 10  ·  Exclusivity Thresholds Identical for Large and Mid-Sized Markets    [LOW]</w:t>
            </w:r>
          </w:p>
        </w:tc>
      </w:tr>
      <w:tr>
        <w:tc>
          <w:tcPr>
            <w:tcW w:type="dxa" w:w="9406"/>
            <w:shd w:val="clear" w:color="auto" w:fill="EAF0FB"/>
          </w:tcPr>
          <w:p>
            <w:r>
              <w:rPr>
                <w:i/>
                <w:color w:val="404040"/>
                <w:sz w:val="18"/>
              </w:rPr>
              <w:t>Contract Reference: Article 8.3 (Table)</w:t>
            </w:r>
          </w:p>
        </w:tc>
      </w:tr>
      <w:tr>
        <w:tc>
          <w:tcPr>
            <w:tcW w:type="dxa" w:w="9406"/>
            <w:shd w:val="clear" w:color="auto" w:fill="FFF9E6"/>
          </w:tcPr>
          <w:p>
            <w:r>
              <w:rPr>
                <w:i/>
                <w:color w:val="604000"/>
                <w:sz w:val="18"/>
              </w:rPr>
              <w:t>"Large markets (Germany, Italy, Spain, France): 500 MWh within 24 months. Mid-sized markets (Poland, Netherlands, Romania, Greece): 500 MWh within 24 months."</w:t>
            </w:r>
          </w:p>
        </w:tc>
      </w:tr>
      <w:tr>
        <w:tc>
          <w:tcPr>
            <w:tcW w:type="dxa" w:w="9406"/>
          </w:tcPr>
          <w:p>
            <w:r>
              <w:rPr>
                <w:b/>
                <w:color w:val="C00000"/>
                <w:sz w:val="20"/>
              </w:rPr>
              <w:t xml:space="preserve">Problem:  </w:t>
            </w:r>
            <w:r>
              <w:rPr>
                <w:color w:val="000000"/>
                <w:sz w:val="20"/>
              </w:rPr>
              <w:t>Both market tiers require the same 500 MWh threshold. Achieving 500 MWh in Romania or Greece is structurally harder than in Germany or France due to market size and regulatory maturity. Either this is a drafting error or a deliberate decision that should be confirmed by all parties. Also notable: the 500 MWh threshold equals the Perpetual Licence milestone, conflating two logically separate events.</w:t>
            </w:r>
          </w:p>
        </w:tc>
      </w:tr>
      <w:tr>
        <w:tc>
          <w:tcPr>
            <w:tcW w:type="dxa" w:w="9406"/>
            <w:shd w:val="clear" w:color="auto" w:fill="E8F5E9"/>
          </w:tcPr>
          <w:p>
            <w:r>
              <w:rPr>
                <w:b/>
                <w:color w:val="37864E"/>
                <w:sz w:val="20"/>
              </w:rPr>
              <w:t xml:space="preserve">Proposed Fix:  </w:t>
            </w:r>
            <w:r>
              <w:rPr>
                <w:color w:val="000000"/>
                <w:sz w:val="20"/>
              </w:rPr>
              <w:t>Confirm intent. If mid-sized markets are intentionally held to the same standard as large markets, document rationale. Recommended differentiation: Large markets 500 MWh/24 months; Mid-sized markets 250 MWh/24 months; Smaller markets 100 MWh/24 months (replacing current 200). Decouple the exclusivity threshold from the Perpetual Licence milestone in definitions.</w:t>
            </w:r>
          </w:p>
        </w:tc>
      </w:tr>
    </w:tbl>
    <w:p/>
    <w:tbl>
      <w:tblPr>
        <w:tblStyle w:val="TableGrid"/>
        <w:tblW w:type="auto" w:w="0"/>
        <w:jc w:val="center"/>
        <w:tblLook w:firstColumn="1" w:firstRow="1" w:lastColumn="0" w:lastRow="0" w:noHBand="0" w:noVBand="1" w:val="04A0"/>
      </w:tblPr>
      <w:tblGrid>
        <w:gridCol w:w="9406"/>
      </w:tblGrid>
      <w:tr>
        <w:tc>
          <w:tcPr>
            <w:tcW w:type="dxa" w:w="9406"/>
            <w:shd w:val="clear" w:color="auto" w:fill="D6E4F0"/>
          </w:tcPr>
          <w:p>
            <w:r>
              <w:rPr>
                <w:b/>
                <w:color w:val="404040"/>
                <w:sz w:val="22"/>
              </w:rPr>
              <w:t>ISSUE 11  ·  Voltus Founders Hold 16% Economic Interest with Minimal Governance Protection    [LOW]</w:t>
            </w:r>
          </w:p>
        </w:tc>
      </w:tr>
      <w:tr>
        <w:tc>
          <w:tcPr>
            <w:tcW w:type="dxa" w:w="9406"/>
            <w:shd w:val="clear" w:color="auto" w:fill="EAF0FB"/>
          </w:tcPr>
          <w:p>
            <w:r>
              <w:rPr>
                <w:i/>
                <w:color w:val="404040"/>
                <w:sz w:val="18"/>
              </w:rPr>
              <w:t>Contract Reference: Article 10.2</w:t>
            </w:r>
          </w:p>
        </w:tc>
      </w:tr>
      <w:tr>
        <w:tc>
          <w:tcPr>
            <w:tcW w:type="dxa" w:w="9406"/>
            <w:shd w:val="clear" w:color="auto" w:fill="FFF9E6"/>
          </w:tcPr>
          <w:p>
            <w:r>
              <w:rPr>
                <w:i/>
                <w:color w:val="604000"/>
                <w:sz w:val="18"/>
              </w:rPr>
              <w:t>"The Shareholders other than Lighthief International … shall have the right to appoint 1 (one) Director from among themselves to the Board."</w:t>
            </w:r>
          </w:p>
        </w:tc>
      </w:tr>
      <w:tr>
        <w:tc>
          <w:tcPr>
            <w:tcW w:type="dxa" w:w="9406"/>
          </w:tcPr>
          <w:p>
            <w:r>
              <w:rPr>
                <w:b/>
                <w:color w:val="C00000"/>
                <w:sz w:val="20"/>
              </w:rPr>
              <w:t xml:space="preserve">Problem:  </w:t>
            </w:r>
            <w:r>
              <w:rPr>
                <w:color w:val="000000"/>
                <w:sz w:val="20"/>
              </w:rPr>
              <w:t>Szumiło and Lechowicz together hold 16% but share one board seat with Talar (8%). Lighthief can appoint up to 3 of 4 directors and controls all decisions requiring a Shareholder majority (76% &gt; 50%). The Voltus founders' governance rights are effectively vestigial. This is noted as a structural observation — both parties should enter this agreement with eyes open.</w:t>
            </w:r>
          </w:p>
        </w:tc>
      </w:tr>
      <w:tr>
        <w:tc>
          <w:tcPr>
            <w:tcW w:type="dxa" w:w="9406"/>
            <w:shd w:val="clear" w:color="auto" w:fill="E8F5E9"/>
          </w:tcPr>
          <w:p>
            <w:r>
              <w:rPr>
                <w:b/>
                <w:color w:val="37864E"/>
                <w:sz w:val="20"/>
              </w:rPr>
              <w:t xml:space="preserve">Proposed Fix:  </w:t>
            </w:r>
            <w:r>
              <w:rPr>
                <w:color w:val="000000"/>
                <w:sz w:val="20"/>
              </w:rPr>
              <w:t>No change required if intentional. For Voltus party comfort, consider adding a reserved matter requiring 85% shareholder consent for: (a) material change to the commercial model in Art 6; (b) dissolution of the Company; (c) entry into any transaction that would impair the Perpetual Licence. This protects the Voltus parties' core interest (software revenue) without giving them day-to-day blocking power.</w:t>
            </w:r>
          </w:p>
        </w:tc>
      </w:tr>
    </w:tbl>
    <w:p/>
    <w:p/>
    <w:p>
      <w:pPr>
        <w:pStyle w:val="Heading2"/>
        <w:jc w:val="left"/>
      </w:pPr>
      <w:r>
        <w:rPr>
          <w:b/>
          <w:color w:val="1F497D"/>
        </w:rPr>
        <w:t>NEXT STEPS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b/>
                <w:color w:val="FFFFFF"/>
                <w:sz w:val="18"/>
              </w:rPr>
              <w:t>Action</w:t>
            </w:r>
          </w:p>
        </w:tc>
        <w:tc>
          <w:tcPr>
            <w:tcW w:type="dxa" w:w="3135"/>
            <w:shd w:val="clear" w:color="auto" w:fill="1F497D"/>
          </w:tcPr>
          <w:p>
            <w:r>
              <w:rPr>
                <w:b/>
                <w:color w:val="FFFFFF"/>
                <w:sz w:val="18"/>
              </w:rPr>
              <w:t>Owner</w:t>
            </w:r>
          </w:p>
        </w:tc>
        <w:tc>
          <w:tcPr>
            <w:tcW w:type="dxa" w:w="3135"/>
            <w:shd w:val="clear" w:color="auto" w:fill="1F497D"/>
          </w:tcPr>
          <w:p>
            <w:r>
              <w:rPr>
                <w:b/>
                <w:color w:val="FFFFFF"/>
                <w:sz w:val="18"/>
              </w:rPr>
              <w:t>Deadline</w:t>
            </w:r>
          </w:p>
        </w:tc>
      </w:tr>
      <w:tr>
        <w:tc>
          <w:tcPr>
            <w:tcW w:type="dxa" w:w="3135"/>
          </w:tcPr>
          <w:p>
            <w:r>
              <w:rPr>
                <w:b w:val="0"/>
                <w:color w:val="000000"/>
                <w:sz w:val="18"/>
              </w:rPr>
              <w:t>Agree Exhibit C fee schedule (Issue 1 + 4)</w:t>
            </w:r>
          </w:p>
        </w:tc>
        <w:tc>
          <w:tcPr>
            <w:tcW w:type="dxa" w:w="3135"/>
          </w:tcPr>
          <w:p>
            <w:r>
              <w:rPr>
                <w:b w:val="0"/>
                <w:color w:val="000000"/>
                <w:sz w:val="18"/>
              </w:rPr>
              <w:t>Sybaris + Voltus</w:t>
            </w:r>
          </w:p>
        </w:tc>
        <w:tc>
          <w:tcPr>
            <w:tcW w:type="dxa" w:w="3135"/>
          </w:tcPr>
          <w:p>
            <w:r>
              <w:rPr>
                <w:b w:val="0"/>
                <w:color w:val="000000"/>
                <w:sz w:val="18"/>
              </w:rPr>
              <w:t>Before signing</w:t>
            </w:r>
          </w:p>
        </w:tc>
      </w:tr>
      <w:tr>
        <w:tc>
          <w:tcPr>
            <w:tcW w:type="dxa" w:w="3135"/>
          </w:tcPr>
          <w:p>
            <w:r>
              <w:rPr>
                <w:b w:val="0"/>
                <w:color w:val="000000"/>
                <w:sz w:val="18"/>
              </w:rPr>
              <w:t>Appoint source code escrow provider (Issue 2)</w:t>
            </w:r>
          </w:p>
        </w:tc>
        <w:tc>
          <w:tcPr>
            <w:tcW w:type="dxa" w:w="3135"/>
          </w:tcPr>
          <w:p>
            <w:r>
              <w:rPr>
                <w:b w:val="0"/>
                <w:color w:val="000000"/>
                <w:sz w:val="18"/>
              </w:rPr>
              <w:t>Sybaris</w:t>
            </w:r>
          </w:p>
        </w:tc>
        <w:tc>
          <w:tcPr>
            <w:tcW w:type="dxa" w:w="3135"/>
          </w:tcPr>
          <w:p>
            <w:r>
              <w:rPr>
                <w:b w:val="0"/>
                <w:color w:val="000000"/>
                <w:sz w:val="18"/>
              </w:rPr>
              <w:t>Before signing</w:t>
            </w:r>
          </w:p>
        </w:tc>
      </w:tr>
      <w:tr>
        <w:tc>
          <w:tcPr>
            <w:tcW w:type="dxa" w:w="3135"/>
          </w:tcPr>
          <w:p>
            <w:r>
              <w:rPr>
                <w:b w:val="0"/>
                <w:color w:val="000000"/>
                <w:sz w:val="18"/>
              </w:rPr>
              <w:t>Amend Art 8.6 re Linyang referral obligation (Issue 3)</w:t>
            </w:r>
          </w:p>
        </w:tc>
        <w:tc>
          <w:tcPr>
            <w:tcW w:type="dxa" w:w="3135"/>
          </w:tcPr>
          <w:p>
            <w:r>
              <w:rPr>
                <w:b w:val="0"/>
                <w:color w:val="000000"/>
                <w:sz w:val="18"/>
              </w:rPr>
              <w:t>Legal counsel</w:t>
            </w:r>
          </w:p>
        </w:tc>
        <w:tc>
          <w:tcPr>
            <w:tcW w:type="dxa" w:w="3135"/>
          </w:tcPr>
          <w:p>
            <w:r>
              <w:rPr>
                <w:b w:val="0"/>
                <w:color w:val="000000"/>
                <w:sz w:val="18"/>
              </w:rPr>
              <w:t>Before signing</w:t>
            </w:r>
          </w:p>
        </w:tc>
      </w:tr>
      <w:tr>
        <w:tc>
          <w:tcPr>
            <w:tcW w:type="dxa" w:w="3135"/>
          </w:tcPr>
          <w:p>
            <w:r>
              <w:rPr>
                <w:b w:val="0"/>
                <w:color w:val="000000"/>
                <w:sz w:val="18"/>
              </w:rPr>
              <w:t>Lock Development Bonus at 25% (Issue 5)</w:t>
            </w:r>
          </w:p>
        </w:tc>
        <w:tc>
          <w:tcPr>
            <w:tcW w:type="dxa" w:w="3135"/>
          </w:tcPr>
          <w:p>
            <w:r>
              <w:rPr>
                <w:b w:val="0"/>
                <w:color w:val="000000"/>
                <w:sz w:val="18"/>
              </w:rPr>
              <w:t>All parties</w:t>
            </w:r>
          </w:p>
        </w:tc>
        <w:tc>
          <w:tcPr>
            <w:tcW w:type="dxa" w:w="3135"/>
          </w:tcPr>
          <w:p>
            <w:r>
              <w:rPr>
                <w:b w:val="0"/>
                <w:color w:val="000000"/>
                <w:sz w:val="18"/>
              </w:rPr>
              <w:t>Before signing</w:t>
            </w:r>
          </w:p>
        </w:tc>
      </w:tr>
      <w:tr>
        <w:tc>
          <w:tcPr>
            <w:tcW w:type="dxa" w:w="3135"/>
          </w:tcPr>
          <w:p>
            <w:r>
              <w:rPr>
                <w:b w:val="0"/>
                <w:color w:val="000000"/>
                <w:sz w:val="18"/>
              </w:rPr>
              <w:t>Draft Software Support Annex / Exhibit D (Issue 6)</w:t>
            </w:r>
          </w:p>
        </w:tc>
        <w:tc>
          <w:tcPr>
            <w:tcW w:type="dxa" w:w="3135"/>
          </w:tcPr>
          <w:p>
            <w:r>
              <w:rPr>
                <w:b w:val="0"/>
                <w:color w:val="000000"/>
                <w:sz w:val="18"/>
              </w:rPr>
              <w:t>Voltus</w:t>
            </w:r>
          </w:p>
        </w:tc>
        <w:tc>
          <w:tcPr>
            <w:tcW w:type="dxa" w:w="3135"/>
          </w:tcPr>
          <w:p>
            <w:r>
              <w:rPr>
                <w:b w:val="0"/>
                <w:color w:val="000000"/>
                <w:sz w:val="18"/>
              </w:rPr>
              <w:t>Within 30 days of signing</w:t>
            </w:r>
          </w:p>
        </w:tc>
      </w:tr>
    </w:tbl>
    <w:p/>
    <w:p>
      <w:r>
        <w:rPr>
          <w:i/>
          <w:color w:val="404040"/>
          <w:sz w:val="16"/>
        </w:rPr>
        <w:t>This issues register was prepared for internal review by Lighthief International / Lighthief EUBESS Ltd. It does not constitute legal advice. Parties should obtain independent legal counsel before execution.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