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LCY-LTSA-001</w:t>
        <w:br/>
      </w:r>
      <w:r>
        <w:rPr>
          <w:color w:val="718096"/>
          <w:sz w:val="17"/>
        </w:rPr>
        <w:t>Version: 4.0</w:t>
        <w:br/>
      </w:r>
      <w:r>
        <w:rPr>
          <w:color w:val="718096"/>
          <w:sz w:val="17"/>
        </w:rPr>
        <w:t>Date: 17 March 2026</w:t>
        <w:br/>
      </w:r>
      <w:r>
        <w:rPr>
          <w:color w:val="718096"/>
          <w:sz w:val="17"/>
        </w:rPr>
        <w:br/>
      </w:r>
      <w:r>
        <w:rPr>
          <w:color w:val="718096"/>
          <w:sz w:val="17"/>
        </w:rPr>
        <w:t>VERSION HISTORY</w:t>
        <w:br/>
      </w:r>
      <w:r>
        <w:rPr>
          <w:color w:val="718096"/>
          <w:sz w:val="17"/>
        </w:rPr>
        <w:t>v1.0 — Oct 2025: Initial draft</w:t>
        <w:br/>
      </w:r>
      <w:r>
        <w:rPr>
          <w:color w:val="718096"/>
          <w:sz w:val="17"/>
        </w:rPr>
        <w:t>v2.0 — Jan 2026: Updated to Linyang RFI confirmed rates</w:t>
        <w:br/>
      </w:r>
      <w:r>
        <w:rPr>
          <w:color w:val="718096"/>
          <w:sz w:val="17"/>
        </w:rPr>
        <w:t>v2.4 — Feb 2026: Updated pricing, availability LD rate</w:t>
        <w:br/>
      </w:r>
      <w:r>
        <w:rPr>
          <w:color w:val="718096"/>
          <w:sz w:val="17"/>
        </w:rPr>
        <w:t>v3.0 — 22 Feb 2026: Group-level availability, EU Directive interest, tier structure</w:t>
        <w:br/>
      </w:r>
      <w:r>
        <w:rPr>
          <w:b/>
          <w:color w:val="718096"/>
          <w:sz w:val="17"/>
        </w:rPr>
        <w:t>v4.0 — 17 Mar 2026: Tier D removed (not offered), section numbering fixed,</w:t>
        <w:br/>
      </w:r>
      <w:r>
        <w:rPr>
          <w:color w:val="718096"/>
          <w:sz w:val="17"/>
        </w:rPr>
        <w:t xml:space="preserve">       SOH table corrected, availability duration 15yr, lender assignment,</w:t>
        <w:br/>
      </w:r>
      <w:r>
        <w:rPr>
          <w:b/>
          <w:color w:val="718096"/>
          <w:sz w:val="17"/>
        </w:rPr>
        <w:t xml:space="preserve">       companion document reference to EPC v4.0</w:t>
        <w:b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[End Customer Legal Name],</w:t>
      </w:r>
    </w:p>
    <w:p>
      <w:r>
        <w:rPr>
          <w:b w:val="0"/>
          <w:sz w:val="20"/>
        </w:rPr>
        <w:t>a company incorporated under the laws of [●], with registered office at [●]</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Bi-annual preventive maintenance visits (every six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for a minimum of five (5) years from the date of collection.</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Bi-Annual On-Site Maintenance Visits: Comprehensive on-site inspection and maintenance by qualified personnel, conducted every six (6) months (two visits per year).</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Bi-Annual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Bi-Annual Maintenance Visits shall be scheduled at least thirty (30) days in advance, at mutually agreed dates approximately six (6) months apart.</w:t>
      </w:r>
    </w:p>
    <w:p>
      <w:r>
        <w:rPr>
          <w:b w:val="0"/>
          <w:sz w:val="20"/>
        </w:rPr>
        <w:t>(b) The Service Provider shall endeavour to schedule maintenance at times when the BESS is not actively dispatching, to minimise impact on Client operations.</w:t>
      </w:r>
    </w:p>
    <w:p>
      <w:r>
        <w:rPr>
          <w:b w:val="0"/>
          <w:sz w:val="20"/>
        </w:rPr>
        <w:t>(c) Total Scheduled Downtime shall not exceed ten (10) days per calendar year, distributed across preventive maintenance visits, OEM service windows, and system health checks.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(a) The Service Fee may be adjusted annually on each anniversary of the Effective Date, by an amount not exceeding the Cyprus Consumer Price Index (CPI) increase for the preceding twelve (12) months, plus two percent (2%).</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thirty (30) minutes,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within two (2) hours; on-site attendance (if required) within eight (8) hours.</w:t>
      </w:r>
    </w:p>
    <w:p>
      <w:r>
        <w:rPr>
          <w:b w:val="0"/>
          <w:sz w:val="20"/>
        </w:rPr>
        <w:t>(b) Major Alerts: Initial remote response within eight (8) hours; on-site attendance (if required) within forty-eight (48) hours.</w:t>
      </w:r>
    </w:p>
    <w:p>
      <w:r>
        <w:rPr>
          <w:b w:val="0"/>
          <w:sz w:val="20"/>
        </w:rPr>
        <w:t>(c) Minor Alerts: Initial remote response within forty-eight (48)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full hour of delay beyond the eight (8) hour commitment, up to a maximum of one thousand euros (€1,000) per incident.</w:t>
      </w:r>
    </w:p>
    <w:p>
      <w:r>
        <w:rPr>
          <w:b w:val="0"/>
          <w:sz w:val="20"/>
        </w:rPr>
        <w:t>(b) Major Alert Breach: Where the Service Provider fails to achieve on-site attendance within the forty-eight (48) hour commitment for a Major Alert, the Client shall be entitled to a service credit of fifty euros (€50) for each full hour of delay beyond the forty-eight (48) hour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thirty (30) minutes of alert generation.</w:t>
      </w:r>
    </w:p>
    <w:p>
      <w:r>
        <w:rPr>
          <w:b w:val="0"/>
          <w:sz w:val="20"/>
        </w:rPr>
        <w:t>(b) Auto-Escalation: If the primary duty technician does not acknowledge a Critical Alert within thirty (30) minutes, the Monitoring Platform shall automatically escalate the alert to the backup technician and the operations manager simultaneously.</w:t>
      </w:r>
    </w:p>
    <w:p>
      <w:r>
        <w:rPr>
          <w:b w:val="0"/>
          <w:sz w:val="20"/>
        </w:rPr>
        <w:t>(c) Management Escalation: If on-site attendance has not been dispatched within four (4) hours of a Critical Alert, the operations manager shall escalate to the Service Provider's senior management and notify the Client's designated contact.</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apply on a twenty-four hours a day, seven days a week, three hundred and sixty-five days a year (24/7/365) basis, including weekends, public holidays, and night hours.</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portfolio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Rationale</w:t>
      </w:r>
    </w:p>
    <w:p>
      <w:r>
        <w:rPr>
          <w:b w:val="0"/>
          <w:sz w:val="20"/>
        </w:rPr>
        <w:t>The 97% Availability Guarantee applies at the group portfolio level, not per individual park. This means that an isolated park outage does not constitute a breach of the guarantee provided the weighted average availability across all active parks exceeds 97%. This structure reflects the portfolio pricing basis under which the Tier C service fee was calculated and enables the Service Provider to allocate resources efficiently across the Client's park portfolio.</w:t>
      </w:r>
    </w:p>
    <w:p>
      <w:r>
        <w:rPr>
          <w:b w:val="0"/>
          <w:sz w:val="20"/>
        </w:rPr>
        <w:t>9.3 Exclusions from Unavailable Hours</w:t>
      </w:r>
    </w:p>
    <w:p>
      <w:r>
        <w:rPr>
          <w:b w:val="0"/>
          <w:sz w:val="20"/>
        </w:rPr>
        <w:t>The following shall not count as Unavailable Hours:</w:t>
      </w:r>
    </w:p>
    <w:p>
      <w:r>
        <w:rPr>
          <w:b w:val="0"/>
          <w:sz w:val="20"/>
        </w:rPr>
        <w:t>(a) Scheduled Downtime for preventive maintenance (maximum 240 hours / 10 days per year);</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twenty percent (20%) of the annual Service Fee.</w:t>
      </w:r>
    </w:p>
    <w:p>
      <w:r>
        <w:rPr>
          <w:b w:val="0"/>
          <w:sz w:val="20"/>
        </w:rPr>
        <w:t>9.6 Sole Remedy</w:t>
      </w:r>
    </w:p>
    <w:p>
      <w:r>
        <w:rPr>
          <w:b w:val="0"/>
          <w:sz w:val="20"/>
        </w:rPr>
        <w:t>The Availability Liquidated Damages set out in this Section shall be the Client's sole and exclusive remedy for failure to achieve the Availability Guarantee, and the Client shall not be entitled to claim additional damages for unavailability beyond the Liquidated Damages.</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98% of original rated capacity;</w:t>
      </w:r>
    </w:p>
    <w:p>
      <w:r>
        <w:rPr>
          <w:b w:val="0"/>
          <w:sz w:val="20"/>
        </w:rPr>
        <w:t>(b) End of Year 2: 96% of original rated capacity;</w:t>
      </w:r>
    </w:p>
    <w:p>
      <w:r>
        <w:rPr>
          <w:b w:val="0"/>
          <w:sz w:val="20"/>
        </w:rPr>
        <w:t>(c) End of Year 3: 94% of original rated capacity;</w:t>
      </w:r>
    </w:p>
    <w:p>
      <w:r>
        <w:rPr>
          <w:b w:val="0"/>
          <w:sz w:val="20"/>
        </w:rPr>
        <w:t>(d) End of Year 4: 92% of original rated capacity;</w:t>
      </w:r>
    </w:p>
    <w:p>
      <w:r>
        <w:rPr>
          <w:b w:val="0"/>
          <w:sz w:val="20"/>
        </w:rPr>
        <w:t>(e) End of Year 5: 85% of original rated capacity;</w:t>
      </w:r>
    </w:p>
    <w:p>
      <w:r>
        <w:rPr>
          <w:b w:val="0"/>
          <w:sz w:val="20"/>
        </w:rPr>
        <w:t>(f) End of Year 10: 79.58%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5%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include, at minimum:</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and Professional Indemnity Insurance of minimum EUR 1,000,000 each.</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Either Party may terminate this Agreement for convenience by providing one hundred eighty (180) days' written notice.</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twelve (12) months preceding the claim.</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[Third Party – specify]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7,000 cycles (25°C, 90% DOD, 0.5C) |</w:t>
      </w:r>
    </w:p>
    <w:p>
      <w:r>
        <w:rPr>
          <w:b w:val="0"/>
          <w:sz w:val="20"/>
        </w:rPr>
        <w:t>| Energy Density | 183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7,000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 MWh</w:t>
      </w:r>
    </w:p>
    <w:p>
      <w:r>
        <w:rPr>
          <w:b w:val="0"/>
          <w:sz w:val="20"/>
        </w:rPr>
        <w:t>SELECTED SERVICE TIER: ☐ Tier A  ☐ Tier B  ☐ Tier C</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 | €[●]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Rate varies by park size and group allocation — portfolio range: €661 – €3,181/MWh/Year.</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 MWh |</w:t>
      </w:r>
    </w:p>
    <w:p>
      <w:r>
        <w:rPr>
          <w:b w:val="0"/>
          <w:sz w:val="20"/>
        </w:rPr>
        <w:t>| Installed EMS/SCADA Cost | €[●] |</w:t>
      </w:r>
    </w:p>
    <w:p>
      <w:r>
        <w:rPr>
          <w:b w:val="0"/>
          <w:sz w:val="20"/>
        </w:rPr>
        <w:t>| Annual Subscription (20%) | €[●] |</w:t>
      </w:r>
    </w:p>
    <w:p>
      <w:r>
        <w:rPr>
          <w:b w:val="0"/>
          <w:sz w:val="20"/>
        </w:rPr>
        <w:t>| EUR/MWh/Year | €[●]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Bi-annual on-site maintenance visits (2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 Rate: €30/day/MWh of unavailable capacity (per OEM confirmed rate)</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95% |</w:t>
      </w:r>
    </w:p>
    <w:p>
      <w:r>
        <w:rPr>
          <w:b w:val="0"/>
          <w:sz w:val="20"/>
        </w:rPr>
        <w:t>| 2 | 92% |</w:t>
      </w:r>
    </w:p>
    <w:p>
      <w:r>
        <w:rPr>
          <w:b w:val="0"/>
          <w:sz w:val="20"/>
        </w:rPr>
        <w:t>| 3 | 89% |</w:t>
      </w:r>
    </w:p>
    <w:p>
      <w:r>
        <w:rPr>
          <w:b w:val="0"/>
          <w:sz w:val="20"/>
        </w:rPr>
        <w:t>| 4 | 87% |</w:t>
      </w:r>
    </w:p>
    <w:p>
      <w:r>
        <w:rPr>
          <w:b w:val="0"/>
          <w:sz w:val="20"/>
        </w:rPr>
        <w:t>| 5 | 85% |</w:t>
      </w:r>
    </w:p>
    <w:p>
      <w:r>
        <w:rPr>
          <w:b w:val="0"/>
          <w:sz w:val="20"/>
        </w:rPr>
        <w:t>| 6 | 83% |</w:t>
      </w:r>
    </w:p>
    <w:p>
      <w:r>
        <w:rPr>
          <w:b w:val="0"/>
          <w:sz w:val="20"/>
        </w:rPr>
        <w:t>| 7 | 81% |</w:t>
      </w:r>
    </w:p>
    <w:p>
      <w:r>
        <w:rPr>
          <w:b w:val="0"/>
          <w:sz w:val="20"/>
        </w:rPr>
        <w:t>| 8 | 79% |</w:t>
      </w:r>
    </w:p>
    <w:p>
      <w:r>
        <w:rPr>
          <w:b w:val="0"/>
          <w:sz w:val="20"/>
        </w:rPr>
        <w:t>| 9 | 80% |</w:t>
      </w:r>
    </w:p>
    <w:p>
      <w:r>
        <w:rPr>
          <w:b w:val="0"/>
          <w:sz w:val="20"/>
        </w:rPr>
        <w:t>| 10 | 79.58%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5%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(LCY-EPC-001 v4.0)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