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0" w:after="120"/>
        <w:jc w:val="center"/>
      </w:pPr>
      <w:r>
        <w:rPr>
          <w:b/>
          <w:color w:val="1A365D"/>
          <w:sz w:val="32"/>
        </w:rPr>
        <w:t>BESS Risk Assessment — Briefing Note</w:t>
      </w:r>
    </w:p>
    <w:p>
      <w:pPr>
        <w:jc w:val="center"/>
      </w:pPr>
      <w:r>
        <w:rPr>
          <w:color w:val="404040"/>
          <w:sz w:val="22"/>
        </w:rPr>
        <w:t>Prepared for: Michaelis — MPEC</w:t>
        <w:br/>
        <w:t>Prepared by: Lighthief Cyprus Ltd</w:t>
      </w:r>
    </w:p>
    <w:p>
      <w:pPr>
        <w:jc w:val="center"/>
      </w:pPr>
      <w:r>
        <w:rPr>
          <w:i/>
          <w:color w:val="404040"/>
          <w:sz w:val="18"/>
        </w:rPr>
        <w:t>Date: 20 April 2026    |    Reference: LCY-EXIPP-BRIEF-001    |    Classification: Confidential</w:t>
      </w:r>
    </w:p>
    <w:p/>
    <w:p>
      <w:pPr>
        <w:spacing w:before="360" w:after="80"/>
      </w:pPr>
      <w:r>
        <w:rPr>
          <w:b/>
          <w:color w:val="C9A432"/>
          <w:sz w:val="26"/>
        </w:rPr>
        <w:t>1.  Purpose of This Document</w:t>
      </w:r>
    </w:p>
    <w:p>
      <w:r>
        <w:rPr>
          <w:b w:val="0"/>
          <w:i w:val="0"/>
          <w:color w:val="000000"/>
          <w:sz w:val="21"/>
        </w:rPr>
        <w:t>Lighthief Cyprus Ltd is the EPC contractor and system integrator for a portfolio of Battery Energy Storage System (BESS) installations on licensed solar parks across Cyprus. This briefing note is addressed to the certified ΕΞΥΠΠ engineer at MPEC and sets out:</w:t>
      </w:r>
    </w:p>
    <w:p>
      <w:pPr>
        <w:pStyle w:val="ListBullet"/>
        <w:spacing w:after="60"/>
        <w:ind w:left="567"/>
      </w:pPr>
      <w:r>
        <w:rPr>
          <w:b w:val="0"/>
          <w:color w:val="000000"/>
          <w:sz w:val="21"/>
        </w:rPr>
        <w:t>The legal obligation that triggers the requirement for a Written Risk Assessment;</w:t>
      </w:r>
    </w:p>
    <w:p>
      <w:pPr>
        <w:pStyle w:val="ListBullet"/>
        <w:spacing w:after="60"/>
        <w:ind w:left="567"/>
      </w:pPr>
      <w:r>
        <w:rPr>
          <w:b w:val="0"/>
          <w:color w:val="000000"/>
          <w:sz w:val="21"/>
        </w:rPr>
        <w:t>The manufacturer certifications and technical documentation already in our possession (Linyang battery + Kehua PCS);</w:t>
      </w:r>
    </w:p>
    <w:p>
      <w:pPr>
        <w:pStyle w:val="ListBullet"/>
        <w:spacing w:after="60"/>
        <w:ind w:left="567"/>
      </w:pPr>
      <w:r>
        <w:rPr>
          <w:b w:val="0"/>
          <w:color w:val="000000"/>
          <w:sz w:val="21"/>
        </w:rPr>
        <w:t>The documents and site-specific inputs that remain outstanding; and</w:t>
      </w:r>
    </w:p>
    <w:p>
      <w:pPr>
        <w:pStyle w:val="ListBullet"/>
        <w:spacing w:after="60"/>
        <w:ind w:left="567"/>
      </w:pPr>
      <w:r>
        <w:rPr>
          <w:b w:val="0"/>
          <w:color w:val="000000"/>
          <w:sz w:val="21"/>
        </w:rPr>
        <w:t>The scope of service we are requesting from MPEC.</w:t>
      </w:r>
    </w:p>
    <w:p>
      <w:pPr>
        <w:spacing w:before="360" w:after="80"/>
      </w:pPr>
      <w:r>
        <w:rPr>
          <w:b/>
          <w:color w:val="C9A432"/>
          <w:sz w:val="26"/>
        </w:rPr>
        <w:t>2.  Legal Basis</w:t>
      </w:r>
    </w:p>
    <w:p>
      <w:r>
        <w:rPr>
          <w:b w:val="0"/>
          <w:i w:val="0"/>
          <w:color w:val="000000"/>
          <w:sz w:val="21"/>
        </w:rPr>
        <w:t>The requirement arises directly from Κ.Δ.Π. 15/2026, published in Official Gazette No. 5992 on 16 January 2026, which establishes the conditions under which BESS installations within licensed RES (solar) stations are exempt from building and planning permits in Cyprus.</w:t>
      </w:r>
    </w:p>
    <w:p>
      <w:r>
        <w:rPr>
          <w:b w:val="0"/>
          <w:i w:val="0"/>
          <w:color w:val="000000"/>
          <w:sz w:val="21"/>
        </w:rPr>
        <w:t>The relevant conditions under the Labour Inspection Department (Τμήμα Εργασίας) are:</w:t>
      </w:r>
    </w:p>
    <w:tbl>
      <w:tblPr>
        <w:tblStyle w:val="TableGrid"/>
        <w:tblW w:type="auto" w:w="0"/>
        <w:jc w:val="left"/>
        <w:tblLook w:firstColumn="1" w:firstRow="1" w:lastColumn="0" w:lastRow="0" w:noHBand="0" w:noVBand="1" w:val="04A0"/>
      </w:tblPr>
      <w:tblGrid>
        <w:gridCol w:w="3135"/>
        <w:gridCol w:w="3135"/>
        <w:gridCol w:w="3135"/>
      </w:tblGrid>
      <w:tr>
        <w:tc>
          <w:tcPr>
            <w:tcW w:type="dxa" w:w="1701"/>
            <w:shd w:val="clear" w:color="auto" w:fill="1A365D"/>
          </w:tcPr>
          <w:p>
            <w:pPr>
              <w:jc w:val="center"/>
            </w:pPr>
            <w:r>
              <w:rPr>
                <w:b/>
                <w:color w:val="FFFFFF"/>
                <w:sz w:val="20"/>
              </w:rPr>
              <w:t>Condition No.</w:t>
            </w:r>
          </w:p>
        </w:tc>
        <w:tc>
          <w:tcPr>
            <w:tcW w:type="dxa" w:w="5102"/>
            <w:shd w:val="clear" w:color="auto" w:fill="1A365D"/>
          </w:tcPr>
          <w:p>
            <w:pPr>
              <w:jc w:val="center"/>
            </w:pPr>
            <w:r>
              <w:rPr>
                <w:b/>
                <w:color w:val="FFFFFF"/>
                <w:sz w:val="20"/>
              </w:rPr>
              <w:t>Requirement (English)</w:t>
            </w:r>
          </w:p>
        </w:tc>
        <w:tc>
          <w:tcPr>
            <w:tcW w:type="dxa" w:w="2551"/>
            <w:shd w:val="clear" w:color="auto" w:fill="1A365D"/>
          </w:tcPr>
          <w:p>
            <w:pPr>
              <w:jc w:val="center"/>
            </w:pPr>
            <w:r>
              <w:rPr>
                <w:b/>
                <w:color w:val="FFFFFF"/>
                <w:sz w:val="20"/>
              </w:rPr>
              <w:t>Greek Term</w:t>
            </w:r>
          </w:p>
        </w:tc>
      </w:tr>
      <w:tr>
        <w:tc>
          <w:tcPr>
            <w:tcW w:type="dxa" w:w="1701"/>
          </w:tcPr>
          <w:p>
            <w:r>
              <w:rPr>
                <w:sz w:val="20"/>
              </w:rPr>
              <w:t>32</w:t>
            </w:r>
          </w:p>
        </w:tc>
        <w:tc>
          <w:tcPr>
            <w:tcW w:type="dxa" w:w="5102"/>
          </w:tcPr>
          <w:p>
            <w:r>
              <w:rPr>
                <w:sz w:val="20"/>
              </w:rPr>
              <w:t>A Written Risk Assessment must be prepared covering all battery-related hazards.</w:t>
            </w:r>
          </w:p>
        </w:tc>
        <w:tc>
          <w:tcPr>
            <w:tcW w:type="dxa" w:w="2551"/>
          </w:tcPr>
          <w:p>
            <w:r>
              <w:rPr>
                <w:sz w:val="20"/>
              </w:rPr>
              <w:t>Γραπτή Εκτίμηση Κινδύνου</w:t>
            </w:r>
          </w:p>
        </w:tc>
      </w:tr>
      <w:tr>
        <w:tc>
          <w:tcPr>
            <w:tcW w:type="dxa" w:w="1701"/>
            <w:shd w:val="clear" w:color="auto" w:fill="F5F7FA"/>
          </w:tcPr>
          <w:p>
            <w:r>
              <w:rPr>
                <w:sz w:val="20"/>
              </w:rPr>
              <w:t>33</w:t>
            </w:r>
          </w:p>
        </w:tc>
        <w:tc>
          <w:tcPr>
            <w:tcW w:type="dxa" w:w="5102"/>
            <w:shd w:val="clear" w:color="auto" w:fill="F5F7FA"/>
          </w:tcPr>
          <w:p>
            <w:r>
              <w:rPr>
                <w:sz w:val="20"/>
              </w:rPr>
              <w:t>The risk assessment must be based on the manufacturer's specifications and prepared by a certified ΕΞΥΠΠ or ΕΣΥΠΠ engineer.</w:t>
            </w:r>
          </w:p>
        </w:tc>
        <w:tc>
          <w:tcPr>
            <w:tcW w:type="dxa" w:w="2551"/>
            <w:shd w:val="clear" w:color="auto" w:fill="F5F7FA"/>
          </w:tcPr>
          <w:p>
            <w:r>
              <w:rPr>
                <w:sz w:val="20"/>
              </w:rPr>
              <w:t>Εκτίμηση βάσει προδιαγραφών κατασκευαστή — ΕΞΥΠΠ/ΕΣΥΠΠ</w:t>
            </w:r>
          </w:p>
        </w:tc>
      </w:tr>
    </w:tbl>
    <w:p/>
    <w:p>
      <w:r>
        <w:rPr>
          <w:b w:val="0"/>
          <w:i/>
          <w:color w:val="404040"/>
          <w:sz w:val="21"/>
        </w:rPr>
        <w:t>The permit exemption (and therefore the legal ability to commence installation works) is conditional on this document being in place. It is not a post-installation formality.</w:t>
      </w:r>
    </w:p>
    <w:p>
      <w:pPr>
        <w:spacing w:before="360" w:after="80"/>
      </w:pPr>
      <w:r>
        <w:rPr>
          <w:b/>
          <w:color w:val="C9A432"/>
          <w:sz w:val="26"/>
        </w:rPr>
        <w:t>3.  System Description</w:t>
      </w:r>
    </w:p>
    <w:p>
      <w:r>
        <w:rPr>
          <w:b w:val="0"/>
          <w:i w:val="0"/>
          <w:color w:val="000000"/>
          <w:sz w:val="21"/>
        </w:rPr>
        <w:t>Each BESS installation in the portfolio consists of the following major components, sourced from two manufacturers: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val="clear" w:color="auto" w:fill="1A365D"/>
          </w:tcPr>
          <w:p>
            <w:pPr>
              <w:jc w:val="center"/>
            </w:pPr>
            <w:r>
              <w:rPr>
                <w:b/>
                <w:color w:val="FFFFFF"/>
                <w:sz w:val="20"/>
              </w:rPr>
              <w:t>Component</w:t>
            </w:r>
          </w:p>
        </w:tc>
        <w:tc>
          <w:tcPr>
            <w:tcW w:type="dxa" w:w="2268"/>
            <w:shd w:val="clear" w:color="auto" w:fill="1A365D"/>
          </w:tcPr>
          <w:p>
            <w:pPr>
              <w:jc w:val="center"/>
            </w:pPr>
            <w:r>
              <w:rPr>
                <w:b/>
                <w:color w:val="FFFFFF"/>
                <w:sz w:val="20"/>
              </w:rPr>
              <w:t>Manufacturer</w:t>
            </w:r>
          </w:p>
        </w:tc>
        <w:tc>
          <w:tcPr>
            <w:tcW w:type="dxa" w:w="2551"/>
            <w:shd w:val="clear" w:color="auto" w:fill="1A365D"/>
          </w:tcPr>
          <w:p>
            <w:pPr>
              <w:jc w:val="center"/>
            </w:pPr>
            <w:r>
              <w:rPr>
                <w:b/>
                <w:color w:val="FFFFFF"/>
                <w:sz w:val="20"/>
              </w:rPr>
              <w:t>Key Model(s)</w:t>
            </w:r>
          </w:p>
        </w:tc>
        <w:tc>
          <w:tcPr>
            <w:tcW w:type="dxa" w:w="2268"/>
            <w:shd w:val="clear" w:color="auto" w:fill="1A365D"/>
          </w:tcPr>
          <w:p>
            <w:pPr>
              <w:jc w:val="center"/>
            </w:pPr>
            <w:r>
              <w:rPr>
                <w:b/>
                <w:color w:val="FFFFFF"/>
                <w:sz w:val="20"/>
              </w:rPr>
              <w:t>Function</w:t>
            </w:r>
          </w:p>
        </w:tc>
      </w:tr>
      <w:tr>
        <w:tc>
          <w:tcPr>
            <w:tcW w:type="dxa" w:w="2268"/>
          </w:tcPr>
          <w:p>
            <w:r>
              <w:rPr>
                <w:sz w:val="20"/>
              </w:rPr>
              <w:t>Battery Container (ESS)</w:t>
            </w:r>
          </w:p>
        </w:tc>
        <w:tc>
          <w:tcPr>
            <w:tcW w:type="dxa" w:w="2268"/>
          </w:tcPr>
          <w:p>
            <w:r>
              <w:rPr>
                <w:sz w:val="20"/>
              </w:rPr>
              <w:t>Linyang Energy (中国储能)</w:t>
            </w:r>
          </w:p>
        </w:tc>
        <w:tc>
          <w:tcPr>
            <w:tcW w:type="dxa" w:w="2551"/>
          </w:tcPr>
          <w:p>
            <w:r>
              <w:rPr>
                <w:sz w:val="20"/>
              </w:rPr>
              <w:t>LY-Ocean Series (LFP, 20HC container)</w:t>
            </w:r>
          </w:p>
        </w:tc>
        <w:tc>
          <w:tcPr>
            <w:tcW w:type="dxa" w:w="2268"/>
          </w:tcPr>
          <w:p>
            <w:r>
              <w:rPr>
                <w:sz w:val="20"/>
              </w:rPr>
              <w:t>Energy storage — Lithium Iron Phosphate cells</w:t>
            </w:r>
          </w:p>
        </w:tc>
      </w:tr>
      <w:tr>
        <w:tc>
          <w:tcPr>
            <w:tcW w:type="dxa" w:w="2268"/>
            <w:shd w:val="clear" w:color="auto" w:fill="F5F7FA"/>
          </w:tcPr>
          <w:p>
            <w:r>
              <w:rPr>
                <w:sz w:val="20"/>
              </w:rPr>
              <w:t>Battery Management System</w:t>
            </w:r>
          </w:p>
        </w:tc>
        <w:tc>
          <w:tcPr>
            <w:tcW w:type="dxa" w:w="2268"/>
            <w:shd w:val="clear" w:color="auto" w:fill="F5F7FA"/>
          </w:tcPr>
          <w:p>
            <w:r>
              <w:rPr>
                <w:sz w:val="20"/>
              </w:rPr>
              <w:t>Linyang Energy</w:t>
            </w:r>
          </w:p>
        </w:tc>
        <w:tc>
          <w:tcPr>
            <w:tcW w:type="dxa" w:w="2551"/>
            <w:shd w:val="clear" w:color="auto" w:fill="F5F7FA"/>
          </w:tcPr>
          <w:p>
            <w:r>
              <w:rPr>
                <w:sz w:val="20"/>
              </w:rPr>
              <w:t>Integrated BMS + EMS</w:t>
            </w:r>
          </w:p>
        </w:tc>
        <w:tc>
          <w:tcPr>
            <w:tcW w:type="dxa" w:w="2268"/>
            <w:shd w:val="clear" w:color="auto" w:fill="F5F7FA"/>
          </w:tcPr>
          <w:p>
            <w:r>
              <w:rPr>
                <w:sz w:val="20"/>
              </w:rPr>
              <w:t>Cell monitoring, protection, SOC/SOH management</w:t>
            </w:r>
          </w:p>
        </w:tc>
      </w:tr>
      <w:tr>
        <w:tc>
          <w:tcPr>
            <w:tcW w:type="dxa" w:w="2268"/>
          </w:tcPr>
          <w:p>
            <w:r>
              <w:rPr>
                <w:sz w:val="20"/>
              </w:rPr>
              <w:t>Power Conversion System (PCS)</w:t>
            </w:r>
          </w:p>
        </w:tc>
        <w:tc>
          <w:tcPr>
            <w:tcW w:type="dxa" w:w="2268"/>
          </w:tcPr>
          <w:p>
            <w:r>
              <w:rPr>
                <w:sz w:val="20"/>
              </w:rPr>
              <w:t>Kehua Digital Energy</w:t>
            </w:r>
          </w:p>
        </w:tc>
        <w:tc>
          <w:tcPr>
            <w:tcW w:type="dxa" w:w="2551"/>
          </w:tcPr>
          <w:p>
            <w:r>
              <w:rPr>
                <w:sz w:val="20"/>
              </w:rPr>
              <w:t>BCS1250K-C-HUD (T1 skid)</w:t>
            </w:r>
          </w:p>
        </w:tc>
        <w:tc>
          <w:tcPr>
            <w:tcW w:type="dxa" w:w="2268"/>
          </w:tcPr>
          <w:p>
            <w:r>
              <w:rPr>
                <w:sz w:val="20"/>
              </w:rPr>
              <w:t>AC/DC conversion, grid interface</w:t>
            </w:r>
          </w:p>
        </w:tc>
      </w:tr>
      <w:tr>
        <w:tc>
          <w:tcPr>
            <w:tcW w:type="dxa" w:w="2268"/>
            <w:shd w:val="clear" w:color="auto" w:fill="F5F7FA"/>
          </w:tcPr>
          <w:p>
            <w:r>
              <w:rPr>
                <w:sz w:val="20"/>
              </w:rPr>
              <w:t>MV Skid / Transformer</w:t>
            </w:r>
          </w:p>
        </w:tc>
        <w:tc>
          <w:tcPr>
            <w:tcW w:type="dxa" w:w="2268"/>
            <w:shd w:val="clear" w:color="auto" w:fill="F5F7FA"/>
          </w:tcPr>
          <w:p>
            <w:r>
              <w:rPr>
                <w:sz w:val="20"/>
              </w:rPr>
              <w:t>Kehua Digital Energy</w:t>
            </w:r>
          </w:p>
        </w:tc>
        <w:tc>
          <w:tcPr>
            <w:tcW w:type="dxa" w:w="2551"/>
            <w:shd w:val="clear" w:color="auto" w:fill="F5F7FA"/>
          </w:tcPr>
          <w:p>
            <w:r>
              <w:rPr>
                <w:sz w:val="20"/>
              </w:rPr>
              <w:t>BCS T1/T2/T4/T8 series (0.69/22kV)</w:t>
            </w:r>
          </w:p>
        </w:tc>
        <w:tc>
          <w:tcPr>
            <w:tcW w:type="dxa" w:w="2268"/>
            <w:shd w:val="clear" w:color="auto" w:fill="F5F7FA"/>
          </w:tcPr>
          <w:p>
            <w:r>
              <w:rPr>
                <w:sz w:val="20"/>
              </w:rPr>
              <w:t>MV step-up and switchgear</w:t>
            </w:r>
          </w:p>
        </w:tc>
      </w:tr>
      <w:tr>
        <w:tc>
          <w:tcPr>
            <w:tcW w:type="dxa" w:w="2268"/>
          </w:tcPr>
          <w:p>
            <w:r>
              <w:rPr>
                <w:sz w:val="20"/>
              </w:rPr>
              <w:t>Thermal Management (BTMS)</w:t>
            </w:r>
          </w:p>
        </w:tc>
        <w:tc>
          <w:tcPr>
            <w:tcW w:type="dxa" w:w="2268"/>
          </w:tcPr>
          <w:p>
            <w:r>
              <w:rPr>
                <w:sz w:val="20"/>
              </w:rPr>
              <w:t>Linyang (Kelvin BTMS)</w:t>
            </w:r>
          </w:p>
        </w:tc>
        <w:tc>
          <w:tcPr>
            <w:tcW w:type="dxa" w:w="2551"/>
          </w:tcPr>
          <w:p>
            <w:r>
              <w:rPr>
                <w:sz w:val="20"/>
              </w:rPr>
              <w:t>Liquid cooling, 45 kW per container</w:t>
            </w:r>
          </w:p>
        </w:tc>
        <w:tc>
          <w:tcPr>
            <w:tcW w:type="dxa" w:w="2268"/>
          </w:tcPr>
          <w:p>
            <w:r>
              <w:rPr>
                <w:sz w:val="20"/>
              </w:rPr>
              <w:t>Temperature control</w:t>
            </w:r>
          </w:p>
        </w:tc>
      </w:tr>
    </w:tbl>
    <w:p/>
    <w:p>
      <w:r>
        <w:rPr>
          <w:b w:val="0"/>
          <w:i w:val="0"/>
          <w:color w:val="000000"/>
          <w:sz w:val="21"/>
        </w:rPr>
        <w:t>Typical project size: 2.5 MW / 10 MWh per site (2× 1.25 MW PCS + 4–5× battery containers). The systems are Category C standalone storage facilities under the Cyprus DSO Technical Guide 2025.1.</w:t>
      </w:r>
    </w:p>
    <w:p>
      <w:pPr>
        <w:spacing w:before="360" w:after="80"/>
      </w:pPr>
      <w:r>
        <w:rPr>
          <w:b/>
          <w:color w:val="C9A432"/>
          <w:sz w:val="26"/>
        </w:rPr>
        <w:t>4.  Manufacturer Documents &amp; Certifications Already Available</w:t>
      </w:r>
    </w:p>
    <w:p>
      <w:r>
        <w:rPr>
          <w:b w:val="0"/>
          <w:i w:val="0"/>
          <w:color w:val="000000"/>
          <w:sz w:val="21"/>
        </w:rPr>
        <w:t>The following documents are held by Lighthief Cyprus Ltd and will be provided to MPEC in full upon engagement. They form the manufacturer specification basis required by Condition 33.</w:t>
      </w:r>
    </w:p>
    <w:p>
      <w:pPr>
        <w:spacing w:before="200" w:after="60"/>
      </w:pPr>
      <w:r>
        <w:rPr>
          <w:b/>
          <w:color w:val="1A365D"/>
          <w:sz w:val="22"/>
        </w:rPr>
        <w:t>4.1  Linyang Battery — Certifications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81"/>
            <w:shd w:val="clear" w:color="auto" w:fill="1A365D"/>
          </w:tcPr>
          <w:p>
            <w:pPr>
              <w:jc w:val="center"/>
            </w:pPr>
            <w:r>
              <w:rPr>
                <w:b/>
                <w:color w:val="FFFFFF"/>
                <w:sz w:val="20"/>
              </w:rPr>
              <w:t>Standard / Certification</w:t>
            </w:r>
          </w:p>
        </w:tc>
        <w:tc>
          <w:tcPr>
            <w:tcW w:type="dxa" w:w="2551"/>
            <w:shd w:val="clear" w:color="auto" w:fill="1A365D"/>
          </w:tcPr>
          <w:p>
            <w:pPr>
              <w:jc w:val="center"/>
            </w:pPr>
            <w:r>
              <w:rPr>
                <w:b/>
                <w:color w:val="FFFFFF"/>
                <w:sz w:val="20"/>
              </w:rPr>
              <w:t>Scope</w:t>
            </w:r>
          </w:p>
        </w:tc>
        <w:tc>
          <w:tcPr>
            <w:tcW w:type="dxa" w:w="1984"/>
            <w:shd w:val="clear" w:color="auto" w:fill="1A365D"/>
          </w:tcPr>
          <w:p>
            <w:pPr>
              <w:jc w:val="center"/>
            </w:pPr>
            <w:r>
              <w:rPr>
                <w:b/>
                <w:color w:val="FFFFFF"/>
                <w:sz w:val="20"/>
              </w:rPr>
              <w:t>Certificate / Reference</w:t>
            </w:r>
          </w:p>
        </w:tc>
        <w:tc>
          <w:tcPr>
            <w:tcW w:type="dxa" w:w="2438"/>
            <w:shd w:val="clear" w:color="auto" w:fill="1A365D"/>
          </w:tcPr>
          <w:p>
            <w:pPr>
              <w:jc w:val="center"/>
            </w:pPr>
            <w:r>
              <w:rPr>
                <w:b/>
                <w:color w:val="FFFFFF"/>
                <w:sz w:val="20"/>
              </w:rPr>
              <w:t>Risk Assessment Relevance</w:t>
            </w:r>
          </w:p>
        </w:tc>
      </w:tr>
      <w:tr>
        <w:tc>
          <w:tcPr>
            <w:tcW w:type="dxa" w:w="2381"/>
          </w:tcPr>
          <w:p>
            <w:r>
              <w:rPr>
                <w:sz w:val="20"/>
              </w:rPr>
              <w:t>UL 9540A (Unit Level)</w:t>
            </w:r>
          </w:p>
        </w:tc>
        <w:tc>
          <w:tcPr>
            <w:tcW w:type="dxa" w:w="2551"/>
          </w:tcPr>
          <w:p>
            <w:r>
              <w:rPr>
                <w:sz w:val="20"/>
              </w:rPr>
              <w:t>No thermal runaway propagation between modules</w:t>
            </w:r>
          </w:p>
        </w:tc>
        <w:tc>
          <w:tcPr>
            <w:tcW w:type="dxa" w:w="1984"/>
          </w:tcPr>
          <w:p>
            <w:r>
              <w:rPr>
                <w:sz w:val="20"/>
              </w:rPr>
              <w:t>80239432</w:t>
            </w:r>
          </w:p>
        </w:tc>
        <w:tc>
          <w:tcPr>
            <w:tcW w:type="dxa" w:w="2438"/>
          </w:tcPr>
          <w:p>
            <w:r>
              <w:rPr>
                <w:sz w:val="20"/>
              </w:rPr>
              <w:t>Core fire risk finding — confirms flame containment at unit level</w:t>
            </w:r>
          </w:p>
        </w:tc>
      </w:tr>
      <w:tr>
        <w:tc>
          <w:tcPr>
            <w:tcW w:type="dxa" w:w="2381"/>
            <w:shd w:val="clear" w:color="auto" w:fill="F5F7FA"/>
          </w:tcPr>
          <w:p>
            <w:r>
              <w:rPr>
                <w:sz w:val="20"/>
              </w:rPr>
              <w:t>IEC 62619:2022</w:t>
            </w:r>
          </w:p>
        </w:tc>
        <w:tc>
          <w:tcPr>
            <w:tcW w:type="dxa" w:w="2551"/>
            <w:shd w:val="clear" w:color="auto" w:fill="F5F7FA"/>
          </w:tcPr>
          <w:p>
            <w:r>
              <w:rPr>
                <w:sz w:val="20"/>
              </w:rPr>
              <w:t>Secondary battery safety — CB Scheme</w:t>
            </w:r>
          </w:p>
        </w:tc>
        <w:tc>
          <w:tcPr>
            <w:tcW w:type="dxa" w:w="1984"/>
            <w:shd w:val="clear" w:color="auto" w:fill="F5F7FA"/>
          </w:tcPr>
          <w:p>
            <w:r>
              <w:rPr>
                <w:sz w:val="20"/>
              </w:rPr>
              <w:t>BE-51213</w:t>
            </w:r>
          </w:p>
        </w:tc>
        <w:tc>
          <w:tcPr>
            <w:tcW w:type="dxa" w:w="2438"/>
            <w:shd w:val="clear" w:color="auto" w:fill="F5F7FA"/>
          </w:tcPr>
          <w:p>
            <w:r>
              <w:rPr>
                <w:sz w:val="20"/>
              </w:rPr>
              <w:t>General battery safety baseline</w:t>
            </w:r>
          </w:p>
        </w:tc>
      </w:tr>
      <w:tr>
        <w:tc>
          <w:tcPr>
            <w:tcW w:type="dxa" w:w="2381"/>
          </w:tcPr>
          <w:p>
            <w:r>
              <w:rPr>
                <w:sz w:val="20"/>
              </w:rPr>
              <w:t>IEC 63056:2020</w:t>
            </w:r>
          </w:p>
        </w:tc>
        <w:tc>
          <w:tcPr>
            <w:tcW w:type="dxa" w:w="2551"/>
          </w:tcPr>
          <w:p>
            <w:r>
              <w:rPr>
                <w:sz w:val="20"/>
              </w:rPr>
              <w:t>Safety requirements for secondary lithium cells</w:t>
            </w:r>
          </w:p>
        </w:tc>
        <w:tc>
          <w:tcPr>
            <w:tcW w:type="dxa" w:w="1984"/>
          </w:tcPr>
          <w:p>
            <w:r>
              <w:rPr>
                <w:sz w:val="20"/>
              </w:rPr>
              <w:t>SG SGS-00632</w:t>
            </w:r>
          </w:p>
        </w:tc>
        <w:tc>
          <w:tcPr>
            <w:tcW w:type="dxa" w:w="2438"/>
          </w:tcPr>
          <w:p>
            <w:r>
              <w:rPr>
                <w:sz w:val="20"/>
              </w:rPr>
              <w:t>Cell-level safety compliance</w:t>
            </w:r>
          </w:p>
        </w:tc>
      </w:tr>
      <w:tr>
        <w:tc>
          <w:tcPr>
            <w:tcW w:type="dxa" w:w="2381"/>
            <w:shd w:val="clear" w:color="auto" w:fill="F5F7FA"/>
          </w:tcPr>
          <w:p>
            <w:r>
              <w:rPr>
                <w:sz w:val="20"/>
              </w:rPr>
              <w:t>UL 1973</w:t>
            </w:r>
          </w:p>
        </w:tc>
        <w:tc>
          <w:tcPr>
            <w:tcW w:type="dxa" w:w="2551"/>
            <w:shd w:val="clear" w:color="auto" w:fill="F5F7FA"/>
          </w:tcPr>
          <w:p>
            <w:r>
              <w:rPr>
                <w:sz w:val="20"/>
              </w:rPr>
              <w:t>Battery systems for stationary applications (cell level)</w:t>
            </w:r>
          </w:p>
        </w:tc>
        <w:tc>
          <w:tcPr>
            <w:tcW w:type="dxa" w:w="1984"/>
            <w:shd w:val="clear" w:color="auto" w:fill="F5F7FA"/>
          </w:tcPr>
          <w:p>
            <w:r>
              <w:rPr>
                <w:sz w:val="20"/>
              </w:rPr>
              <w:t>MH63503</w:t>
            </w:r>
          </w:p>
        </w:tc>
        <w:tc>
          <w:tcPr>
            <w:tcW w:type="dxa" w:w="2438"/>
            <w:shd w:val="clear" w:color="auto" w:fill="F5F7FA"/>
          </w:tcPr>
          <w:p>
            <w:r>
              <w:rPr>
                <w:sz w:val="20"/>
              </w:rPr>
              <w:t>Stationary storage safety</w:t>
            </w:r>
          </w:p>
        </w:tc>
      </w:tr>
      <w:tr>
        <w:tc>
          <w:tcPr>
            <w:tcW w:type="dxa" w:w="2381"/>
          </w:tcPr>
          <w:p>
            <w:r>
              <w:rPr>
                <w:sz w:val="20"/>
              </w:rPr>
              <w:t>UN 38.3</w:t>
            </w:r>
          </w:p>
        </w:tc>
        <w:tc>
          <w:tcPr>
            <w:tcW w:type="dxa" w:w="2551"/>
          </w:tcPr>
          <w:p>
            <w:r>
              <w:rPr>
                <w:sz w:val="20"/>
              </w:rPr>
              <w:t>Transport safety classification for lithium batteries</w:t>
            </w:r>
          </w:p>
        </w:tc>
        <w:tc>
          <w:tcPr>
            <w:tcW w:type="dxa" w:w="1984"/>
          </w:tcPr>
          <w:p>
            <w:r>
              <w:rPr>
                <w:sz w:val="20"/>
              </w:rPr>
              <w:t>01112300005127</w:t>
            </w:r>
          </w:p>
        </w:tc>
        <w:tc>
          <w:tcPr>
            <w:tcW w:type="dxa" w:w="2438"/>
          </w:tcPr>
          <w:p>
            <w:r>
              <w:rPr>
                <w:sz w:val="20"/>
              </w:rPr>
              <w:t>Hazardous goods classification</w:t>
            </w:r>
          </w:p>
        </w:tc>
      </w:tr>
      <w:tr>
        <w:tc>
          <w:tcPr>
            <w:tcW w:type="dxa" w:w="2381"/>
            <w:shd w:val="clear" w:color="auto" w:fill="F5F7FA"/>
          </w:tcPr>
          <w:p>
            <w:r>
              <w:rPr>
                <w:sz w:val="20"/>
              </w:rPr>
              <w:t>EN 60204-1 / EN ISO 12100</w:t>
            </w:r>
          </w:p>
        </w:tc>
        <w:tc>
          <w:tcPr>
            <w:tcW w:type="dxa" w:w="2551"/>
            <w:shd w:val="clear" w:color="auto" w:fill="F5F7FA"/>
          </w:tcPr>
          <w:p>
            <w:r>
              <w:rPr>
                <w:sz w:val="20"/>
              </w:rPr>
              <w:t>Machinery safety — Thermal Management System (BTMS)</w:t>
            </w:r>
          </w:p>
        </w:tc>
        <w:tc>
          <w:tcPr>
            <w:tcW w:type="dxa" w:w="1984"/>
            <w:shd w:val="clear" w:color="auto" w:fill="F5F7FA"/>
          </w:tcPr>
          <w:p>
            <w:r>
              <w:rPr>
                <w:sz w:val="20"/>
              </w:rPr>
              <w:t>M7 122013 0012</w:t>
            </w:r>
          </w:p>
        </w:tc>
        <w:tc>
          <w:tcPr>
            <w:tcW w:type="dxa" w:w="2438"/>
            <w:shd w:val="clear" w:color="auto" w:fill="F5F7FA"/>
          </w:tcPr>
          <w:p>
            <w:r>
              <w:rPr>
                <w:sz w:val="20"/>
              </w:rPr>
              <w:t>Cooling system mechanical safety</w:t>
            </w:r>
          </w:p>
        </w:tc>
      </w:tr>
      <w:tr>
        <w:tc>
          <w:tcPr>
            <w:tcW w:type="dxa" w:w="2381"/>
          </w:tcPr>
          <w:p>
            <w:r>
              <w:rPr>
                <w:sz w:val="20"/>
              </w:rPr>
              <w:t>IEC 61000-6-2 / 61000-6-4</w:t>
            </w:r>
          </w:p>
        </w:tc>
        <w:tc>
          <w:tcPr>
            <w:tcW w:type="dxa" w:w="2551"/>
          </w:tcPr>
          <w:p>
            <w:r>
              <w:rPr>
                <w:sz w:val="20"/>
              </w:rPr>
              <w:t>EMC immunity and emissions — container level</w:t>
            </w:r>
          </w:p>
        </w:tc>
        <w:tc>
          <w:tcPr>
            <w:tcW w:type="dxa" w:w="1984"/>
          </w:tcPr>
          <w:p>
            <w:r>
              <w:rPr>
                <w:sz w:val="20"/>
              </w:rPr>
              <w:t>E6A 130105 0005</w:t>
            </w:r>
          </w:p>
        </w:tc>
        <w:tc>
          <w:tcPr>
            <w:tcW w:type="dxa" w:w="2438"/>
          </w:tcPr>
          <w:p>
            <w:r>
              <w:rPr>
                <w:sz w:val="20"/>
              </w:rPr>
              <w:t>Electromagnetic compatibility</w:t>
            </w:r>
          </w:p>
        </w:tc>
      </w:tr>
      <w:tr>
        <w:tc>
          <w:tcPr>
            <w:tcW w:type="dxa" w:w="2381"/>
            <w:shd w:val="clear" w:color="auto" w:fill="F5F7FA"/>
          </w:tcPr>
          <w:p>
            <w:r>
              <w:rPr>
                <w:sz w:val="20"/>
              </w:rPr>
              <w:t>IEC 62933-5-2</w:t>
            </w:r>
          </w:p>
        </w:tc>
        <w:tc>
          <w:tcPr>
            <w:tcW w:type="dxa" w:w="2551"/>
            <w:shd w:val="clear" w:color="auto" w:fill="F5F7FA"/>
          </w:tcPr>
          <w:p>
            <w:r>
              <w:rPr>
                <w:sz w:val="20"/>
              </w:rPr>
              <w:t>Grid integration safety — in progress / recently issued</w:t>
            </w:r>
          </w:p>
        </w:tc>
        <w:tc>
          <w:tcPr>
            <w:tcW w:type="dxa" w:w="1984"/>
            <w:shd w:val="clear" w:color="auto" w:fill="F5F7FA"/>
          </w:tcPr>
          <w:p>
            <w:r>
              <w:rPr>
                <w:sz w:val="20"/>
              </w:rPr>
              <w:t>704082542702-00</w:t>
            </w:r>
          </w:p>
        </w:tc>
        <w:tc>
          <w:tcPr>
            <w:tcW w:type="dxa" w:w="2438"/>
            <w:shd w:val="clear" w:color="auto" w:fill="F5F7FA"/>
          </w:tcPr>
          <w:p>
            <w:r>
              <w:rPr>
                <w:sz w:val="20"/>
              </w:rPr>
              <w:t>Grid-level safety — status to be confirmed</w:t>
            </w:r>
          </w:p>
        </w:tc>
      </w:tr>
    </w:tbl>
    <w:p/>
    <w:p>
      <w:pPr>
        <w:spacing w:before="200" w:after="60"/>
      </w:pPr>
      <w:r>
        <w:rPr>
          <w:b/>
          <w:color w:val="1A365D"/>
          <w:sz w:val="22"/>
        </w:rPr>
        <w:t>4.2  Kehua PCS — Certifications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81"/>
            <w:shd w:val="clear" w:color="auto" w:fill="1A365D"/>
          </w:tcPr>
          <w:p>
            <w:pPr>
              <w:jc w:val="center"/>
            </w:pPr>
            <w:r>
              <w:rPr>
                <w:b/>
                <w:color w:val="FFFFFF"/>
                <w:sz w:val="20"/>
              </w:rPr>
              <w:t>Standard / Certification</w:t>
            </w:r>
          </w:p>
        </w:tc>
        <w:tc>
          <w:tcPr>
            <w:tcW w:type="dxa" w:w="2835"/>
            <w:shd w:val="clear" w:color="auto" w:fill="1A365D"/>
          </w:tcPr>
          <w:p>
            <w:pPr>
              <w:jc w:val="center"/>
            </w:pPr>
            <w:r>
              <w:rPr>
                <w:b/>
                <w:color w:val="FFFFFF"/>
                <w:sz w:val="20"/>
              </w:rPr>
              <w:t>Scope</w:t>
            </w:r>
          </w:p>
        </w:tc>
        <w:tc>
          <w:tcPr>
            <w:tcW w:type="dxa" w:w="2268"/>
            <w:shd w:val="clear" w:color="auto" w:fill="1A365D"/>
          </w:tcPr>
          <w:p>
            <w:pPr>
              <w:jc w:val="center"/>
            </w:pPr>
            <w:r>
              <w:rPr>
                <w:b/>
                <w:color w:val="FFFFFF"/>
                <w:sz w:val="20"/>
              </w:rPr>
              <w:t>Document</w:t>
            </w:r>
          </w:p>
        </w:tc>
        <w:tc>
          <w:tcPr>
            <w:tcW w:type="dxa" w:w="1871"/>
            <w:shd w:val="clear" w:color="auto" w:fill="1A365D"/>
          </w:tcPr>
          <w:p>
            <w:pPr>
              <w:jc w:val="center"/>
            </w:pPr>
            <w:r>
              <w:rPr>
                <w:b/>
                <w:color w:val="FFFFFF"/>
                <w:sz w:val="20"/>
              </w:rPr>
              <w:t>Risk Assessment Relevance</w:t>
            </w:r>
          </w:p>
        </w:tc>
      </w:tr>
      <w:tr>
        <w:tc>
          <w:tcPr>
            <w:tcW w:type="dxa" w:w="2381"/>
          </w:tcPr>
          <w:p>
            <w:r>
              <w:rPr>
                <w:sz w:val="20"/>
              </w:rPr>
              <w:t>EN 50549-2</w:t>
            </w:r>
          </w:p>
        </w:tc>
        <w:tc>
          <w:tcPr>
            <w:tcW w:type="dxa" w:w="2835"/>
          </w:tcPr>
          <w:p>
            <w:r>
              <w:rPr>
                <w:sz w:val="20"/>
              </w:rPr>
              <w:t>Grid connection standard for generating plants &gt;16A — full certificate + 41MB test report</w:t>
            </w:r>
          </w:p>
        </w:tc>
        <w:tc>
          <w:tcPr>
            <w:tcW w:type="dxa" w:w="2268"/>
          </w:tcPr>
          <w:p>
            <w:r>
              <w:rPr>
                <w:sz w:val="20"/>
              </w:rPr>
              <w:t>BCS1250K-C-HUD EN50549-2 cert + report</w:t>
            </w:r>
          </w:p>
        </w:tc>
        <w:tc>
          <w:tcPr>
            <w:tcW w:type="dxa" w:w="1871"/>
          </w:tcPr>
          <w:p>
            <w:r>
              <w:rPr>
                <w:sz w:val="20"/>
              </w:rPr>
              <w:t>LVRT/HVRT behaviour, grid fault response</w:t>
            </w:r>
          </w:p>
        </w:tc>
      </w:tr>
      <w:tr>
        <w:tc>
          <w:tcPr>
            <w:tcW w:type="dxa" w:w="2381"/>
            <w:shd w:val="clear" w:color="auto" w:fill="F5F7FA"/>
          </w:tcPr>
          <w:p>
            <w:r>
              <w:rPr>
                <w:sz w:val="20"/>
              </w:rPr>
              <w:t>IEC 62477-1 (CB Scheme)</w:t>
            </w:r>
          </w:p>
        </w:tc>
        <w:tc>
          <w:tcPr>
            <w:tcW w:type="dxa" w:w="2835"/>
            <w:shd w:val="clear" w:color="auto" w:fill="F5F7FA"/>
          </w:tcPr>
          <w:p>
            <w:r>
              <w:rPr>
                <w:sz w:val="20"/>
              </w:rPr>
              <w:t>Safety of power electronics — TÜV SÜD cert, valid to 2030</w:t>
            </w:r>
          </w:p>
        </w:tc>
        <w:tc>
          <w:tcPr>
            <w:tcW w:type="dxa" w:w="2268"/>
            <w:shd w:val="clear" w:color="auto" w:fill="F5F7FA"/>
          </w:tcPr>
          <w:p>
            <w:r>
              <w:rPr>
                <w:sz w:val="20"/>
              </w:rPr>
              <w:t>BCS1000~1250K IEC62477-1 CB cert</w:t>
            </w:r>
          </w:p>
        </w:tc>
        <w:tc>
          <w:tcPr>
            <w:tcW w:type="dxa" w:w="1871"/>
            <w:shd w:val="clear" w:color="auto" w:fill="F5F7FA"/>
          </w:tcPr>
          <w:p>
            <w:r>
              <w:rPr>
                <w:sz w:val="20"/>
              </w:rPr>
              <w:t>PCS electrical safety</w:t>
            </w:r>
          </w:p>
        </w:tc>
      </w:tr>
      <w:tr>
        <w:tc>
          <w:tcPr>
            <w:tcW w:type="dxa" w:w="2381"/>
          </w:tcPr>
          <w:p>
            <w:r>
              <w:rPr>
                <w:sz w:val="20"/>
              </w:rPr>
              <w:t>CE-LVD (Low Voltage Directive)</w:t>
            </w:r>
          </w:p>
        </w:tc>
        <w:tc>
          <w:tcPr>
            <w:tcW w:type="dxa" w:w="2835"/>
          </w:tcPr>
          <w:p>
            <w:r>
              <w:rPr>
                <w:sz w:val="20"/>
              </w:rPr>
              <w:t>EU market access — Low Voltage</w:t>
            </w:r>
          </w:p>
        </w:tc>
        <w:tc>
          <w:tcPr>
            <w:tcW w:type="dxa" w:w="2268"/>
          </w:tcPr>
          <w:p>
            <w:r>
              <w:rPr>
                <w:sz w:val="20"/>
              </w:rPr>
              <w:t>BCS1000~1250K CE-LVD cert</w:t>
            </w:r>
          </w:p>
        </w:tc>
        <w:tc>
          <w:tcPr>
            <w:tcW w:type="dxa" w:w="1871"/>
          </w:tcPr>
          <w:p>
            <w:r>
              <w:rPr>
                <w:sz w:val="20"/>
              </w:rPr>
              <w:t>LVD compliance</w:t>
            </w:r>
          </w:p>
        </w:tc>
      </w:tr>
      <w:tr>
        <w:tc>
          <w:tcPr>
            <w:tcW w:type="dxa" w:w="2381"/>
            <w:shd w:val="clear" w:color="auto" w:fill="F5F7FA"/>
          </w:tcPr>
          <w:p>
            <w:r>
              <w:rPr>
                <w:sz w:val="20"/>
              </w:rPr>
              <w:t>CE-EMC</w:t>
            </w:r>
          </w:p>
        </w:tc>
        <w:tc>
          <w:tcPr>
            <w:tcW w:type="dxa" w:w="2835"/>
            <w:shd w:val="clear" w:color="auto" w:fill="F5F7FA"/>
          </w:tcPr>
          <w:p>
            <w:r>
              <w:rPr>
                <w:sz w:val="20"/>
              </w:rPr>
              <w:t>Electromagnetic compatibility</w:t>
            </w:r>
          </w:p>
        </w:tc>
        <w:tc>
          <w:tcPr>
            <w:tcW w:type="dxa" w:w="2268"/>
            <w:shd w:val="clear" w:color="auto" w:fill="F5F7FA"/>
          </w:tcPr>
          <w:p>
            <w:r>
              <w:rPr>
                <w:sz w:val="20"/>
              </w:rPr>
              <w:t>BCS1000~1250K CE-EMC cert</w:t>
            </w:r>
          </w:p>
        </w:tc>
        <w:tc>
          <w:tcPr>
            <w:tcW w:type="dxa" w:w="1871"/>
            <w:shd w:val="clear" w:color="auto" w:fill="F5F7FA"/>
          </w:tcPr>
          <w:p>
            <w:r>
              <w:rPr>
                <w:sz w:val="20"/>
              </w:rPr>
              <w:t>EMC compliance</w:t>
            </w:r>
          </w:p>
        </w:tc>
      </w:tr>
      <w:tr>
        <w:tc>
          <w:tcPr>
            <w:tcW w:type="dxa" w:w="2381"/>
          </w:tcPr>
          <w:p>
            <w:r>
              <w:rPr>
                <w:sz w:val="20"/>
              </w:rPr>
              <w:t>IEC 62116 + IEC 61727</w:t>
            </w:r>
          </w:p>
        </w:tc>
        <w:tc>
          <w:tcPr>
            <w:tcW w:type="dxa" w:w="2835"/>
          </w:tcPr>
          <w:p>
            <w:r>
              <w:rPr>
                <w:sz w:val="20"/>
              </w:rPr>
              <w:t>Anti-islanding + grid connection characteristics</w:t>
            </w:r>
          </w:p>
        </w:tc>
        <w:tc>
          <w:tcPr>
            <w:tcW w:type="dxa" w:w="2268"/>
          </w:tcPr>
          <w:p>
            <w:r>
              <w:rPr>
                <w:sz w:val="20"/>
              </w:rPr>
              <w:t>BCS1000~1250K cert</w:t>
            </w:r>
          </w:p>
        </w:tc>
        <w:tc>
          <w:tcPr>
            <w:tcW w:type="dxa" w:w="1871"/>
          </w:tcPr>
          <w:p>
            <w:r>
              <w:rPr>
                <w:sz w:val="20"/>
              </w:rPr>
              <w:t>Anti-islanding protection</w:t>
            </w:r>
          </w:p>
        </w:tc>
      </w:tr>
      <w:tr>
        <w:tc>
          <w:tcPr>
            <w:tcW w:type="dxa" w:w="2381"/>
            <w:shd w:val="clear" w:color="auto" w:fill="F5F7FA"/>
          </w:tcPr>
          <w:p>
            <w:r>
              <w:rPr>
                <w:sz w:val="20"/>
              </w:rPr>
              <w:t>IEC 62909-1/-2 (TÜV SÜD)</w:t>
            </w:r>
          </w:p>
        </w:tc>
        <w:tc>
          <w:tcPr>
            <w:tcW w:type="dxa" w:w="2835"/>
            <w:shd w:val="clear" w:color="auto" w:fill="F5F7FA"/>
          </w:tcPr>
          <w:p>
            <w:r>
              <w:rPr>
                <w:sz w:val="20"/>
              </w:rPr>
              <w:t>Bidirectional power conversion systems</w:t>
            </w:r>
          </w:p>
        </w:tc>
        <w:tc>
          <w:tcPr>
            <w:tcW w:type="dxa" w:w="2268"/>
            <w:shd w:val="clear" w:color="auto" w:fill="F5F7FA"/>
          </w:tcPr>
          <w:p>
            <w:r>
              <w:rPr>
                <w:sz w:val="20"/>
              </w:rPr>
              <w:t>BCS1000-1250K cert</w:t>
            </w:r>
          </w:p>
        </w:tc>
        <w:tc>
          <w:tcPr>
            <w:tcW w:type="dxa" w:w="1871"/>
            <w:shd w:val="clear" w:color="auto" w:fill="F5F7FA"/>
          </w:tcPr>
          <w:p>
            <w:r>
              <w:rPr>
                <w:sz w:val="20"/>
              </w:rPr>
              <w:t>PCS safety for storage applications</w:t>
            </w:r>
          </w:p>
        </w:tc>
      </w:tr>
    </w:tbl>
    <w:p/>
    <w:p>
      <w:pPr>
        <w:spacing w:before="200" w:after="60"/>
      </w:pPr>
      <w:r>
        <w:rPr>
          <w:b/>
          <w:color w:val="1A365D"/>
          <w:sz w:val="22"/>
        </w:rPr>
        <w:t>4.3  Technical Data Available for Risk Assessment Drafting</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1A365D"/>
          </w:tcPr>
          <w:p>
            <w:pPr>
              <w:jc w:val="center"/>
            </w:pPr>
            <w:r>
              <w:rPr>
                <w:b/>
                <w:color w:val="FFFFFF"/>
                <w:sz w:val="20"/>
              </w:rPr>
              <w:t>Document</w:t>
            </w:r>
          </w:p>
        </w:tc>
        <w:tc>
          <w:tcPr>
            <w:tcW w:type="dxa" w:w="3685"/>
            <w:shd w:val="clear" w:color="auto" w:fill="1A365D"/>
          </w:tcPr>
          <w:p>
            <w:pPr>
              <w:jc w:val="center"/>
            </w:pPr>
            <w:r>
              <w:rPr>
                <w:b/>
                <w:color w:val="FFFFFF"/>
                <w:sz w:val="20"/>
              </w:rPr>
              <w:t>Content</w:t>
            </w:r>
          </w:p>
        </w:tc>
        <w:tc>
          <w:tcPr>
            <w:tcW w:type="dxa" w:w="2268"/>
            <w:shd w:val="clear" w:color="auto" w:fill="1A365D"/>
          </w:tcPr>
          <w:p>
            <w:pPr>
              <w:jc w:val="center"/>
            </w:pPr>
            <w:r>
              <w:rPr>
                <w:b/>
                <w:color w:val="FFFFFF"/>
                <w:sz w:val="20"/>
              </w:rPr>
              <w:t>Source</w:t>
            </w:r>
          </w:p>
        </w:tc>
      </w:tr>
      <w:tr>
        <w:tc>
          <w:tcPr>
            <w:tcW w:type="dxa" w:w="2835"/>
          </w:tcPr>
          <w:p>
            <w:r>
              <w:rPr>
                <w:sz w:val="20"/>
              </w:rPr>
              <w:t>Kehua BCS1250K efficiency curves</w:t>
            </w:r>
          </w:p>
        </w:tc>
        <w:tc>
          <w:tcPr>
            <w:tcW w:type="dxa" w:w="3685"/>
          </w:tcPr>
          <w:p>
            <w:r>
              <w:rPr>
                <w:sz w:val="20"/>
              </w:rPr>
              <w:t>Operating efficiency 97.5–99%; operating temperature range -35°C to +60°C</w:t>
            </w:r>
          </w:p>
        </w:tc>
        <w:tc>
          <w:tcPr>
            <w:tcW w:type="dxa" w:w="2268"/>
          </w:tcPr>
          <w:p>
            <w:r>
              <w:rPr>
                <w:sz w:val="20"/>
              </w:rPr>
              <w:t>Kehua (on file)</w:t>
            </w:r>
          </w:p>
        </w:tc>
      </w:tr>
      <w:tr>
        <w:tc>
          <w:tcPr>
            <w:tcW w:type="dxa" w:w="2835"/>
            <w:shd w:val="clear" w:color="auto" w:fill="F5F7FA"/>
          </w:tcPr>
          <w:p>
            <w:r>
              <w:rPr>
                <w:sz w:val="20"/>
              </w:rPr>
              <w:t>Kehua PCS P-Q capability curves (single + parallel)</w:t>
            </w:r>
          </w:p>
        </w:tc>
        <w:tc>
          <w:tcPr>
            <w:tcW w:type="dxa" w:w="3685"/>
            <w:shd w:val="clear" w:color="auto" w:fill="F5F7FA"/>
          </w:tcPr>
          <w:p>
            <w:r>
              <w:rPr>
                <w:sz w:val="20"/>
              </w:rPr>
              <w:t>Reactive power capability at all operating points</w:t>
            </w:r>
          </w:p>
        </w:tc>
        <w:tc>
          <w:tcPr>
            <w:tcW w:type="dxa" w:w="2268"/>
            <w:shd w:val="clear" w:color="auto" w:fill="F5F7FA"/>
          </w:tcPr>
          <w:p>
            <w:r>
              <w:rPr>
                <w:sz w:val="20"/>
              </w:rPr>
              <w:t>Kehua (on file)</w:t>
            </w:r>
          </w:p>
        </w:tc>
      </w:tr>
      <w:tr>
        <w:tc>
          <w:tcPr>
            <w:tcW w:type="dxa" w:w="2835"/>
          </w:tcPr>
          <w:p>
            <w:r>
              <w:rPr>
                <w:sz w:val="20"/>
              </w:rPr>
              <w:t>FRT / Frequency Response curves</w:t>
            </w:r>
          </w:p>
        </w:tc>
        <w:tc>
          <w:tcPr>
            <w:tcW w:type="dxa" w:w="3685"/>
          </w:tcPr>
          <w:p>
            <w:r>
              <w:rPr>
                <w:sz w:val="20"/>
              </w:rPr>
              <w:t>Behaviour under grid frequency disturbance events</w:t>
            </w:r>
          </w:p>
        </w:tc>
        <w:tc>
          <w:tcPr>
            <w:tcW w:type="dxa" w:w="2268"/>
          </w:tcPr>
          <w:p>
            <w:r>
              <w:rPr>
                <w:sz w:val="20"/>
              </w:rPr>
              <w:t>Kehua (on file)</w:t>
            </w:r>
          </w:p>
        </w:tc>
      </w:tr>
      <w:tr>
        <w:tc>
          <w:tcPr>
            <w:tcW w:type="dxa" w:w="2835"/>
            <w:shd w:val="clear" w:color="auto" w:fill="F5F7FA"/>
          </w:tcPr>
          <w:p>
            <w:r>
              <w:rPr>
                <w:sz w:val="20"/>
              </w:rPr>
              <w:t>THD + Flicker + DC Injection test results</w:t>
            </w:r>
          </w:p>
        </w:tc>
        <w:tc>
          <w:tcPr>
            <w:tcW w:type="dxa" w:w="3685"/>
            <w:shd w:val="clear" w:color="auto" w:fill="F5F7FA"/>
          </w:tcPr>
          <w:p>
            <w:r>
              <w:rPr>
                <w:sz w:val="20"/>
              </w:rPr>
              <w:t>Power quality; DC injection &lt;0.5%; THDi &lt;3%</w:t>
            </w:r>
          </w:p>
        </w:tc>
        <w:tc>
          <w:tcPr>
            <w:tcW w:type="dxa" w:w="2268"/>
            <w:shd w:val="clear" w:color="auto" w:fill="F5F7FA"/>
          </w:tcPr>
          <w:p>
            <w:r>
              <w:rPr>
                <w:sz w:val="20"/>
              </w:rPr>
              <w:t>Kehua (on file)</w:t>
            </w:r>
          </w:p>
        </w:tc>
      </w:tr>
      <w:tr>
        <w:tc>
          <w:tcPr>
            <w:tcW w:type="dxa" w:w="2835"/>
          </w:tcPr>
          <w:p>
            <w:r>
              <w:rPr>
                <w:sz w:val="20"/>
              </w:rPr>
              <w:t>IEC 60870-5-104 SCADA point list</w:t>
            </w:r>
          </w:p>
        </w:tc>
        <w:tc>
          <w:tcPr>
            <w:tcW w:type="dxa" w:w="3685"/>
          </w:tcPr>
          <w:p>
            <w:r>
              <w:rPr>
                <w:sz w:val="20"/>
              </w:rPr>
              <w:t>Remote control and monitoring register map</w:t>
            </w:r>
          </w:p>
        </w:tc>
        <w:tc>
          <w:tcPr>
            <w:tcW w:type="dxa" w:w="2268"/>
          </w:tcPr>
          <w:p>
            <w:r>
              <w:rPr>
                <w:sz w:val="20"/>
              </w:rPr>
              <w:t>Kehua (on file)</w:t>
            </w:r>
          </w:p>
        </w:tc>
      </w:tr>
      <w:tr>
        <w:tc>
          <w:tcPr>
            <w:tcW w:type="dxa" w:w="2835"/>
            <w:shd w:val="clear" w:color="auto" w:fill="F5F7FA"/>
          </w:tcPr>
          <w:p>
            <w:r>
              <w:rPr>
                <w:sz w:val="20"/>
              </w:rPr>
              <w:t>Kehua MV Skid datasheets (T1/T2/T4/T8)</w:t>
            </w:r>
          </w:p>
        </w:tc>
        <w:tc>
          <w:tcPr>
            <w:tcW w:type="dxa" w:w="3685"/>
            <w:shd w:val="clear" w:color="auto" w:fill="F5F7FA"/>
          </w:tcPr>
          <w:p>
            <w:r>
              <w:rPr>
                <w:sz w:val="20"/>
              </w:rPr>
              <w:t>Physical dimensions, weight, IP ratings, MV transformer specs</w:t>
            </w:r>
          </w:p>
        </w:tc>
        <w:tc>
          <w:tcPr>
            <w:tcW w:type="dxa" w:w="2268"/>
            <w:shd w:val="clear" w:color="auto" w:fill="F5F7FA"/>
          </w:tcPr>
          <w:p>
            <w:r>
              <w:rPr>
                <w:sz w:val="20"/>
              </w:rPr>
              <w:t>Kehua (on file)</w:t>
            </w:r>
          </w:p>
        </w:tc>
      </w:tr>
      <w:tr>
        <w:tc>
          <w:tcPr>
            <w:tcW w:type="dxa" w:w="2835"/>
          </w:tcPr>
          <w:p>
            <w:r>
              <w:rPr>
                <w:sz w:val="20"/>
              </w:rPr>
              <w:t>System Single Line Diagrams (22kV)</w:t>
            </w:r>
          </w:p>
        </w:tc>
        <w:tc>
          <w:tcPr>
            <w:tcW w:type="dxa" w:w="3685"/>
          </w:tcPr>
          <w:p>
            <w:r>
              <w:rPr>
                <w:sz w:val="20"/>
              </w:rPr>
              <w:t>Reference SLDs from comparable Cyprus BESS projects</w:t>
            </w:r>
          </w:p>
        </w:tc>
        <w:tc>
          <w:tcPr>
            <w:tcW w:type="dxa" w:w="2268"/>
          </w:tcPr>
          <w:p>
            <w:r>
              <w:rPr>
                <w:sz w:val="20"/>
              </w:rPr>
              <w:t>Kehua (on file)</w:t>
            </w:r>
          </w:p>
        </w:tc>
      </w:tr>
      <w:tr>
        <w:tc>
          <w:tcPr>
            <w:tcW w:type="dxa" w:w="2835"/>
            <w:shd w:val="clear" w:color="auto" w:fill="F5F7FA"/>
          </w:tcPr>
          <w:p>
            <w:r>
              <w:rPr>
                <w:sz w:val="20"/>
              </w:rPr>
              <w:t>Linyang User Manual V2.0</w:t>
            </w:r>
          </w:p>
        </w:tc>
        <w:tc>
          <w:tcPr>
            <w:tcW w:type="dxa" w:w="3685"/>
            <w:shd w:val="clear" w:color="auto" w:fill="F5F7FA"/>
          </w:tcPr>
          <w:p>
            <w:r>
              <w:rPr>
                <w:sz w:val="20"/>
              </w:rPr>
              <w:t>Installation, commissioning, maintenance, and safety procedures</w:t>
            </w:r>
          </w:p>
        </w:tc>
        <w:tc>
          <w:tcPr>
            <w:tcW w:type="dxa" w:w="2268"/>
            <w:shd w:val="clear" w:color="auto" w:fill="F5F7FA"/>
          </w:tcPr>
          <w:p>
            <w:r>
              <w:rPr>
                <w:sz w:val="20"/>
              </w:rPr>
              <w:t>Linyang (on file)</w:t>
            </w:r>
          </w:p>
        </w:tc>
      </w:tr>
      <w:tr>
        <w:tc>
          <w:tcPr>
            <w:tcW w:type="dxa" w:w="2835"/>
          </w:tcPr>
          <w:p>
            <w:r>
              <w:rPr>
                <w:sz w:val="20"/>
              </w:rPr>
              <w:t>DSO Technical Guide 2025.1 (EAC)</w:t>
            </w:r>
          </w:p>
        </w:tc>
        <w:tc>
          <w:tcPr>
            <w:tcW w:type="dxa" w:w="3685"/>
          </w:tcPr>
          <w:p>
            <w:r>
              <w:rPr>
                <w:sz w:val="20"/>
              </w:rPr>
              <w:t>Cyprus DSO safety distances, fire, SCADA, and protection requirements</w:t>
            </w:r>
          </w:p>
        </w:tc>
        <w:tc>
          <w:tcPr>
            <w:tcW w:type="dxa" w:w="2268"/>
          </w:tcPr>
          <w:p>
            <w:r>
              <w:rPr>
                <w:sz w:val="20"/>
              </w:rPr>
              <w:t>EAC (public document)</w:t>
            </w:r>
          </w:p>
        </w:tc>
      </w:tr>
      <w:tr>
        <w:tc>
          <w:tcPr>
            <w:tcW w:type="dxa" w:w="2835"/>
            <w:shd w:val="clear" w:color="auto" w:fill="F5F7FA"/>
          </w:tcPr>
          <w:p>
            <w:r>
              <w:rPr>
                <w:sz w:val="20"/>
              </w:rPr>
              <w:t>Κ.Δ.Π. 15/2026 and Κ.Δ.Π. 17/2026</w:t>
            </w:r>
          </w:p>
        </w:tc>
        <w:tc>
          <w:tcPr>
            <w:tcW w:type="dxa" w:w="3685"/>
            <w:shd w:val="clear" w:color="auto" w:fill="F5F7FA"/>
          </w:tcPr>
          <w:p>
            <w:r>
              <w:rPr>
                <w:sz w:val="20"/>
              </w:rPr>
              <w:t>Full text of the permit exemption decree including all 33 conditions</w:t>
            </w:r>
          </w:p>
        </w:tc>
        <w:tc>
          <w:tcPr>
            <w:tcW w:type="dxa" w:w="2268"/>
            <w:shd w:val="clear" w:color="auto" w:fill="F5F7FA"/>
          </w:tcPr>
          <w:p>
            <w:r>
              <w:rPr>
                <w:sz w:val="20"/>
              </w:rPr>
              <w:t>Official Gazette 5992</w:t>
            </w:r>
          </w:p>
        </w:tc>
      </w:tr>
    </w:tbl>
    <w:p/>
    <w:p>
      <w:pPr>
        <w:spacing w:before="360" w:after="80"/>
      </w:pPr>
      <w:r>
        <w:rPr>
          <w:b/>
          <w:color w:val="C9A432"/>
          <w:sz w:val="26"/>
        </w:rPr>
        <w:t>5.  Documents Pending — To Be Provided Before / During Engagement</w:t>
      </w:r>
    </w:p>
    <w:p>
      <w:r>
        <w:rPr>
          <w:b w:val="0"/>
          <w:i w:val="0"/>
          <w:color w:val="000000"/>
          <w:sz w:val="21"/>
        </w:rPr>
        <w:t>The following items are not yet in our possession. We are actively pursuing these from Kehua and Linyang and expect to receive them within the coming weeks. We will share them with MPEC as soon as available.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51"/>
            <w:shd w:val="clear" w:color="auto" w:fill="1A365D"/>
          </w:tcPr>
          <w:p>
            <w:pPr>
              <w:jc w:val="center"/>
            </w:pPr>
            <w:r>
              <w:rPr>
                <w:b/>
                <w:color w:val="FFFFFF"/>
                <w:sz w:val="20"/>
              </w:rPr>
              <w:t>Item</w:t>
            </w:r>
          </w:p>
        </w:tc>
        <w:tc>
          <w:tcPr>
            <w:tcW w:type="dxa" w:w="1417"/>
            <w:shd w:val="clear" w:color="auto" w:fill="1A365D"/>
          </w:tcPr>
          <w:p>
            <w:pPr>
              <w:jc w:val="center"/>
            </w:pPr>
            <w:r>
              <w:rPr>
                <w:b/>
                <w:color w:val="FFFFFF"/>
                <w:sz w:val="20"/>
              </w:rPr>
              <w:t>From</w:t>
            </w:r>
          </w:p>
        </w:tc>
        <w:tc>
          <w:tcPr>
            <w:tcW w:type="dxa" w:w="1984"/>
            <w:shd w:val="clear" w:color="auto" w:fill="1A365D"/>
          </w:tcPr>
          <w:p>
            <w:pPr>
              <w:jc w:val="center"/>
            </w:pPr>
            <w:r>
              <w:rPr>
                <w:b/>
                <w:color w:val="FFFFFF"/>
                <w:sz w:val="20"/>
              </w:rPr>
              <w:t>Status</w:t>
            </w:r>
          </w:p>
        </w:tc>
        <w:tc>
          <w:tcPr>
            <w:tcW w:type="dxa" w:w="3402"/>
            <w:shd w:val="clear" w:color="auto" w:fill="1A365D"/>
          </w:tcPr>
          <w:p>
            <w:pPr>
              <w:jc w:val="center"/>
            </w:pPr>
            <w:r>
              <w:rPr>
                <w:b/>
                <w:color w:val="FFFFFF"/>
                <w:sz w:val="20"/>
              </w:rPr>
              <w:t>Impact on Risk Assessment</w:t>
            </w:r>
          </w:p>
        </w:tc>
      </w:tr>
      <w:tr>
        <w:tc>
          <w:tcPr>
            <w:tcW w:type="dxa" w:w="2551"/>
          </w:tcPr>
          <w:p>
            <w:r>
              <w:rPr>
                <w:sz w:val="20"/>
              </w:rPr>
              <w:t>Kehua PCS Installation &amp; Commissioning Manual</w:t>
            </w:r>
          </w:p>
        </w:tc>
        <w:tc>
          <w:tcPr>
            <w:tcW w:type="dxa" w:w="1417"/>
          </w:tcPr>
          <w:p>
            <w:r>
              <w:rPr>
                <w:sz w:val="20"/>
              </w:rPr>
              <w:t>Kehua</w:t>
            </w:r>
          </w:p>
        </w:tc>
        <w:tc>
          <w:tcPr>
            <w:tcW w:type="dxa" w:w="1984"/>
          </w:tcPr>
          <w:p>
            <w:r>
              <w:rPr>
                <w:sz w:val="20"/>
              </w:rPr>
              <w:t>Requested — pending receipt</w:t>
            </w:r>
          </w:p>
        </w:tc>
        <w:tc>
          <w:tcPr>
            <w:tcW w:type="dxa" w:w="3402"/>
          </w:tcPr>
          <w:p>
            <w:r>
              <w:rPr>
                <w:sz w:val="20"/>
              </w:rPr>
              <w:t>Needed for installation hazard section (PPE, isolation procedures, live-work rules)</w:t>
            </w:r>
          </w:p>
        </w:tc>
      </w:tr>
      <w:tr>
        <w:tc>
          <w:tcPr>
            <w:tcW w:type="dxa" w:w="2551"/>
            <w:shd w:val="clear" w:color="auto" w:fill="F5F7FA"/>
          </w:tcPr>
          <w:p>
            <w:r>
              <w:rPr>
                <w:sz w:val="20"/>
              </w:rPr>
              <w:t>Kehua Protection Settings Guide</w:t>
            </w:r>
          </w:p>
        </w:tc>
        <w:tc>
          <w:tcPr>
            <w:tcW w:type="dxa" w:w="1417"/>
            <w:shd w:val="clear" w:color="auto" w:fill="F5F7FA"/>
          </w:tcPr>
          <w:p>
            <w:r>
              <w:rPr>
                <w:sz w:val="20"/>
              </w:rPr>
              <w:t>Kehua</w:t>
            </w:r>
          </w:p>
        </w:tc>
        <w:tc>
          <w:tcPr>
            <w:tcW w:type="dxa" w:w="1984"/>
            <w:shd w:val="clear" w:color="auto" w:fill="F5F7FA"/>
          </w:tcPr>
          <w:p>
            <w:r>
              <w:rPr>
                <w:sz w:val="20"/>
              </w:rPr>
              <w:t>Requested — pending receipt</w:t>
            </w:r>
          </w:p>
        </w:tc>
        <w:tc>
          <w:tcPr>
            <w:tcW w:type="dxa" w:w="3402"/>
            <w:shd w:val="clear" w:color="auto" w:fill="F5F7FA"/>
          </w:tcPr>
          <w:p>
            <w:r>
              <w:rPr>
                <w:sz w:val="20"/>
              </w:rPr>
              <w:t>Relay coordination data for electrical fault risk section</w:t>
            </w:r>
          </w:p>
        </w:tc>
      </w:tr>
      <w:tr>
        <w:tc>
          <w:tcPr>
            <w:tcW w:type="dxa" w:w="2551"/>
          </w:tcPr>
          <w:p>
            <w:r>
              <w:rPr>
                <w:sz w:val="20"/>
              </w:rPr>
              <w:t>UL 9540A — Installation Level test report</w:t>
            </w:r>
          </w:p>
        </w:tc>
        <w:tc>
          <w:tcPr>
            <w:tcW w:type="dxa" w:w="1417"/>
          </w:tcPr>
          <w:p>
            <w:r>
              <w:rPr>
                <w:sz w:val="20"/>
              </w:rPr>
              <w:t>Linyang</w:t>
            </w:r>
          </w:p>
        </w:tc>
        <w:tc>
          <w:tcPr>
            <w:tcW w:type="dxa" w:w="1984"/>
          </w:tcPr>
          <w:p>
            <w:r>
              <w:rPr>
                <w:sz w:val="20"/>
              </w:rPr>
              <w:t>Unit level passed; installation level pending</w:t>
            </w:r>
          </w:p>
        </w:tc>
        <w:tc>
          <w:tcPr>
            <w:tcW w:type="dxa" w:w="3402"/>
          </w:tcPr>
          <w:p>
            <w:r>
              <w:rPr>
                <w:sz w:val="20"/>
              </w:rPr>
              <w:t>Required to assert no fire propagation between containers at site level (TSO requirement)</w:t>
            </w:r>
          </w:p>
        </w:tc>
      </w:tr>
      <w:tr>
        <w:tc>
          <w:tcPr>
            <w:tcW w:type="dxa" w:w="2551"/>
            <w:shd w:val="clear" w:color="auto" w:fill="F5F7FA"/>
          </w:tcPr>
          <w:p>
            <w:r>
              <w:rPr>
                <w:sz w:val="20"/>
              </w:rPr>
              <w:t>IEC 62933-5-2 certificate (final)</w:t>
            </w:r>
          </w:p>
        </w:tc>
        <w:tc>
          <w:tcPr>
            <w:tcW w:type="dxa" w:w="1417"/>
            <w:shd w:val="clear" w:color="auto" w:fill="F5F7FA"/>
          </w:tcPr>
          <w:p>
            <w:r>
              <w:rPr>
                <w:sz w:val="20"/>
              </w:rPr>
              <w:t>Linyang</w:t>
            </w:r>
          </w:p>
        </w:tc>
        <w:tc>
          <w:tcPr>
            <w:tcW w:type="dxa" w:w="1984"/>
            <w:shd w:val="clear" w:color="auto" w:fill="F5F7FA"/>
          </w:tcPr>
          <w:p>
            <w:r>
              <w:rPr>
                <w:sz w:val="20"/>
              </w:rPr>
              <w:t>Testing completed; certificate issuance pending</w:t>
            </w:r>
          </w:p>
        </w:tc>
        <w:tc>
          <w:tcPr>
            <w:tcW w:type="dxa" w:w="3402"/>
            <w:shd w:val="clear" w:color="auto" w:fill="F5F7FA"/>
          </w:tcPr>
          <w:p>
            <w:r>
              <w:rPr>
                <w:sz w:val="20"/>
              </w:rPr>
              <w:t>Grid integration safety — confirms system-level behaviour</w:t>
            </w:r>
          </w:p>
        </w:tc>
      </w:tr>
      <w:tr>
        <w:tc>
          <w:tcPr>
            <w:tcW w:type="dxa" w:w="2551"/>
          </w:tcPr>
          <w:p>
            <w:r>
              <w:rPr>
                <w:sz w:val="20"/>
              </w:rPr>
              <w:t>Site-specific layout plan per project</w:t>
            </w:r>
          </w:p>
        </w:tc>
        <w:tc>
          <w:tcPr>
            <w:tcW w:type="dxa" w:w="1417"/>
          </w:tcPr>
          <w:p>
            <w:r>
              <w:rPr>
                <w:sz w:val="20"/>
              </w:rPr>
              <w:t>Lighthief / Civil engineer</w:t>
            </w:r>
          </w:p>
        </w:tc>
        <w:tc>
          <w:tcPr>
            <w:tcW w:type="dxa" w:w="1984"/>
          </w:tcPr>
          <w:p>
            <w:r>
              <w:rPr>
                <w:sz w:val="20"/>
              </w:rPr>
              <w:t>Varies per site</w:t>
            </w:r>
          </w:p>
        </w:tc>
        <w:tc>
          <w:tcPr>
            <w:tcW w:type="dxa" w:w="3402"/>
          </w:tcPr>
          <w:p>
            <w:r>
              <w:rPr>
                <w:sz w:val="20"/>
              </w:rPr>
              <w:t>Container spacing, boundary setbacks, fire access road dimensions</w:t>
            </w:r>
          </w:p>
        </w:tc>
      </w:tr>
    </w:tbl>
    <w:p/>
    <w:p>
      <w:pPr>
        <w:spacing w:before="360" w:after="80"/>
      </w:pPr>
      <w:r>
        <w:rPr>
          <w:b/>
          <w:color w:val="C9A432"/>
          <w:sz w:val="26"/>
        </w:rPr>
        <w:t>6.  Scope of Service Required from MPEC</w:t>
      </w:r>
    </w:p>
    <w:p>
      <w:r>
        <w:rPr>
          <w:b w:val="0"/>
          <w:i w:val="0"/>
          <w:color w:val="000000"/>
          <w:sz w:val="21"/>
        </w:rPr>
        <w:t>We are requesting the following services from MPEC for the Cyprus BESS portfolio. The risk assessment must be site-specific; however, a standardised methodology based on the common Linyang/Kehua platform can be developed once and adapted per project.</w:t>
      </w:r>
    </w:p>
    <w:p>
      <w:pPr>
        <w:spacing w:before="200" w:after="60"/>
      </w:pPr>
      <w:r>
        <w:rPr>
          <w:b/>
          <w:color w:val="1A365D"/>
          <w:sz w:val="22"/>
        </w:rPr>
        <w:t>6.1  Written Risk Assessment (Γραπτή Εκτίμηση Κινδύνου)</w:t>
      </w:r>
    </w:p>
    <w:p>
      <w:r>
        <w:rPr>
          <w:b w:val="0"/>
          <w:i w:val="0"/>
          <w:color w:val="000000"/>
          <w:sz w:val="21"/>
        </w:rPr>
        <w:t>One risk assessment document per project site, to be authored and signed by the ΕΞΥΠΠ-certified engineer at MPEC. Each document must cover, at minimum:</w:t>
      </w:r>
    </w:p>
    <w:p>
      <w:pPr>
        <w:pStyle w:val="ListBullet"/>
        <w:spacing w:after="60"/>
        <w:ind w:left="567"/>
      </w:pPr>
      <w:r>
        <w:rPr>
          <w:b w:val="0"/>
          <w:color w:val="000000"/>
          <w:sz w:val="21"/>
        </w:rPr>
        <w:t>Electrical hazards: DC arc flash (1000–1500 V DC), AC fault, short circuit at PCS and MV level</w:t>
      </w:r>
    </w:p>
    <w:p>
      <w:pPr>
        <w:pStyle w:val="ListBullet"/>
        <w:spacing w:after="60"/>
        <w:ind w:left="567"/>
      </w:pPr>
      <w:r>
        <w:rPr>
          <w:b w:val="0"/>
          <w:color w:val="000000"/>
          <w:sz w:val="21"/>
        </w:rPr>
        <w:t>Fire hazard: thermal runaway risk, fire suppression system (aerosol + sprinkler), container spacing (≥1 m general, ≥3 m at access doors), 6 m fire access perimeter</w:t>
      </w:r>
    </w:p>
    <w:p>
      <w:pPr>
        <w:pStyle w:val="ListBullet"/>
        <w:spacing w:after="60"/>
        <w:ind w:left="567"/>
      </w:pPr>
      <w:r>
        <w:rPr>
          <w:b w:val="0"/>
          <w:color w:val="000000"/>
          <w:sz w:val="21"/>
        </w:rPr>
        <w:t>Chemical hazard: LFP off-gas (H₂, CO, CO₂, HC) — emission scenarios, ventilation and detection requirements</w:t>
      </w:r>
    </w:p>
    <w:p>
      <w:pPr>
        <w:pStyle w:val="ListBullet"/>
        <w:spacing w:after="60"/>
        <w:ind w:left="567"/>
      </w:pPr>
      <w:r>
        <w:rPr>
          <w:b w:val="0"/>
          <w:color w:val="000000"/>
          <w:sz w:val="21"/>
        </w:rPr>
        <w:t>Mechanical/structural hazard: container weight (up to 25,000 kg for 5 MW skid), seismic considerations (3.55 m/s² horizontal per TSO specification), lifting and placement during installation</w:t>
      </w:r>
    </w:p>
    <w:p>
      <w:pPr>
        <w:pStyle w:val="ListBullet"/>
        <w:spacing w:after="60"/>
        <w:ind w:left="567"/>
      </w:pPr>
      <w:r>
        <w:rPr>
          <w:b w:val="0"/>
          <w:color w:val="000000"/>
          <w:sz w:val="21"/>
        </w:rPr>
        <w:t>Environmental hazard: electrolyte containment, battery recycling obligations, decommissioning procedures</w:t>
      </w:r>
    </w:p>
    <w:p>
      <w:pPr>
        <w:pStyle w:val="ListBullet"/>
        <w:spacing w:after="60"/>
        <w:ind w:left="567"/>
      </w:pPr>
      <w:r>
        <w:rPr>
          <w:b w:val="0"/>
          <w:color w:val="000000"/>
          <w:sz w:val="21"/>
        </w:rPr>
        <w:t>Operational hazard: maintenance access procedures, PPE requirements, emergency shutdown procedures, hot-work controls (no welding/grinding within 6 m of energised containers)</w:t>
      </w:r>
    </w:p>
    <w:p>
      <w:pPr>
        <w:pStyle w:val="ListBullet"/>
        <w:spacing w:after="60"/>
        <w:ind w:left="567"/>
      </w:pPr>
      <w:r>
        <w:rPr>
          <w:b w:val="0"/>
          <w:color w:val="000000"/>
          <w:sz w:val="21"/>
        </w:rPr>
        <w:t>Commissioning hazard: first energisation procedures, SAT conditions, isolation and earthing protocols</w:t>
      </w:r>
    </w:p>
    <w:p>
      <w:pPr>
        <w:spacing w:before="200" w:after="60"/>
      </w:pPr>
      <w:r>
        <w:rPr>
          <w:b/>
          <w:color w:val="1A365D"/>
          <w:sz w:val="22"/>
        </w:rPr>
        <w:t>6.2  Basis of Assessment</w:t>
      </w:r>
    </w:p>
    <w:p>
      <w:r>
        <w:rPr>
          <w:b w:val="0"/>
          <w:i w:val="0"/>
          <w:color w:val="000000"/>
          <w:sz w:val="21"/>
        </w:rPr>
        <w:t>The risk assessment must explicitly reference the manufacturer specifications as required by Condition 33. The primary source documents are:</w:t>
      </w:r>
    </w:p>
    <w:p>
      <w:pPr>
        <w:pStyle w:val="ListBullet"/>
        <w:spacing w:after="60"/>
        <w:ind w:left="567"/>
      </w:pPr>
      <w:r>
        <w:rPr>
          <w:b w:val="0"/>
          <w:color w:val="000000"/>
          <w:sz w:val="21"/>
        </w:rPr>
        <w:t>Linyang User Manual V2.0 (battery system)</w:t>
      </w:r>
    </w:p>
    <w:p>
      <w:pPr>
        <w:pStyle w:val="ListBullet"/>
        <w:spacing w:after="60"/>
        <w:ind w:left="567"/>
      </w:pPr>
      <w:r>
        <w:rPr>
          <w:b w:val="0"/>
          <w:color w:val="000000"/>
          <w:sz w:val="21"/>
        </w:rPr>
        <w:t>Kehua BCS1250K-C-HUD technical datasheet and installation manual</w:t>
      </w:r>
    </w:p>
    <w:p>
      <w:pPr>
        <w:pStyle w:val="ListBullet"/>
        <w:spacing w:after="60"/>
        <w:ind w:left="567"/>
      </w:pPr>
      <w:r>
        <w:rPr>
          <w:b w:val="0"/>
          <w:color w:val="000000"/>
          <w:sz w:val="21"/>
        </w:rPr>
        <w:t>UL 9540A test report (Linyang, unit level)</w:t>
      </w:r>
    </w:p>
    <w:p>
      <w:pPr>
        <w:pStyle w:val="ListBullet"/>
        <w:spacing w:after="60"/>
        <w:ind w:left="567"/>
      </w:pPr>
      <w:r>
        <w:rPr>
          <w:b w:val="0"/>
          <w:color w:val="000000"/>
          <w:sz w:val="21"/>
        </w:rPr>
        <w:t>EN 50549-2 test report (Kehua PCS)</w:t>
      </w:r>
    </w:p>
    <w:p>
      <w:pPr>
        <w:pStyle w:val="ListBullet"/>
        <w:spacing w:after="60"/>
        <w:ind w:left="567"/>
      </w:pPr>
      <w:r>
        <w:rPr>
          <w:b w:val="0"/>
          <w:color w:val="000000"/>
          <w:sz w:val="21"/>
        </w:rPr>
        <w:t>Cyprus DSO Technical Guide 2025.1 (safety distances)</w:t>
      </w:r>
    </w:p>
    <w:p>
      <w:pPr>
        <w:pStyle w:val="ListBullet"/>
        <w:spacing w:after="60"/>
        <w:ind w:left="567"/>
      </w:pPr>
      <w:r>
        <w:rPr>
          <w:b w:val="0"/>
          <w:color w:val="000000"/>
          <w:sz w:val="21"/>
        </w:rPr>
        <w:t>Κ.Δ.Π. 15/2026, Conditions 18–31 (fire, environment, and labour requirements)</w:t>
      </w:r>
    </w:p>
    <w:p>
      <w:pPr>
        <w:spacing w:before="200" w:after="60"/>
      </w:pPr>
      <w:r>
        <w:rPr>
          <w:b/>
          <w:color w:val="1A365D"/>
          <w:sz w:val="22"/>
        </w:rPr>
        <w:t>6.3  ETEK Registration &amp; Professional Liability</w:t>
      </w:r>
    </w:p>
    <w:p>
      <w:r>
        <w:rPr>
          <w:b w:val="0"/>
          <w:i w:val="0"/>
          <w:color w:val="000000"/>
          <w:sz w:val="21"/>
        </w:rPr>
        <w:t>The signing engineer must hold a valid ETEK professional licence and provide a copy of their professional liability insurance certificate. This is required under Section 18.6 (Appendix II) of Κ.Δ.Π. 15/2026 as part of the Υπεύθυνη Δήλωση Μελετητή submission.</w:t>
      </w:r>
    </w:p>
    <w:p>
      <w:pPr>
        <w:spacing w:before="200" w:after="60"/>
      </w:pPr>
      <w:r>
        <w:rPr>
          <w:b/>
          <w:color w:val="1A365D"/>
          <w:sz w:val="22"/>
        </w:rPr>
        <w:t>6.4  Deliverable Format</w:t>
      </w:r>
    </w:p>
    <w:tbl>
      <w:tblPr>
        <w:tblStyle w:val="TableGrid"/>
        <w:tblW w:type="auto" w:w="0"/>
        <w:jc w:val="left"/>
        <w:tblLook w:firstColumn="1" w:firstRow="1" w:lastColumn="0" w:lastRow="0" w:noHBand="0" w:noVBand="1" w:val="04A0"/>
      </w:tblPr>
      <w:tblGrid>
        <w:gridCol w:w="3135"/>
        <w:gridCol w:w="3135"/>
        <w:gridCol w:w="3135"/>
      </w:tblGrid>
      <w:tr>
        <w:tc>
          <w:tcPr>
            <w:tcW w:type="dxa" w:w="3118"/>
            <w:shd w:val="clear" w:color="auto" w:fill="1A365D"/>
          </w:tcPr>
          <w:p>
            <w:pPr>
              <w:jc w:val="center"/>
            </w:pPr>
            <w:r>
              <w:rPr>
                <w:b/>
                <w:color w:val="FFFFFF"/>
                <w:sz w:val="20"/>
              </w:rPr>
              <w:t>Deliverable</w:t>
            </w:r>
          </w:p>
        </w:tc>
        <w:tc>
          <w:tcPr>
            <w:tcW w:type="dxa" w:w="1984"/>
            <w:shd w:val="clear" w:color="auto" w:fill="1A365D"/>
          </w:tcPr>
          <w:p>
            <w:pPr>
              <w:jc w:val="center"/>
            </w:pPr>
            <w:r>
              <w:rPr>
                <w:b/>
                <w:color w:val="FFFFFF"/>
                <w:sz w:val="20"/>
              </w:rPr>
              <w:t>Format</w:t>
            </w:r>
          </w:p>
        </w:tc>
        <w:tc>
          <w:tcPr>
            <w:tcW w:type="dxa" w:w="4252"/>
            <w:shd w:val="clear" w:color="auto" w:fill="1A365D"/>
          </w:tcPr>
          <w:p>
            <w:pPr>
              <w:jc w:val="center"/>
            </w:pPr>
            <w:r>
              <w:rPr>
                <w:b/>
                <w:color w:val="FFFFFF"/>
                <w:sz w:val="20"/>
              </w:rPr>
              <w:t>Notes</w:t>
            </w:r>
          </w:p>
        </w:tc>
      </w:tr>
      <w:tr>
        <w:tc>
          <w:tcPr>
            <w:tcW w:type="dxa" w:w="3118"/>
          </w:tcPr>
          <w:p>
            <w:r>
              <w:rPr>
                <w:sz w:val="20"/>
              </w:rPr>
              <w:t>Written Risk Assessment per site</w:t>
            </w:r>
          </w:p>
        </w:tc>
        <w:tc>
          <w:tcPr>
            <w:tcW w:type="dxa" w:w="1984"/>
          </w:tcPr>
          <w:p>
            <w:r>
              <w:rPr>
                <w:sz w:val="20"/>
              </w:rPr>
              <w:t>PDF (signed) + editable DOCX</w:t>
            </w:r>
          </w:p>
        </w:tc>
        <w:tc>
          <w:tcPr>
            <w:tcW w:type="dxa" w:w="4252"/>
          </w:tcPr>
          <w:p>
            <w:r>
              <w:rPr>
                <w:sz w:val="20"/>
              </w:rPr>
              <w:t>One per project; reuse common methodology across portfolio</w:t>
            </w:r>
          </w:p>
        </w:tc>
      </w:tr>
      <w:tr>
        <w:tc>
          <w:tcPr>
            <w:tcW w:type="dxa" w:w="3118"/>
            <w:shd w:val="clear" w:color="auto" w:fill="F5F7FA"/>
          </w:tcPr>
          <w:p>
            <w:r>
              <w:rPr>
                <w:sz w:val="20"/>
              </w:rPr>
              <w:t>Engineer's Declaration (ETEK number + insurance)</w:t>
            </w:r>
          </w:p>
        </w:tc>
        <w:tc>
          <w:tcPr>
            <w:tcW w:type="dxa" w:w="1984"/>
            <w:shd w:val="clear" w:color="auto" w:fill="F5F7FA"/>
          </w:tcPr>
          <w:p>
            <w:r>
              <w:rPr>
                <w:sz w:val="20"/>
              </w:rPr>
              <w:t>PDF scan</w:t>
            </w:r>
          </w:p>
        </w:tc>
        <w:tc>
          <w:tcPr>
            <w:tcW w:type="dxa" w:w="4252"/>
            <w:shd w:val="clear" w:color="auto" w:fill="F5F7FA"/>
          </w:tcPr>
          <w:p>
            <w:r>
              <w:rPr>
                <w:sz w:val="20"/>
              </w:rPr>
              <w:t>To be attached to each site file</w:t>
            </w:r>
          </w:p>
        </w:tc>
      </w:tr>
      <w:tr>
        <w:tc>
          <w:tcPr>
            <w:tcW w:type="dxa" w:w="3118"/>
          </w:tcPr>
          <w:p>
            <w:r>
              <w:rPr>
                <w:sz w:val="20"/>
              </w:rPr>
              <w:t>Summary compliance matrix</w:t>
            </w:r>
          </w:p>
        </w:tc>
        <w:tc>
          <w:tcPr>
            <w:tcW w:type="dxa" w:w="1984"/>
          </w:tcPr>
          <w:p>
            <w:r>
              <w:rPr>
                <w:sz w:val="20"/>
              </w:rPr>
              <w:t>DOCX or PDF</w:t>
            </w:r>
          </w:p>
        </w:tc>
        <w:tc>
          <w:tcPr>
            <w:tcW w:type="dxa" w:w="4252"/>
          </w:tcPr>
          <w:p>
            <w:r>
              <w:rPr>
                <w:sz w:val="20"/>
              </w:rPr>
              <w:t>Optional — useful for DSO/insurance submission packages</w:t>
            </w:r>
          </w:p>
        </w:tc>
      </w:tr>
    </w:tbl>
    <w:p/>
    <w:p>
      <w:pPr>
        <w:spacing w:before="200" w:after="60"/>
      </w:pPr>
      <w:r>
        <w:rPr>
          <w:b/>
          <w:color w:val="1A365D"/>
          <w:sz w:val="22"/>
        </w:rPr>
        <w:t>6.5  Timeline</w:t>
      </w:r>
    </w:p>
    <w:p>
      <w:r>
        <w:rPr>
          <w:b w:val="0"/>
          <w:i w:val="0"/>
          <w:color w:val="000000"/>
          <w:sz w:val="21"/>
        </w:rPr>
        <w:t>The first installations are expected to commence in Q3 2026. We require the first risk assessment to be completed at least 4 weeks prior to the scheduled start of civil works on each site, to allow time for the Υπεύθυνη Δήλωση Μελετητή to be submitted and any queries from the Labour Inspection Department to be resolved.</w:t>
      </w:r>
    </w:p>
    <w:p>
      <w:pPr>
        <w:spacing w:before="360" w:after="80"/>
      </w:pPr>
      <w:r>
        <w:rPr>
          <w:b/>
          <w:color w:val="C9A432"/>
          <w:sz w:val="26"/>
        </w:rPr>
        <w:t>7.  Proposed Next Steps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850"/>
            <w:shd w:val="clear" w:color="auto" w:fill="1A365D"/>
          </w:tcPr>
          <w:p>
            <w:pPr>
              <w:jc w:val="center"/>
            </w:pPr>
            <w:r>
              <w:rPr>
                <w:b/>
                <w:color w:val="FFFFFF"/>
                <w:sz w:val="20"/>
              </w:rPr>
              <w:t>Step</w:t>
            </w:r>
          </w:p>
        </w:tc>
        <w:tc>
          <w:tcPr>
            <w:tcW w:type="dxa" w:w="3969"/>
            <w:shd w:val="clear" w:color="auto" w:fill="1A365D"/>
          </w:tcPr>
          <w:p>
            <w:pPr>
              <w:jc w:val="center"/>
            </w:pPr>
            <w:r>
              <w:rPr>
                <w:b/>
                <w:color w:val="FFFFFF"/>
                <w:sz w:val="20"/>
              </w:rPr>
              <w:t>Action</w:t>
            </w:r>
          </w:p>
        </w:tc>
        <w:tc>
          <w:tcPr>
            <w:tcW w:type="dxa" w:w="1984"/>
            <w:shd w:val="clear" w:color="auto" w:fill="1A365D"/>
          </w:tcPr>
          <w:p>
            <w:pPr>
              <w:jc w:val="center"/>
            </w:pPr>
            <w:r>
              <w:rPr>
                <w:b/>
                <w:color w:val="FFFFFF"/>
                <w:sz w:val="20"/>
              </w:rPr>
              <w:t>Owner</w:t>
            </w:r>
          </w:p>
        </w:tc>
        <w:tc>
          <w:tcPr>
            <w:tcW w:type="dxa" w:w="1984"/>
            <w:shd w:val="clear" w:color="auto" w:fill="1A365D"/>
          </w:tcPr>
          <w:p>
            <w:pPr>
              <w:jc w:val="center"/>
            </w:pPr>
            <w:r>
              <w:rPr>
                <w:b/>
                <w:color w:val="FFFFFF"/>
                <w:sz w:val="20"/>
              </w:rPr>
              <w:t>Target</w:t>
            </w:r>
          </w:p>
        </w:tc>
      </w:tr>
      <w:tr>
        <w:tc>
          <w:tcPr>
            <w:tcW w:type="dxa" w:w="850"/>
          </w:tcPr>
          <w:p>
            <w:r>
              <w:rPr>
                <w:sz w:val="20"/>
              </w:rPr>
              <w:t>1</w:t>
            </w:r>
          </w:p>
        </w:tc>
        <w:tc>
          <w:tcPr>
            <w:tcW w:type="dxa" w:w="3969"/>
          </w:tcPr>
          <w:p>
            <w:r>
              <w:rPr>
                <w:sz w:val="20"/>
              </w:rPr>
              <w:t>Introductory call to review scope and methodology</w:t>
            </w:r>
          </w:p>
        </w:tc>
        <w:tc>
          <w:tcPr>
            <w:tcW w:type="dxa" w:w="1984"/>
          </w:tcPr>
          <w:p>
            <w:r>
              <w:rPr>
                <w:sz w:val="20"/>
              </w:rPr>
              <w:t>Lighthief + MPEC</w:t>
            </w:r>
          </w:p>
        </w:tc>
        <w:tc>
          <w:tcPr>
            <w:tcW w:type="dxa" w:w="1984"/>
          </w:tcPr>
          <w:p>
            <w:r>
              <w:rPr>
                <w:sz w:val="20"/>
              </w:rPr>
              <w:t>Within 1 week</w:t>
            </w:r>
          </w:p>
        </w:tc>
      </w:tr>
      <w:tr>
        <w:tc>
          <w:tcPr>
            <w:tcW w:type="dxa" w:w="850"/>
            <w:shd w:val="clear" w:color="auto" w:fill="F5F7FA"/>
          </w:tcPr>
          <w:p>
            <w:r>
              <w:rPr>
                <w:sz w:val="20"/>
              </w:rPr>
              <w:t>2</w:t>
            </w:r>
          </w:p>
        </w:tc>
        <w:tc>
          <w:tcPr>
            <w:tcW w:type="dxa" w:w="3969"/>
            <w:shd w:val="clear" w:color="auto" w:fill="F5F7FA"/>
          </w:tcPr>
          <w:p>
            <w:r>
              <w:rPr>
                <w:sz w:val="20"/>
              </w:rPr>
              <w:t>Share full document pack (certifications + manuals on file)</w:t>
            </w:r>
          </w:p>
        </w:tc>
        <w:tc>
          <w:tcPr>
            <w:tcW w:type="dxa" w:w="1984"/>
            <w:shd w:val="clear" w:color="auto" w:fill="F5F7FA"/>
          </w:tcPr>
          <w:p>
            <w:r>
              <w:rPr>
                <w:sz w:val="20"/>
              </w:rPr>
              <w:t>Lighthief</w:t>
            </w:r>
          </w:p>
        </w:tc>
        <w:tc>
          <w:tcPr>
            <w:tcW w:type="dxa" w:w="1984"/>
            <w:shd w:val="clear" w:color="auto" w:fill="F5F7FA"/>
          </w:tcPr>
          <w:p>
            <w:r>
              <w:rPr>
                <w:sz w:val="20"/>
              </w:rPr>
              <w:t>Upon engagement</w:t>
            </w:r>
          </w:p>
        </w:tc>
      </w:tr>
      <w:tr>
        <w:tc>
          <w:tcPr>
            <w:tcW w:type="dxa" w:w="850"/>
          </w:tcPr>
          <w:p>
            <w:r>
              <w:rPr>
                <w:sz w:val="20"/>
              </w:rPr>
              <w:t>3</w:t>
            </w:r>
          </w:p>
        </w:tc>
        <w:tc>
          <w:tcPr>
            <w:tcW w:type="dxa" w:w="3969"/>
          </w:tcPr>
          <w:p>
            <w:r>
              <w:rPr>
                <w:sz w:val="20"/>
              </w:rPr>
              <w:t>MPEC reviews documents and confirms any additional items required</w:t>
            </w:r>
          </w:p>
        </w:tc>
        <w:tc>
          <w:tcPr>
            <w:tcW w:type="dxa" w:w="1984"/>
          </w:tcPr>
          <w:p>
            <w:r>
              <w:rPr>
                <w:sz w:val="20"/>
              </w:rPr>
              <w:t>MPEC</w:t>
            </w:r>
          </w:p>
        </w:tc>
        <w:tc>
          <w:tcPr>
            <w:tcW w:type="dxa" w:w="1984"/>
          </w:tcPr>
          <w:p>
            <w:r>
              <w:rPr>
                <w:sz w:val="20"/>
              </w:rPr>
              <w:t>Within 2 weeks of step 2</w:t>
            </w:r>
          </w:p>
        </w:tc>
      </w:tr>
      <w:tr>
        <w:tc>
          <w:tcPr>
            <w:tcW w:type="dxa" w:w="850"/>
            <w:shd w:val="clear" w:color="auto" w:fill="F5F7FA"/>
          </w:tcPr>
          <w:p>
            <w:r>
              <w:rPr>
                <w:sz w:val="20"/>
              </w:rPr>
              <w:t>4</w:t>
            </w:r>
          </w:p>
        </w:tc>
        <w:tc>
          <w:tcPr>
            <w:tcW w:type="dxa" w:w="3969"/>
            <w:shd w:val="clear" w:color="auto" w:fill="F5F7FA"/>
          </w:tcPr>
          <w:p>
            <w:r>
              <w:rPr>
                <w:sz w:val="20"/>
              </w:rPr>
              <w:t>Receive Kehua installation manual + Linyang UL 9540A installation report</w:t>
            </w:r>
          </w:p>
        </w:tc>
        <w:tc>
          <w:tcPr>
            <w:tcW w:type="dxa" w:w="1984"/>
            <w:shd w:val="clear" w:color="auto" w:fill="F5F7FA"/>
          </w:tcPr>
          <w:p>
            <w:r>
              <w:rPr>
                <w:sz w:val="20"/>
              </w:rPr>
              <w:t>Lighthief (from OEMs)</w:t>
            </w:r>
          </w:p>
        </w:tc>
        <w:tc>
          <w:tcPr>
            <w:tcW w:type="dxa" w:w="1984"/>
            <w:shd w:val="clear" w:color="auto" w:fill="F5F7FA"/>
          </w:tcPr>
          <w:p>
            <w:r>
              <w:rPr>
                <w:sz w:val="20"/>
              </w:rPr>
              <w:t>Ongoing — expected within 4–6 weeks</w:t>
            </w:r>
          </w:p>
        </w:tc>
      </w:tr>
      <w:tr>
        <w:tc>
          <w:tcPr>
            <w:tcW w:type="dxa" w:w="850"/>
          </w:tcPr>
          <w:p>
            <w:r>
              <w:rPr>
                <w:sz w:val="20"/>
              </w:rPr>
              <w:t>5</w:t>
            </w:r>
          </w:p>
        </w:tc>
        <w:tc>
          <w:tcPr>
            <w:tcW w:type="dxa" w:w="3969"/>
          </w:tcPr>
          <w:p>
            <w:r>
              <w:rPr>
                <w:sz w:val="20"/>
              </w:rPr>
              <w:t>MPEC drafts standard risk assessment methodology for Linyang/Kehua platform</w:t>
            </w:r>
          </w:p>
        </w:tc>
        <w:tc>
          <w:tcPr>
            <w:tcW w:type="dxa" w:w="1984"/>
          </w:tcPr>
          <w:p>
            <w:r>
              <w:rPr>
                <w:sz w:val="20"/>
              </w:rPr>
              <w:t>MPEC</w:t>
            </w:r>
          </w:p>
        </w:tc>
        <w:tc>
          <w:tcPr>
            <w:tcW w:type="dxa" w:w="1984"/>
          </w:tcPr>
          <w:p>
            <w:r>
              <w:rPr>
                <w:sz w:val="20"/>
              </w:rPr>
              <w:t>Following step 3</w:t>
            </w:r>
          </w:p>
        </w:tc>
      </w:tr>
      <w:tr>
        <w:tc>
          <w:tcPr>
            <w:tcW w:type="dxa" w:w="850"/>
            <w:shd w:val="clear" w:color="auto" w:fill="F5F7FA"/>
          </w:tcPr>
          <w:p>
            <w:r>
              <w:rPr>
                <w:sz w:val="20"/>
              </w:rPr>
              <w:t>6</w:t>
            </w:r>
          </w:p>
        </w:tc>
        <w:tc>
          <w:tcPr>
            <w:tcW w:type="dxa" w:w="3969"/>
            <w:shd w:val="clear" w:color="auto" w:fill="F5F7FA"/>
          </w:tcPr>
          <w:p>
            <w:r>
              <w:rPr>
                <w:sz w:val="20"/>
              </w:rPr>
              <w:t>Site-specific risk assessments issued per project, starting with first installations</w:t>
            </w:r>
          </w:p>
        </w:tc>
        <w:tc>
          <w:tcPr>
            <w:tcW w:type="dxa" w:w="1984"/>
            <w:shd w:val="clear" w:color="auto" w:fill="F5F7FA"/>
          </w:tcPr>
          <w:p>
            <w:r>
              <w:rPr>
                <w:sz w:val="20"/>
              </w:rPr>
              <w:t>MPEC</w:t>
            </w:r>
          </w:p>
        </w:tc>
        <w:tc>
          <w:tcPr>
            <w:tcW w:type="dxa" w:w="1984"/>
            <w:shd w:val="clear" w:color="auto" w:fill="F5F7FA"/>
          </w:tcPr>
          <w:p>
            <w:r>
              <w:rPr>
                <w:sz w:val="20"/>
              </w:rPr>
              <w:t>Q2–Q3 2026</w:t>
            </w:r>
          </w:p>
        </w:tc>
      </w:tr>
    </w:tbl>
    <w:p/>
    <w:p>
      <w:pPr>
        <w:spacing w:before="360" w:after="80"/>
      </w:pPr>
      <w:r>
        <w:rPr>
          <w:b/>
          <w:color w:val="C9A432"/>
          <w:sz w:val="26"/>
        </w:rPr>
        <w:t>8.  Contact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val="clear" w:color="auto" w:fill="1A365D"/>
          </w:tcPr>
          <w:p>
            <w:pPr>
              <w:jc w:val="center"/>
            </w:pPr>
            <w:r>
              <w:rPr>
                <w:b/>
                <w:color w:val="FFFFFF"/>
                <w:sz w:val="20"/>
              </w:rPr>
              <w:t>Company</w:t>
            </w:r>
          </w:p>
        </w:tc>
        <w:tc>
          <w:tcPr>
            <w:tcW w:type="dxa" w:w="2268"/>
            <w:shd w:val="clear" w:color="auto" w:fill="1A365D"/>
          </w:tcPr>
          <w:p>
            <w:pPr>
              <w:jc w:val="center"/>
            </w:pPr>
            <w:r>
              <w:rPr>
                <w:b/>
                <w:color w:val="FFFFFF"/>
                <w:sz w:val="20"/>
              </w:rPr>
              <w:t>Contact</w:t>
            </w:r>
          </w:p>
        </w:tc>
        <w:tc>
          <w:tcPr>
            <w:tcW w:type="dxa" w:w="2551"/>
            <w:shd w:val="clear" w:color="auto" w:fill="1A365D"/>
          </w:tcPr>
          <w:p>
            <w:pPr>
              <w:jc w:val="center"/>
            </w:pPr>
            <w:r>
              <w:rPr>
                <w:b/>
                <w:color w:val="FFFFFF"/>
                <w:sz w:val="20"/>
              </w:rPr>
              <w:t>Role</w:t>
            </w:r>
          </w:p>
        </w:tc>
        <w:tc>
          <w:tcPr>
            <w:tcW w:type="dxa" w:w="2268"/>
            <w:shd w:val="clear" w:color="auto" w:fill="1A365D"/>
          </w:tcPr>
          <w:p>
            <w:pPr>
              <w:jc w:val="center"/>
            </w:pPr>
            <w:r>
              <w:rPr>
                <w:b/>
                <w:color w:val="FFFFFF"/>
                <w:sz w:val="20"/>
              </w:rPr>
              <w:t>Email</w:t>
            </w:r>
          </w:p>
        </w:tc>
      </w:tr>
      <w:tr>
        <w:tc>
          <w:tcPr>
            <w:tcW w:type="dxa" w:w="2268"/>
          </w:tcPr>
          <w:p>
            <w:r>
              <w:rPr>
                <w:sz w:val="20"/>
              </w:rPr>
              <w:t>Lighthief Cyprus Ltd</w:t>
            </w:r>
          </w:p>
        </w:tc>
        <w:tc>
          <w:tcPr>
            <w:tcW w:type="dxa" w:w="2268"/>
          </w:tcPr>
          <w:p>
            <w:r>
              <w:rPr>
                <w:sz w:val="20"/>
              </w:rPr>
              <w:t>Alexander Papacosta</w:t>
            </w:r>
          </w:p>
        </w:tc>
        <w:tc>
          <w:tcPr>
            <w:tcW w:type="dxa" w:w="2551"/>
          </w:tcPr>
          <w:p>
            <w:r>
              <w:rPr>
                <w:sz w:val="20"/>
              </w:rPr>
              <w:t>Managing Director / EPC Lead</w:t>
            </w:r>
          </w:p>
        </w:tc>
        <w:tc>
          <w:tcPr>
            <w:tcW w:type="dxa" w:w="2268"/>
          </w:tcPr>
          <w:p>
            <w:r>
              <w:rPr>
                <w:sz w:val="20"/>
              </w:rPr>
              <w:t>alex@lighthief.com</w:t>
            </w:r>
          </w:p>
        </w:tc>
      </w:tr>
      <w:tr>
        <w:tc>
          <w:tcPr>
            <w:tcW w:type="dxa" w:w="2268"/>
            <w:shd w:val="clear" w:color="auto" w:fill="F5F7FA"/>
          </w:tcPr>
          <w:p>
            <w:r>
              <w:rPr>
                <w:sz w:val="20"/>
              </w:rPr>
              <w:t>Lighthief Cyprus Ltd</w:t>
            </w:r>
          </w:p>
        </w:tc>
        <w:tc>
          <w:tcPr>
            <w:tcW w:type="dxa" w:w="2268"/>
            <w:shd w:val="clear" w:color="auto" w:fill="F5F7FA"/>
          </w:tcPr>
          <w:p>
            <w:r>
              <w:rPr>
                <w:sz w:val="20"/>
              </w:rPr>
              <w:t>Costas Hadjikyriacou</w:t>
            </w:r>
          </w:p>
        </w:tc>
        <w:tc>
          <w:tcPr>
            <w:tcW w:type="dxa" w:w="2551"/>
            <w:shd w:val="clear" w:color="auto" w:fill="F5F7FA"/>
          </w:tcPr>
          <w:p>
            <w:r>
              <w:rPr>
                <w:sz w:val="20"/>
              </w:rPr>
              <w:t>Technical Manager</w:t>
            </w:r>
          </w:p>
        </w:tc>
        <w:tc>
          <w:tcPr>
            <w:tcW w:type="dxa" w:w="2268"/>
            <w:shd w:val="clear" w:color="auto" w:fill="F5F7FA"/>
          </w:tcPr>
          <w:p>
            <w:r>
              <w:rPr>
                <w:sz w:val="20"/>
              </w:rPr>
              <w:t>costas@lighthief.com</w:t>
            </w:r>
          </w:p>
        </w:tc>
      </w:tr>
    </w:tbl>
    <w:p/>
    <w:p/>
    <w:p>
      <w:r>
        <w:rPr>
          <w:b w:val="0"/>
          <w:i/>
          <w:color w:val="404040"/>
          <w:sz w:val="21"/>
        </w:rPr>
        <w:t>This document is confidential and intended solely for the use of Michaelis and the team at MPEC. Please do not distribute without prior written consent from Lighthief Cyprus Ltd.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