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A365D"/>
          <w:sz w:val="36"/>
        </w:rPr>
        <w:t>WAREHOUSE RENTAL AGREEMENT</w:t>
      </w:r>
    </w:p>
    <w:p>
      <w:pPr>
        <w:jc w:val="center"/>
      </w:pPr>
      <w:r>
        <w:rPr>
          <w:rFonts w:ascii="Calibri" w:hAnsi="Calibri"/>
          <w:color w:val="2B6CB0"/>
          <w:sz w:val="22"/>
        </w:rPr>
        <w:t>Matero Ltd  /  Lighthief Cyprus Ltd  —  Ypsonas, Limassol</w:t>
      </w:r>
    </w:p>
    <w:p>
      <w:pPr>
        <w:jc w:val="center"/>
      </w:pPr>
      <w:r>
        <w:rPr>
          <w:rFonts w:ascii="Calibri" w:hAnsi="Calibri"/>
          <w:color w:val="718096"/>
          <w:sz w:val="18"/>
        </w:rPr>
        <w:t>July 2026  ·  Confidential</w:t>
      </w:r>
    </w:p>
    <w:p/>
    <w:p>
      <w:pPr>
        <w:spacing w:before="360" w:after="120"/>
        <w:pBdr>
          <w:bottom w:val="single" w:sz="8" w:space="1" w:color="2b6cb0"/>
        </w:pBdr>
      </w:pPr>
      <w:r>
        <w:rPr>
          <w:rFonts w:ascii="Calibri" w:hAnsi="Calibri"/>
          <w:b/>
          <w:color w:val="1A365D"/>
          <w:sz w:val="22"/>
        </w:rPr>
        <w:t>1. PARTIES</w:t>
      </w:r>
    </w:p>
    <w:tbl>
      <w:tblPr>
        <w:tblStyle w:val="TableGrid"/>
        <w:tblW w:type="auto" w:w="0"/>
        <w:tblLook w:firstColumn="1" w:firstRow="1" w:lastColumn="0" w:lastRow="0" w:noHBand="0" w:noVBand="1" w:val="04A0"/>
      </w:tblPr>
      <w:tblGrid>
        <w:gridCol w:w="4703"/>
        <w:gridCol w:w="4703"/>
      </w:tblGrid>
      <w:tr>
        <w:tc>
          <w:tcPr>
            <w:tcW w:type="dxa" w:w="1984"/>
            <w:shd w:val="clear" w:color="auto" w:fill="1a365d"/>
          </w:tcPr>
          <w:p>
            <w:pPr>
              <w:spacing w:before="60" w:after="60"/>
            </w:pPr>
            <w:r>
              <w:rPr>
                <w:rFonts w:ascii="Calibri" w:hAnsi="Calibri"/>
                <w:b/>
                <w:color w:val="FFFFFF"/>
                <w:sz w:val="18"/>
              </w:rPr>
              <w:t>Role</w:t>
            </w:r>
          </w:p>
        </w:tc>
        <w:tc>
          <w:tcPr>
            <w:tcW w:type="dxa" w:w="7370"/>
            <w:shd w:val="clear" w:color="auto" w:fill="1a365d"/>
          </w:tcPr>
          <w:p>
            <w:pPr>
              <w:spacing w:before="60" w:after="60"/>
            </w:pPr>
            <w:r>
              <w:rPr>
                <w:rFonts w:ascii="Calibri" w:hAnsi="Calibri"/>
                <w:b/>
                <w:color w:val="FFFFFF"/>
                <w:sz w:val="18"/>
              </w:rPr>
              <w:t>Party</w:t>
            </w:r>
          </w:p>
        </w:tc>
      </w:tr>
      <w:tr>
        <w:tc>
          <w:tcPr>
            <w:tcW w:type="dxa" w:w="1984"/>
            <w:shd w:val="clear" w:color="auto" w:fill="FFFFFF"/>
            <w:tcBorders>
              <w:bottom w:val="single" w:sz="4" w:space="0" w:color="E2E8F0"/>
            </w:tcBorders>
          </w:tcPr>
          <w:p>
            <w:pPr>
              <w:spacing w:before="60" w:after="60"/>
            </w:pPr>
            <w:r>
              <w:rPr>
                <w:rFonts w:ascii="Calibri" w:hAnsi="Calibri"/>
                <w:sz w:val="19"/>
              </w:rPr>
              <w:t>Landlord</w:t>
            </w:r>
          </w:p>
        </w:tc>
        <w:tc>
          <w:tcPr>
            <w:tcW w:type="dxa" w:w="7370"/>
            <w:shd w:val="clear" w:color="auto" w:fill="FFFFFF"/>
            <w:tcBorders>
              <w:bottom w:val="single" w:sz="4" w:space="0" w:color="E2E8F0"/>
            </w:tcBorders>
          </w:tcPr>
          <w:p>
            <w:pPr>
              <w:spacing w:before="60" w:after="60"/>
            </w:pPr>
            <w:r>
              <w:rPr>
                <w:rFonts w:ascii="Calibri" w:hAnsi="Calibri"/>
                <w:sz w:val="19"/>
              </w:rPr>
              <w:t>Matero Ltd, a company registered under the laws of the Republic of Cyprus, represented by Christodoulos Aristocleous (Χριστόδουλος Αριστοκλέους), Director &amp; UBO</w:t>
              <w:br/>
              <w:t>(hereinafter "the Landlord")</w:t>
            </w:r>
          </w:p>
        </w:tc>
      </w:tr>
      <w:tr>
        <w:tc>
          <w:tcPr>
            <w:tcW w:type="dxa" w:w="1984"/>
            <w:shd w:val="clear" w:color="auto" w:fill="F8FAFC"/>
            <w:tcBorders>
              <w:bottom w:val="single" w:sz="4" w:space="0" w:color="E2E8F0"/>
            </w:tcBorders>
          </w:tcPr>
          <w:p>
            <w:pPr>
              <w:spacing w:before="60" w:after="60"/>
            </w:pPr>
            <w:r>
              <w:rPr>
                <w:rFonts w:ascii="Calibri" w:hAnsi="Calibri"/>
                <w:sz w:val="19"/>
              </w:rPr>
              <w:t>Tenant</w:t>
            </w:r>
          </w:p>
        </w:tc>
        <w:tc>
          <w:tcPr>
            <w:tcW w:type="dxa" w:w="7370"/>
            <w:shd w:val="clear" w:color="auto" w:fill="F8FAFC"/>
            <w:tcBorders>
              <w:bottom w:val="single" w:sz="4" w:space="0" w:color="E2E8F0"/>
            </w:tcBorders>
          </w:tcPr>
          <w:p>
            <w:pPr>
              <w:spacing w:before="60" w:after="60"/>
            </w:pPr>
            <w:r>
              <w:rPr>
                <w:rFonts w:ascii="Calibri" w:hAnsi="Calibri"/>
                <w:sz w:val="19"/>
              </w:rPr>
              <w:t>Lighthief Cyprus Ltd, Registration No. HE 477423, TIN 60187188Q, 28 October Avenue 249, Lophitis Business Center 1, Office 201, 3035 Limassol, Cyprus, represented by Alexander Papacosta, Director</w:t>
              <w:br/>
              <w:t>(hereinafter "the Tenant")</w:t>
            </w:r>
          </w:p>
        </w:tc>
      </w:tr>
      <w:tr>
        <w:tc>
          <w:tcPr>
            <w:tcW w:type="dxa" w:w="1984"/>
            <w:shd w:val="clear" w:color="auto" w:fill="FFFFFF"/>
            <w:tcBorders>
              <w:bottom w:val="single" w:sz="4" w:space="0" w:color="E2E8F0"/>
            </w:tcBorders>
          </w:tcPr>
          <w:p>
            <w:pPr>
              <w:spacing w:before="60" w:after="60"/>
            </w:pPr>
            <w:r>
              <w:rPr>
                <w:rFonts w:ascii="Calibri" w:hAnsi="Calibri"/>
                <w:sz w:val="19"/>
              </w:rPr>
              <w:t>Premises</w:t>
            </w:r>
          </w:p>
        </w:tc>
        <w:tc>
          <w:tcPr>
            <w:tcW w:type="dxa" w:w="7370"/>
            <w:shd w:val="clear" w:color="auto" w:fill="FFFFFF"/>
            <w:tcBorders>
              <w:bottom w:val="single" w:sz="4" w:space="0" w:color="E2E8F0"/>
            </w:tcBorders>
          </w:tcPr>
          <w:p>
            <w:pPr>
              <w:spacing w:before="60" w:after="60"/>
            </w:pPr>
            <w:r>
              <w:rPr>
                <w:rFonts w:ascii="Calibri" w:hAnsi="Calibri"/>
                <w:sz w:val="19"/>
              </w:rPr>
              <w:t>Warehouse, Ypsonas, Limassol District, Cyprus</w:t>
              <w:br/>
              <w:t>[Plot/Title Deed details to be inserted from DLS records]</w:t>
            </w:r>
          </w:p>
        </w:tc>
      </w:tr>
    </w:tbl>
    <w:p>
      <w:pPr>
        <w:spacing w:before="360" w:after="120"/>
        <w:pBdr>
          <w:bottom w:val="single" w:sz="8" w:space="1" w:color="2b6cb0"/>
        </w:pBdr>
      </w:pPr>
      <w:r>
        <w:rPr>
          <w:rFonts w:ascii="Calibri" w:hAnsi="Calibri"/>
          <w:b/>
          <w:color w:val="1A365D"/>
          <w:sz w:val="22"/>
        </w:rPr>
        <w:t>2. DEFINITIONS</w:t>
      </w:r>
    </w:p>
    <w:tbl>
      <w:tblPr>
        <w:tblStyle w:val="TableGrid"/>
        <w:tblW w:type="auto" w:w="0"/>
        <w:tblLook w:firstColumn="1" w:firstRow="1" w:lastColumn="0" w:lastRow="0" w:noHBand="0" w:noVBand="1" w:val="04A0"/>
      </w:tblPr>
      <w:tblGrid>
        <w:gridCol w:w="4703"/>
        <w:gridCol w:w="4703"/>
      </w:tblGrid>
      <w:tr>
        <w:tc>
          <w:tcPr>
            <w:tcW w:type="dxa" w:w="3118"/>
            <w:shd w:val="clear" w:color="auto" w:fill="1a365d"/>
          </w:tcPr>
          <w:p>
            <w:pPr>
              <w:spacing w:before="60" w:after="60"/>
            </w:pPr>
            <w:r>
              <w:rPr>
                <w:rFonts w:ascii="Calibri" w:hAnsi="Calibri"/>
                <w:b/>
                <w:color w:val="FFFFFF"/>
                <w:sz w:val="18"/>
              </w:rPr>
              <w:t>Term</w:t>
            </w:r>
          </w:p>
        </w:tc>
        <w:tc>
          <w:tcPr>
            <w:tcW w:type="dxa" w:w="6236"/>
            <w:shd w:val="clear" w:color="auto" w:fill="1a365d"/>
          </w:tcPr>
          <w:p>
            <w:pPr>
              <w:spacing w:before="60" w:after="60"/>
            </w:pPr>
            <w:r>
              <w:rPr>
                <w:rFonts w:ascii="Calibri" w:hAnsi="Calibri"/>
                <w:b/>
                <w:color w:val="FFFFFF"/>
                <w:sz w:val="18"/>
              </w:rPr>
              <w:t>Meaning</w:t>
            </w:r>
          </w:p>
        </w:tc>
      </w:tr>
      <w:tr>
        <w:tc>
          <w:tcPr>
            <w:tcW w:type="dxa" w:w="3118"/>
            <w:shd w:val="clear" w:color="auto" w:fill="FFFFFF"/>
            <w:tcBorders>
              <w:bottom w:val="single" w:sz="4" w:space="0" w:color="E2E8F0"/>
            </w:tcBorders>
          </w:tcPr>
          <w:p>
            <w:pPr>
              <w:spacing w:before="60" w:after="60"/>
            </w:pPr>
            <w:r>
              <w:rPr>
                <w:rFonts w:ascii="Calibri" w:hAnsi="Calibri"/>
                <w:sz w:val="19"/>
              </w:rPr>
              <w:t>"Commencement Date"</w:t>
            </w:r>
          </w:p>
        </w:tc>
        <w:tc>
          <w:tcPr>
            <w:tcW w:type="dxa" w:w="6236"/>
            <w:shd w:val="clear" w:color="auto" w:fill="FFFFFF"/>
            <w:tcBorders>
              <w:bottom w:val="single" w:sz="4" w:space="0" w:color="E2E8F0"/>
            </w:tcBorders>
          </w:tcPr>
          <w:p>
            <w:pPr>
              <w:spacing w:before="60" w:after="60"/>
            </w:pPr>
            <w:r>
              <w:rPr>
                <w:rFonts w:ascii="Calibri" w:hAnsi="Calibri"/>
                <w:sz w:val="19"/>
              </w:rPr>
              <w:t>1 July 2026</w:t>
            </w:r>
          </w:p>
        </w:tc>
      </w:tr>
      <w:tr>
        <w:tc>
          <w:tcPr>
            <w:tcW w:type="dxa" w:w="3118"/>
            <w:shd w:val="clear" w:color="auto" w:fill="F8FAFC"/>
            <w:tcBorders>
              <w:bottom w:val="single" w:sz="4" w:space="0" w:color="E2E8F0"/>
            </w:tcBorders>
          </w:tcPr>
          <w:p>
            <w:pPr>
              <w:spacing w:before="60" w:after="60"/>
            </w:pPr>
            <w:r>
              <w:rPr>
                <w:rFonts w:ascii="Calibri" w:hAnsi="Calibri"/>
                <w:sz w:val="19"/>
              </w:rPr>
              <w:t>"Lease Term"</w:t>
            </w:r>
          </w:p>
        </w:tc>
        <w:tc>
          <w:tcPr>
            <w:tcW w:type="dxa" w:w="6236"/>
            <w:shd w:val="clear" w:color="auto" w:fill="F8FAFC"/>
            <w:tcBorders>
              <w:bottom w:val="single" w:sz="4" w:space="0" w:color="E2E8F0"/>
            </w:tcBorders>
          </w:tcPr>
          <w:p>
            <w:pPr>
              <w:spacing w:before="60" w:after="60"/>
            </w:pPr>
            <w:r>
              <w:rPr>
                <w:rFonts w:ascii="Calibri" w:hAnsi="Calibri"/>
                <w:sz w:val="19"/>
              </w:rPr>
              <w:t>Two (2) years from the Commencement Date, expiring on 30 June 2028</w:t>
            </w:r>
          </w:p>
        </w:tc>
      </w:tr>
      <w:tr>
        <w:tc>
          <w:tcPr>
            <w:tcW w:type="dxa" w:w="3118"/>
            <w:shd w:val="clear" w:color="auto" w:fill="FFFFFF"/>
            <w:tcBorders>
              <w:bottom w:val="single" w:sz="4" w:space="0" w:color="E2E8F0"/>
            </w:tcBorders>
          </w:tcPr>
          <w:p>
            <w:pPr>
              <w:spacing w:before="60" w:after="60"/>
            </w:pPr>
            <w:r>
              <w:rPr>
                <w:rFonts w:ascii="Calibri" w:hAnsi="Calibri"/>
                <w:sz w:val="19"/>
              </w:rPr>
              <w:t>"Monthly Rent"</w:t>
            </w:r>
          </w:p>
        </w:tc>
        <w:tc>
          <w:tcPr>
            <w:tcW w:type="dxa" w:w="6236"/>
            <w:shd w:val="clear" w:color="auto" w:fill="FFFFFF"/>
            <w:tcBorders>
              <w:bottom w:val="single" w:sz="4" w:space="0" w:color="E2E8F0"/>
            </w:tcBorders>
          </w:tcPr>
          <w:p>
            <w:pPr>
              <w:spacing w:before="60" w:after="60"/>
            </w:pPr>
            <w:r>
              <w:rPr>
                <w:rFonts w:ascii="Calibri" w:hAnsi="Calibri"/>
                <w:sz w:val="19"/>
              </w:rPr>
              <w:t>Eight Thousand Euro (€8,000) per month</w:t>
            </w:r>
          </w:p>
        </w:tc>
      </w:tr>
      <w:tr>
        <w:tc>
          <w:tcPr>
            <w:tcW w:type="dxa" w:w="3118"/>
            <w:shd w:val="clear" w:color="auto" w:fill="F8FAFC"/>
            <w:tcBorders>
              <w:bottom w:val="single" w:sz="4" w:space="0" w:color="E2E8F0"/>
            </w:tcBorders>
          </w:tcPr>
          <w:p>
            <w:pPr>
              <w:spacing w:before="60" w:after="60"/>
            </w:pPr>
            <w:r>
              <w:rPr>
                <w:rFonts w:ascii="Calibri" w:hAnsi="Calibri"/>
                <w:sz w:val="19"/>
              </w:rPr>
              <w:t>"Security Deposit"</w:t>
            </w:r>
          </w:p>
        </w:tc>
        <w:tc>
          <w:tcPr>
            <w:tcW w:type="dxa" w:w="6236"/>
            <w:shd w:val="clear" w:color="auto" w:fill="F8FAFC"/>
            <w:tcBorders>
              <w:bottom w:val="single" w:sz="4" w:space="0" w:color="E2E8F0"/>
            </w:tcBorders>
          </w:tcPr>
          <w:p>
            <w:pPr>
              <w:spacing w:before="60" w:after="60"/>
            </w:pPr>
            <w:r>
              <w:rPr>
                <w:rFonts w:ascii="Calibri" w:hAnsi="Calibri"/>
                <w:sz w:val="19"/>
              </w:rPr>
              <w:t>One (1) month's rent: Eight Thousand Euro (€8,000)</w:t>
            </w:r>
          </w:p>
        </w:tc>
      </w:tr>
      <w:tr>
        <w:tc>
          <w:tcPr>
            <w:tcW w:type="dxa" w:w="3118"/>
            <w:shd w:val="clear" w:color="auto" w:fill="FFFFFF"/>
            <w:tcBorders>
              <w:bottom w:val="single" w:sz="4" w:space="0" w:color="E2E8F0"/>
            </w:tcBorders>
          </w:tcPr>
          <w:p>
            <w:pPr>
              <w:spacing w:before="60" w:after="60"/>
            </w:pPr>
            <w:r>
              <w:rPr>
                <w:rFonts w:ascii="Calibri" w:hAnsi="Calibri"/>
                <w:sz w:val="19"/>
              </w:rPr>
              <w:t>"Advance Rent"</w:t>
            </w:r>
          </w:p>
        </w:tc>
        <w:tc>
          <w:tcPr>
            <w:tcW w:type="dxa" w:w="6236"/>
            <w:shd w:val="clear" w:color="auto" w:fill="FFFFFF"/>
            <w:tcBorders>
              <w:bottom w:val="single" w:sz="4" w:space="0" w:color="E2E8F0"/>
            </w:tcBorders>
          </w:tcPr>
          <w:p>
            <w:pPr>
              <w:spacing w:before="60" w:after="60"/>
            </w:pPr>
            <w:r>
              <w:rPr>
                <w:rFonts w:ascii="Calibri" w:hAnsi="Calibri"/>
                <w:sz w:val="19"/>
              </w:rPr>
              <w:t>Two (2) months' rent payable on signing: Sixteen Thousand Euro (€16,000)</w:t>
            </w:r>
          </w:p>
        </w:tc>
      </w:tr>
      <w:tr>
        <w:tc>
          <w:tcPr>
            <w:tcW w:type="dxa" w:w="3118"/>
            <w:shd w:val="clear" w:color="auto" w:fill="F8FAFC"/>
            <w:tcBorders>
              <w:bottom w:val="single" w:sz="4" w:space="0" w:color="E2E8F0"/>
            </w:tcBorders>
          </w:tcPr>
          <w:p>
            <w:pPr>
              <w:spacing w:before="60" w:after="60"/>
            </w:pPr>
            <w:r>
              <w:rPr>
                <w:rFonts w:ascii="Calibri" w:hAnsi="Calibri"/>
                <w:sz w:val="19"/>
              </w:rPr>
              <w:t>"Property"</w:t>
            </w:r>
          </w:p>
        </w:tc>
        <w:tc>
          <w:tcPr>
            <w:tcW w:type="dxa" w:w="6236"/>
            <w:shd w:val="clear" w:color="auto" w:fill="F8FAFC"/>
            <w:tcBorders>
              <w:bottom w:val="single" w:sz="4" w:space="0" w:color="E2E8F0"/>
            </w:tcBorders>
          </w:tcPr>
          <w:p>
            <w:pPr>
              <w:spacing w:before="60" w:after="60"/>
            </w:pPr>
            <w:r>
              <w:rPr>
                <w:rFonts w:ascii="Calibri" w:hAnsi="Calibri"/>
                <w:sz w:val="19"/>
              </w:rPr>
              <w:t>The warehouse premises at Ypsonas, Limassol District as described above</w:t>
            </w:r>
          </w:p>
        </w:tc>
      </w:tr>
      <w:tr>
        <w:tc>
          <w:tcPr>
            <w:tcW w:type="dxa" w:w="3118"/>
            <w:shd w:val="clear" w:color="auto" w:fill="FFFFFF"/>
            <w:tcBorders>
              <w:bottom w:val="single" w:sz="4" w:space="0" w:color="E2E8F0"/>
            </w:tcBorders>
          </w:tcPr>
          <w:p>
            <w:pPr>
              <w:spacing w:before="60" w:after="60"/>
            </w:pPr>
            <w:r>
              <w:rPr>
                <w:rFonts w:ascii="Calibri" w:hAnsi="Calibri"/>
                <w:sz w:val="19"/>
              </w:rPr>
              <w:t>"Business Day"</w:t>
            </w:r>
          </w:p>
        </w:tc>
        <w:tc>
          <w:tcPr>
            <w:tcW w:type="dxa" w:w="6236"/>
            <w:shd w:val="clear" w:color="auto" w:fill="FFFFFF"/>
            <w:tcBorders>
              <w:bottom w:val="single" w:sz="4" w:space="0" w:color="E2E8F0"/>
            </w:tcBorders>
          </w:tcPr>
          <w:p>
            <w:pPr>
              <w:spacing w:before="60" w:after="60"/>
            </w:pPr>
            <w:r>
              <w:rPr>
                <w:rFonts w:ascii="Calibri" w:hAnsi="Calibri"/>
                <w:sz w:val="19"/>
              </w:rPr>
              <w:t>Any day other than Saturday, Sunday, or a public holiday in Cyprus</w:t>
            </w:r>
          </w:p>
        </w:tc>
      </w:tr>
    </w:tbl>
    <w:p>
      <w:pPr>
        <w:spacing w:before="360" w:after="120"/>
        <w:pBdr>
          <w:bottom w:val="single" w:sz="8" w:space="1" w:color="2b6cb0"/>
        </w:pBdr>
      </w:pPr>
      <w:r>
        <w:rPr>
          <w:rFonts w:ascii="Calibri" w:hAnsi="Calibri"/>
          <w:b/>
          <w:color w:val="1A365D"/>
          <w:sz w:val="22"/>
        </w:rPr>
        <w:t>3. GRANT OF LEASE &amp; TERM</w:t>
      </w:r>
    </w:p>
    <w:p>
      <w:pPr>
        <w:pStyle w:val="ListBullet"/>
        <w:spacing w:after="80"/>
        <w:ind w:left="283"/>
      </w:pPr>
      <w:r>
        <w:rPr>
          <w:rFonts w:ascii="Calibri" w:hAnsi="Calibri"/>
          <w:b/>
          <w:sz w:val="20"/>
        </w:rPr>
        <w:t xml:space="preserve">3.1  </w:t>
      </w:r>
      <w:r>
        <w:rPr>
          <w:rFonts w:ascii="Calibri" w:hAnsi="Calibri"/>
          <w:sz w:val="20"/>
        </w:rPr>
        <w:t>The Landlord leases the Property to the Tenant for the Lease Term, commencing on the Commencement Date (1 July 2026) and expiring on 30 June 2028, unless earlier terminated or renewed in accordance with this Agreement.</w:t>
      </w:r>
    </w:p>
    <w:p>
      <w:pPr>
        <w:pStyle w:val="ListBullet"/>
        <w:spacing w:after="80"/>
        <w:ind w:left="283"/>
      </w:pPr>
      <w:r>
        <w:rPr>
          <w:rFonts w:ascii="Calibri" w:hAnsi="Calibri"/>
          <w:b/>
          <w:sz w:val="20"/>
        </w:rPr>
        <w:t xml:space="preserve">3.2  </w:t>
      </w:r>
      <w:r>
        <w:rPr>
          <w:rFonts w:ascii="Calibri" w:hAnsi="Calibri"/>
          <w:sz w:val="20"/>
        </w:rPr>
        <w:t>The Tenant shall have 24/7 unrestricted access to the Property throughout the Lease Term for its operational requirements.</w:t>
      </w:r>
    </w:p>
    <w:p>
      <w:pPr>
        <w:pStyle w:val="ListBullet"/>
        <w:spacing w:after="80"/>
        <w:ind w:left="283"/>
      </w:pPr>
      <w:r>
        <w:rPr>
          <w:rFonts w:ascii="Calibri" w:hAnsi="Calibri"/>
          <w:b/>
          <w:sz w:val="20"/>
        </w:rPr>
        <w:t xml:space="preserve">3.3  </w:t>
      </w:r>
      <w:r>
        <w:rPr>
          <w:rFonts w:ascii="Calibri" w:hAnsi="Calibri"/>
          <w:sz w:val="20"/>
        </w:rPr>
        <w:t>This Agreement does not create an automatic right of renewal. Any renewal must be agreed in writing by both parties no later than ninety (90) days before the expiry date.</w:t>
      </w:r>
    </w:p>
    <w:p>
      <w:pPr>
        <w:spacing w:before="360" w:after="120"/>
        <w:pBdr>
          <w:bottom w:val="single" w:sz="8" w:space="1" w:color="2b6cb0"/>
        </w:pBdr>
      </w:pPr>
      <w:r>
        <w:rPr>
          <w:rFonts w:ascii="Calibri" w:hAnsi="Calibri"/>
          <w:b/>
          <w:color w:val="1A365D"/>
          <w:sz w:val="22"/>
        </w:rPr>
        <w:t>4. RENT &amp; PAYMENT</w:t>
      </w:r>
    </w:p>
    <w:p>
      <w:pPr>
        <w:spacing w:before="200" w:after="80"/>
      </w:pPr>
      <w:r>
        <w:rPr>
          <w:rFonts w:ascii="Calibri" w:hAnsi="Calibri"/>
          <w:b/>
          <w:color w:val="2B6CB0"/>
          <w:sz w:val="21"/>
        </w:rPr>
        <w:t>On Signing</w:t>
      </w:r>
    </w:p>
    <w:tbl>
      <w:tblPr>
        <w:tblStyle w:val="TableGrid"/>
        <w:tblW w:type="auto" w:w="0"/>
        <w:tblLook w:firstColumn="1" w:firstRow="1" w:lastColumn="0" w:lastRow="0" w:noHBand="0" w:noVBand="1" w:val="04A0"/>
      </w:tblPr>
      <w:tblGrid>
        <w:gridCol w:w="4703"/>
        <w:gridCol w:w="4703"/>
      </w:tblGrid>
      <w:tr>
        <w:tc>
          <w:tcPr>
            <w:tcW w:type="dxa" w:w="6520"/>
            <w:shd w:val="clear" w:color="auto" w:fill="1a365d"/>
          </w:tcPr>
          <w:p>
            <w:pPr>
              <w:spacing w:before="60" w:after="60"/>
            </w:pPr>
            <w:r>
              <w:rPr>
                <w:rFonts w:ascii="Calibri" w:hAnsi="Calibri"/>
                <w:b/>
                <w:color w:val="FFFFFF"/>
                <w:sz w:val="18"/>
              </w:rPr>
              <w:t>Item</w:t>
            </w:r>
          </w:p>
        </w:tc>
        <w:tc>
          <w:tcPr>
            <w:tcW w:type="dxa" w:w="2835"/>
            <w:shd w:val="clear" w:color="auto" w:fill="1a365d"/>
          </w:tcPr>
          <w:p>
            <w:pPr>
              <w:spacing w:before="60" w:after="60"/>
            </w:pPr>
            <w:r>
              <w:rPr>
                <w:rFonts w:ascii="Calibri" w:hAnsi="Calibri"/>
                <w:b/>
                <w:color w:val="FFFFFF"/>
                <w:sz w:val="18"/>
              </w:rPr>
              <w:t>Amount</w:t>
            </w:r>
          </w:p>
        </w:tc>
      </w:tr>
      <w:tr>
        <w:tc>
          <w:tcPr>
            <w:tcW w:type="dxa" w:w="6520"/>
            <w:shd w:val="clear" w:color="auto" w:fill="FFFFFF"/>
            <w:tcBorders>
              <w:bottom w:val="single" w:sz="4" w:space="0" w:color="E2E8F0"/>
            </w:tcBorders>
          </w:tcPr>
          <w:p>
            <w:pPr>
              <w:spacing w:before="60" w:after="60"/>
            </w:pPr>
            <w:r>
              <w:rPr>
                <w:rFonts w:ascii="Calibri" w:hAnsi="Calibri"/>
                <w:sz w:val="19"/>
              </w:rPr>
              <w:t>Advance Rent — 2 months (months 1 &amp; 2 of the Lease Term)</w:t>
            </w:r>
          </w:p>
        </w:tc>
        <w:tc>
          <w:tcPr>
            <w:tcW w:type="dxa" w:w="2835"/>
            <w:shd w:val="clear" w:color="auto" w:fill="FFFFFF"/>
            <w:tcBorders>
              <w:bottom w:val="single" w:sz="4" w:space="0" w:color="E2E8F0"/>
            </w:tcBorders>
          </w:tcPr>
          <w:p>
            <w:pPr>
              <w:spacing w:before="60" w:after="60"/>
            </w:pPr>
            <w:r>
              <w:rPr>
                <w:rFonts w:ascii="Calibri" w:hAnsi="Calibri"/>
                <w:sz w:val="19"/>
              </w:rPr>
              <w:t>€16,000</w:t>
            </w:r>
          </w:p>
        </w:tc>
      </w:tr>
      <w:tr>
        <w:tc>
          <w:tcPr>
            <w:tcW w:type="dxa" w:w="6520"/>
            <w:shd w:val="clear" w:color="auto" w:fill="F8FAFC"/>
            <w:tcBorders>
              <w:bottom w:val="single" w:sz="4" w:space="0" w:color="E2E8F0"/>
            </w:tcBorders>
          </w:tcPr>
          <w:p>
            <w:pPr>
              <w:spacing w:before="60" w:after="60"/>
            </w:pPr>
            <w:r>
              <w:rPr>
                <w:rFonts w:ascii="Calibri" w:hAnsi="Calibri"/>
                <w:sz w:val="19"/>
              </w:rPr>
              <w:t>Security Deposit — 1 month</w:t>
            </w:r>
          </w:p>
        </w:tc>
        <w:tc>
          <w:tcPr>
            <w:tcW w:type="dxa" w:w="2835"/>
            <w:shd w:val="clear" w:color="auto" w:fill="F8FAFC"/>
            <w:tcBorders>
              <w:bottom w:val="single" w:sz="4" w:space="0" w:color="E2E8F0"/>
            </w:tcBorders>
          </w:tcPr>
          <w:p>
            <w:pPr>
              <w:spacing w:before="60" w:after="60"/>
            </w:pPr>
            <w:r>
              <w:rPr>
                <w:rFonts w:ascii="Calibri" w:hAnsi="Calibri"/>
                <w:sz w:val="19"/>
              </w:rPr>
              <w:t>€8,000</w:t>
            </w:r>
          </w:p>
        </w:tc>
      </w:tr>
      <w:tr>
        <w:tc>
          <w:tcPr>
            <w:tcW w:type="dxa" w:w="6520"/>
            <w:shd w:val="clear" w:color="auto" w:fill="FFFFFF"/>
            <w:tcBorders>
              <w:bottom w:val="single" w:sz="4" w:space="0" w:color="E2E8F0"/>
            </w:tcBorders>
          </w:tcPr>
          <w:p>
            <w:pPr>
              <w:spacing w:before="60" w:after="60"/>
            </w:pPr>
            <w:r>
              <w:rPr>
                <w:rFonts w:ascii="Calibri" w:hAnsi="Calibri"/>
                <w:sz w:val="19"/>
              </w:rPr>
              <w:t>{'text': 'Total payable on signing', 'bold': True}</w:t>
            </w:r>
          </w:p>
        </w:tc>
        <w:tc>
          <w:tcPr>
            <w:tcW w:type="dxa" w:w="2835"/>
            <w:shd w:val="clear" w:color="auto" w:fill="FFFFFF"/>
            <w:tcBorders>
              <w:bottom w:val="single" w:sz="4" w:space="0" w:color="E2E8F0"/>
            </w:tcBorders>
          </w:tcPr>
          <w:p>
            <w:pPr>
              <w:spacing w:before="60" w:after="60"/>
            </w:pPr>
            <w:r>
              <w:rPr>
                <w:rFonts w:ascii="Calibri" w:hAnsi="Calibri"/>
                <w:sz w:val="19"/>
              </w:rPr>
              <w:t>{'text': '€24,000', 'bold': True}</w:t>
            </w:r>
          </w:p>
        </w:tc>
      </w:tr>
    </w:tbl>
    <w:p>
      <w:pPr>
        <w:spacing w:before="200" w:after="80"/>
      </w:pPr>
      <w:r>
        <w:rPr>
          <w:rFonts w:ascii="Calibri" w:hAnsi="Calibri"/>
          <w:b/>
          <w:color w:val="2B6CB0"/>
          <w:sz w:val="21"/>
        </w:rPr>
        <w:t>Ongoing (from Month 3)</w:t>
      </w:r>
    </w:p>
    <w:p>
      <w:pPr>
        <w:spacing w:after="80"/>
        <w:ind w:left="283"/>
      </w:pPr>
      <w:r>
        <w:rPr>
          <w:rFonts w:ascii="Calibri" w:hAnsi="Calibri"/>
          <w:b/>
          <w:sz w:val="20"/>
        </w:rPr>
        <w:t xml:space="preserve">4.1  </w:t>
      </w:r>
      <w:r>
        <w:rPr>
          <w:rFonts w:ascii="Calibri" w:hAnsi="Calibri"/>
          <w:sz w:val="20"/>
        </w:rPr>
        <w:t>Monthly Rent of €8,000 is due and payable on or before the 1st day of each calendar month, in advance. The first payment under the ongoing schedule falls on 1 September 2026 (Month 3).</w:t>
      </w:r>
    </w:p>
    <w:p>
      <w:pPr>
        <w:spacing w:after="80"/>
        <w:ind w:left="283"/>
      </w:pPr>
      <w:r>
        <w:rPr>
          <w:rFonts w:ascii="Calibri" w:hAnsi="Calibri"/>
          <w:b/>
          <w:sz w:val="20"/>
        </w:rPr>
        <w:t xml:space="preserve">4.2  </w:t>
      </w:r>
      <w:r>
        <w:rPr>
          <w:rFonts w:ascii="Calibri" w:hAnsi="Calibri"/>
          <w:sz w:val="20"/>
        </w:rPr>
        <w:t>Payments shall be made by bank transfer to the account designated in writing by the Landlord. Receipts shall be issued within five (5) Business Days.</w:t>
      </w:r>
    </w:p>
    <w:p>
      <w:pPr>
        <w:spacing w:after="80"/>
        <w:ind w:left="283"/>
      </w:pPr>
      <w:r>
        <w:rPr>
          <w:rFonts w:ascii="Calibri" w:hAnsi="Calibri"/>
          <w:b/>
          <w:sz w:val="20"/>
        </w:rPr>
        <w:t xml:space="preserve">4.3  </w:t>
      </w:r>
      <w:r>
        <w:rPr>
          <w:rFonts w:ascii="Calibri" w:hAnsi="Calibri"/>
          <w:sz w:val="20"/>
        </w:rPr>
        <w:t>All amounts are exclusive of VAT, which (if applicable) will be charged in addition at the prevailing Cyprus rate.</w:t>
      </w:r>
    </w:p>
    <w:p>
      <w:pPr>
        <w:spacing w:after="80"/>
        <w:ind w:left="283"/>
      </w:pPr>
      <w:r>
        <w:rPr>
          <w:rFonts w:ascii="Calibri" w:hAnsi="Calibri"/>
          <w:b/>
          <w:sz w:val="20"/>
        </w:rPr>
        <w:t xml:space="preserve">4.4  </w:t>
      </w:r>
      <w:r>
        <w:rPr>
          <w:rFonts w:ascii="Calibri" w:hAnsi="Calibri"/>
          <w:sz w:val="20"/>
        </w:rPr>
        <w:t>If any payment is not received within seven (7) Business Days of its due date, the Landlord may charge interest at the Cyprus statutory rate on the overdue amount.</w:t>
      </w:r>
    </w:p>
    <w:p>
      <w:pPr>
        <w:spacing w:before="360" w:after="120"/>
        <w:pBdr>
          <w:bottom w:val="single" w:sz="8" w:space="1" w:color="2b6cb0"/>
        </w:pBdr>
      </w:pPr>
      <w:r>
        <w:rPr>
          <w:rFonts w:ascii="Calibri" w:hAnsi="Calibri"/>
          <w:b/>
          <w:color w:val="1A365D"/>
          <w:sz w:val="22"/>
        </w:rPr>
        <w:t>5. SECURITY DEPOSIT</w:t>
      </w:r>
    </w:p>
    <w:p>
      <w:pPr>
        <w:spacing w:after="80"/>
        <w:ind w:left="283"/>
      </w:pPr>
      <w:r>
        <w:rPr>
          <w:rFonts w:ascii="Calibri" w:hAnsi="Calibri"/>
          <w:b/>
          <w:sz w:val="20"/>
        </w:rPr>
        <w:t xml:space="preserve">5.1  </w:t>
      </w:r>
      <w:r>
        <w:rPr>
          <w:rFonts w:ascii="Calibri" w:hAnsi="Calibri"/>
          <w:sz w:val="20"/>
        </w:rPr>
        <w:t>The Tenant shall pay a Security Deposit of €8,000 (one month's rent) on the date of signing this Agreement.</w:t>
      </w:r>
    </w:p>
    <w:p>
      <w:pPr>
        <w:spacing w:after="80"/>
        <w:ind w:left="283"/>
      </w:pPr>
      <w:r>
        <w:rPr>
          <w:rFonts w:ascii="Calibri" w:hAnsi="Calibri"/>
          <w:b/>
          <w:sz w:val="20"/>
        </w:rPr>
        <w:t xml:space="preserve">5.2  </w:t>
      </w:r>
      <w:r>
        <w:rPr>
          <w:rFonts w:ascii="Calibri" w:hAnsi="Calibri"/>
          <w:sz w:val="20"/>
        </w:rPr>
        <w:t>The Security Deposit shall be held by the Landlord as security for the performance of the Tenant's obligations under this Agreement.</w:t>
      </w:r>
    </w:p>
    <w:p>
      <w:pPr>
        <w:spacing w:after="80"/>
        <w:ind w:left="283"/>
      </w:pPr>
      <w:r>
        <w:rPr>
          <w:rFonts w:ascii="Calibri" w:hAnsi="Calibri"/>
          <w:b/>
          <w:sz w:val="20"/>
        </w:rPr>
        <w:t xml:space="preserve">5.3  </w:t>
      </w:r>
      <w:r>
        <w:rPr>
          <w:rFonts w:ascii="Calibri" w:hAnsi="Calibri"/>
          <w:sz w:val="20"/>
        </w:rPr>
        <w:t>The Security Deposit shall be returned to the Tenant within thirty (30) days of the expiry or earlier termination of this Agreement, less any amounts lawfully deducted for: (a) unpaid rent or other sums due; (b) damage to the Property beyond fair wear and tear; (c) reasonable reinstatement costs.</w:t>
      </w:r>
    </w:p>
    <w:p>
      <w:pPr>
        <w:spacing w:after="80"/>
        <w:ind w:left="283"/>
      </w:pPr>
      <w:r>
        <w:rPr>
          <w:rFonts w:ascii="Calibri" w:hAnsi="Calibri"/>
          <w:b/>
          <w:sz w:val="20"/>
        </w:rPr>
        <w:t xml:space="preserve">5.4  </w:t>
      </w:r>
      <w:r>
        <w:rPr>
          <w:rFonts w:ascii="Calibri" w:hAnsi="Calibri"/>
          <w:sz w:val="20"/>
        </w:rPr>
        <w:t>The Security Deposit shall not be applied by the Tenant in lieu of rent.</w:t>
      </w:r>
    </w:p>
    <w:p>
      <w:pPr>
        <w:spacing w:before="360" w:after="120"/>
        <w:pBdr>
          <w:bottom w:val="single" w:sz="8" w:space="1" w:color="2b6cb0"/>
        </w:pBdr>
      </w:pPr>
      <w:r>
        <w:rPr>
          <w:rFonts w:ascii="Calibri" w:hAnsi="Calibri"/>
          <w:b/>
          <w:color w:val="1A365D"/>
          <w:sz w:val="22"/>
        </w:rPr>
        <w:t>6. PERMITTED USE</w:t>
      </w:r>
    </w:p>
    <w:p>
      <w:pPr>
        <w:spacing w:after="80"/>
        <w:ind w:left="283"/>
      </w:pPr>
      <w:r>
        <w:rPr>
          <w:rFonts w:ascii="Calibri" w:hAnsi="Calibri"/>
          <w:b/>
          <w:sz w:val="20"/>
        </w:rPr>
        <w:t xml:space="preserve">6.1  </w:t>
      </w:r>
      <w:r>
        <w:rPr>
          <w:rFonts w:ascii="Calibri" w:hAnsi="Calibri"/>
          <w:sz w:val="20"/>
        </w:rPr>
        <w:t>The Tenant shall use the Property solely for commercial storage, logistics, technical support base for BESS and renewable energy equipment, spare parts, tools, and field service coordination — including BESS O&amp;M operations and 7SUN distribution activities.</w:t>
      </w:r>
    </w:p>
    <w:p>
      <w:pPr>
        <w:spacing w:after="80"/>
        <w:ind w:left="283"/>
      </w:pPr>
      <w:r>
        <w:rPr>
          <w:rFonts w:ascii="Calibri" w:hAnsi="Calibri"/>
          <w:b/>
          <w:sz w:val="20"/>
        </w:rPr>
        <w:t xml:space="preserve">6.2  </w:t>
      </w:r>
      <w:r>
        <w:rPr>
          <w:rFonts w:ascii="Calibri" w:hAnsi="Calibri"/>
          <w:sz w:val="20"/>
        </w:rPr>
        <w:t>The Tenant shall not use the Property for any unlawful purpose, or in a manner causing nuisance or damage.</w:t>
      </w:r>
    </w:p>
    <w:p>
      <w:pPr>
        <w:spacing w:after="80"/>
        <w:ind w:left="283"/>
      </w:pPr>
      <w:r>
        <w:rPr>
          <w:rFonts w:ascii="Calibri" w:hAnsi="Calibri"/>
          <w:b/>
          <w:sz w:val="20"/>
        </w:rPr>
        <w:t xml:space="preserve">6.3  </w:t>
      </w:r>
      <w:r>
        <w:rPr>
          <w:rFonts w:ascii="Calibri" w:hAnsi="Calibri"/>
          <w:sz w:val="20"/>
        </w:rPr>
        <w:t>The Tenant shall comply with all applicable Cyprus laws, regulations, and conditions attached to planning and operating permits for the Property.</w:t>
      </w:r>
    </w:p>
    <w:p>
      <w:pPr>
        <w:spacing w:before="360" w:after="120"/>
        <w:pBdr>
          <w:bottom w:val="single" w:sz="8" w:space="1" w:color="2b6cb0"/>
        </w:pBdr>
      </w:pPr>
      <w:r>
        <w:rPr>
          <w:rFonts w:ascii="Calibri" w:hAnsi="Calibri"/>
          <w:b/>
          <w:color w:val="1A365D"/>
          <w:sz w:val="22"/>
        </w:rPr>
        <w:t>7. TENANT RIGHTS &amp; INSTALLATIONS</w:t>
      </w:r>
    </w:p>
    <w:p>
      <w:pPr>
        <w:spacing w:after="80"/>
        <w:ind w:left="283"/>
      </w:pPr>
      <w:r>
        <w:rPr>
          <w:rFonts w:ascii="Calibri" w:hAnsi="Calibri"/>
          <w:b/>
          <w:sz w:val="20"/>
        </w:rPr>
        <w:t xml:space="preserve">7.1  </w:t>
      </w:r>
      <w:r>
        <w:rPr>
          <w:rFonts w:ascii="Calibri" w:hAnsi="Calibri"/>
          <w:sz w:val="20"/>
        </w:rPr>
        <w:t>Solar Panels: The Landlord grants the Tenant permission to install solar panels on the roof of the building during the Lease Term. Any installation shall be carried out at the Tenant's cost and must comply with all applicable permits. Panels installed become the Tenant's property and shall be removed at the Tenant's cost upon expiry unless otherwise agreed in writing.</w:t>
      </w:r>
    </w:p>
    <w:p>
      <w:pPr>
        <w:spacing w:after="80"/>
        <w:ind w:left="283"/>
      </w:pPr>
      <w:r>
        <w:rPr>
          <w:rFonts w:ascii="Calibri" w:hAnsi="Calibri"/>
          <w:b/>
          <w:sz w:val="20"/>
        </w:rPr>
        <w:t xml:space="preserve">7.2  </w:t>
      </w:r>
      <w:r>
        <w:rPr>
          <w:rFonts w:ascii="Calibri" w:hAnsi="Calibri"/>
          <w:sz w:val="20"/>
        </w:rPr>
        <w:t>Signage: The Landlord grants the Tenant permission to install commercial signage on the building facade, subject to compliance with municipal planning rules. The Tenant shall remove signage and make good upon expiry.</w:t>
      </w:r>
    </w:p>
    <w:p>
      <w:pPr>
        <w:spacing w:after="80"/>
        <w:ind w:left="283"/>
      </w:pPr>
      <w:r>
        <w:rPr>
          <w:rFonts w:ascii="Calibri" w:hAnsi="Calibri"/>
          <w:b/>
          <w:sz w:val="20"/>
        </w:rPr>
        <w:t xml:space="preserve">7.3  </w:t>
      </w:r>
      <w:r>
        <w:rPr>
          <w:rFonts w:ascii="Calibri" w:hAnsi="Calibri"/>
          <w:sz w:val="20"/>
        </w:rPr>
        <w:t>Fit-Out: Any internal fit-out (racking, partitioning, IT cabling) requires prior written consent of the Landlord, not to be unreasonably withheld.</w:t>
      </w:r>
    </w:p>
    <w:p>
      <w:pPr>
        <w:spacing w:before="360" w:after="120"/>
        <w:pBdr>
          <w:bottom w:val="single" w:sz="8" w:space="1" w:color="2b6cb0"/>
        </w:pBdr>
      </w:pPr>
      <w:r>
        <w:rPr>
          <w:rFonts w:ascii="Calibri" w:hAnsi="Calibri"/>
          <w:b/>
          <w:color w:val="1A365D"/>
          <w:sz w:val="22"/>
        </w:rPr>
        <w:t>8. UTILITIES &amp; SERVICES</w:t>
      </w:r>
    </w:p>
    <w:p>
      <w:pPr>
        <w:spacing w:after="80"/>
        <w:ind w:left="283"/>
      </w:pPr>
      <w:r>
        <w:rPr>
          <w:rFonts w:ascii="Calibri" w:hAnsi="Calibri"/>
          <w:b/>
          <w:sz w:val="20"/>
        </w:rPr>
        <w:t xml:space="preserve">8.1  </w:t>
      </w:r>
      <w:r>
        <w:rPr>
          <w:rFonts w:ascii="Calibri" w:hAnsi="Calibri"/>
          <w:sz w:val="20"/>
        </w:rPr>
        <w:t>Electricity, water, internet, and other utilities consumed at the Property shall be borne by the Tenant. The Tenant shall arrange accounts with relevant providers where possible, or reimburse the Landlord for metered/apportioned consumption within fifteen (15) days of invoice.</w:t>
      </w:r>
    </w:p>
    <w:p>
      <w:pPr>
        <w:spacing w:after="80"/>
        <w:ind w:left="283"/>
      </w:pPr>
      <w:r>
        <w:rPr>
          <w:rFonts w:ascii="Calibri" w:hAnsi="Calibri"/>
          <w:b/>
          <w:sz w:val="20"/>
        </w:rPr>
        <w:t xml:space="preserve">8.2  </w:t>
      </w:r>
      <w:r>
        <w:rPr>
          <w:rFonts w:ascii="Calibri" w:hAnsi="Calibri"/>
          <w:sz w:val="20"/>
        </w:rPr>
        <w:t>Municipal taxes (refuse collection, local fees) attributable to the Tenant's occupation shall be borne by the Tenant.</w:t>
      </w:r>
    </w:p>
    <w:p>
      <w:pPr>
        <w:spacing w:before="360" w:after="120"/>
        <w:pBdr>
          <w:bottom w:val="single" w:sz="8" w:space="1" w:color="2b6cb0"/>
        </w:pBdr>
      </w:pPr>
      <w:r>
        <w:rPr>
          <w:rFonts w:ascii="Calibri" w:hAnsi="Calibri"/>
          <w:b/>
          <w:color w:val="1A365D"/>
          <w:sz w:val="22"/>
        </w:rPr>
        <w:t>9. MAINTENANCE &amp; REPAIRS</w:t>
      </w:r>
    </w:p>
    <w:p>
      <w:pPr>
        <w:spacing w:after="80"/>
        <w:ind w:left="283"/>
      </w:pPr>
      <w:r>
        <w:rPr>
          <w:rFonts w:ascii="Calibri" w:hAnsi="Calibri"/>
          <w:b/>
          <w:sz w:val="20"/>
        </w:rPr>
        <w:t xml:space="preserve">9.1  </w:t>
      </w:r>
      <w:r>
        <w:rPr>
          <w:rFonts w:ascii="Calibri" w:hAnsi="Calibri"/>
          <w:sz w:val="20"/>
        </w:rPr>
        <w:t>The Landlord shall keep the structure, roof, exterior walls, and main installations of the building in good repair and condition.</w:t>
      </w:r>
    </w:p>
    <w:p>
      <w:pPr>
        <w:spacing w:after="80"/>
        <w:ind w:left="283"/>
      </w:pPr>
      <w:r>
        <w:rPr>
          <w:rFonts w:ascii="Calibri" w:hAnsi="Calibri"/>
          <w:b/>
          <w:sz w:val="20"/>
        </w:rPr>
        <w:t xml:space="preserve">9.2  </w:t>
      </w:r>
      <w:r>
        <w:rPr>
          <w:rFonts w:ascii="Calibri" w:hAnsi="Calibri"/>
          <w:sz w:val="20"/>
        </w:rPr>
        <w:t>The Tenant shall keep the interior of the Property clean and in good condition, carry out day-to-day maintenance, and promptly notify the Landlord of any structural defects.</w:t>
      </w:r>
    </w:p>
    <w:p>
      <w:pPr>
        <w:spacing w:after="80"/>
        <w:ind w:left="283"/>
      </w:pPr>
      <w:r>
        <w:rPr>
          <w:rFonts w:ascii="Calibri" w:hAnsi="Calibri"/>
          <w:b/>
          <w:sz w:val="20"/>
        </w:rPr>
        <w:t xml:space="preserve">9.3  </w:t>
      </w:r>
      <w:r>
        <w:rPr>
          <w:rFonts w:ascii="Calibri" w:hAnsi="Calibri"/>
          <w:sz w:val="20"/>
        </w:rPr>
        <w:t>The Tenant shall return the Property at the end of the Lease Term in the same condition (fair wear and tear excepted) as at the Commencement Date.</w:t>
      </w:r>
    </w:p>
    <w:p>
      <w:pPr>
        <w:spacing w:before="360" w:after="120"/>
        <w:pBdr>
          <w:bottom w:val="single" w:sz="8" w:space="1" w:color="2b6cb0"/>
        </w:pBdr>
      </w:pPr>
      <w:r>
        <w:rPr>
          <w:rFonts w:ascii="Calibri" w:hAnsi="Calibri"/>
          <w:b/>
          <w:color w:val="1A365D"/>
          <w:sz w:val="22"/>
        </w:rPr>
        <w:t>10. ASSIGNMENT &amp; SUBLETTING</w:t>
      </w:r>
    </w:p>
    <w:p>
      <w:pPr>
        <w:spacing w:before="40" w:after="80"/>
      </w:pPr>
      <w:r>
        <w:rPr>
          <w:rFonts w:ascii="Calibri" w:hAnsi="Calibri"/>
          <w:i w:val="0"/>
          <w:sz w:val="20"/>
        </w:rPr>
        <w:t>10.1  The Tenant shall not assign, sublet, or otherwise part with possession of the Property (or any part thereof) without the prior written consent of the Landlord, not to be unreasonably withheld.</w:t>
      </w:r>
    </w:p>
    <w:p>
      <w:pPr>
        <w:spacing w:before="360" w:after="120"/>
        <w:pBdr>
          <w:bottom w:val="single" w:sz="8" w:space="1" w:color="2b6cb0"/>
        </w:pBdr>
      </w:pPr>
      <w:r>
        <w:rPr>
          <w:rFonts w:ascii="Calibri" w:hAnsi="Calibri"/>
          <w:b/>
          <w:color w:val="1A365D"/>
          <w:sz w:val="22"/>
        </w:rPr>
        <w:t>11. TERMINATION</w:t>
      </w:r>
    </w:p>
    <w:p>
      <w:pPr>
        <w:spacing w:after="80"/>
        <w:ind w:left="283"/>
      </w:pPr>
      <w:r>
        <w:rPr>
          <w:rFonts w:ascii="Calibri" w:hAnsi="Calibri"/>
          <w:b/>
          <w:sz w:val="20"/>
        </w:rPr>
        <w:t xml:space="preserve">11.1  </w:t>
      </w:r>
      <w:r>
        <w:rPr>
          <w:rFonts w:ascii="Calibri" w:hAnsi="Calibri"/>
          <w:sz w:val="20"/>
        </w:rPr>
        <w:t>Either party may terminate this Agreement immediately upon written notice if the other party commits a material breach and fails to remedy it within thirty (30) days of written notice specifying the breach.</w:t>
      </w:r>
    </w:p>
    <w:p>
      <w:pPr>
        <w:spacing w:after="80"/>
        <w:ind w:left="283"/>
      </w:pPr>
      <w:r>
        <w:rPr>
          <w:rFonts w:ascii="Calibri" w:hAnsi="Calibri"/>
          <w:b/>
          <w:sz w:val="20"/>
        </w:rPr>
        <w:t xml:space="preserve">11.2  </w:t>
      </w:r>
      <w:r>
        <w:rPr>
          <w:rFonts w:ascii="Calibri" w:hAnsi="Calibri"/>
          <w:sz w:val="20"/>
        </w:rPr>
        <w:t>If the Tenant fails to pay rent for more than thirty (30) days after its due date, the Landlord may terminate with fourteen (14) days' written notice.</w:t>
      </w:r>
    </w:p>
    <w:p>
      <w:pPr>
        <w:spacing w:after="80"/>
        <w:ind w:left="283"/>
      </w:pPr>
      <w:r>
        <w:rPr>
          <w:rFonts w:ascii="Calibri" w:hAnsi="Calibri"/>
          <w:b/>
          <w:sz w:val="20"/>
        </w:rPr>
        <w:t xml:space="preserve">11.3  </w:t>
      </w:r>
      <w:r>
        <w:rPr>
          <w:rFonts w:ascii="Calibri" w:hAnsi="Calibri"/>
          <w:sz w:val="20"/>
        </w:rPr>
        <w:t>At expiry of the Lease Term, the Agreement terminates automatically. The Tenant shall vacate and return the Property within five (5) Business Days of expiry.</w:t>
      </w:r>
    </w:p>
    <w:p>
      <w:pPr>
        <w:spacing w:before="360" w:after="120"/>
        <w:pBdr>
          <w:bottom w:val="single" w:sz="8" w:space="1" w:color="2b6cb0"/>
        </w:pBdr>
      </w:pPr>
      <w:r>
        <w:rPr>
          <w:rFonts w:ascii="Calibri" w:hAnsi="Calibri"/>
          <w:b/>
          <w:color w:val="1A365D"/>
          <w:sz w:val="22"/>
        </w:rPr>
        <w:t>12. GOVERNING LAW &amp; JURISDICTION</w:t>
      </w:r>
    </w:p>
    <w:p>
      <w:pPr>
        <w:spacing w:before="40" w:after="80"/>
      </w:pPr>
      <w:r>
        <w:rPr>
          <w:rFonts w:ascii="Calibri" w:hAnsi="Calibri"/>
          <w:i w:val="0"/>
          <w:sz w:val="20"/>
        </w:rPr>
        <w:t>12.1  This Agreement is governed by and construed in accordance with the laws of the Republic of Cyprus.</w:t>
      </w:r>
    </w:p>
    <w:p>
      <w:pPr>
        <w:spacing w:before="40" w:after="80"/>
      </w:pPr>
      <w:r>
        <w:rPr>
          <w:rFonts w:ascii="Calibri" w:hAnsi="Calibri"/>
          <w:i w:val="0"/>
          <w:sz w:val="20"/>
        </w:rPr>
        <w:t>12.2  The parties submit to the exclusive jurisdiction of the District Court of Limassol.</w:t>
      </w:r>
    </w:p>
    <w:p>
      <w:pPr>
        <w:spacing w:before="360" w:after="120"/>
        <w:pBdr>
          <w:bottom w:val="single" w:sz="8" w:space="1" w:color="2b6cb0"/>
        </w:pBdr>
      </w:pPr>
      <w:r>
        <w:rPr>
          <w:rFonts w:ascii="Calibri" w:hAnsi="Calibri"/>
          <w:b/>
          <w:color w:val="1A365D"/>
          <w:sz w:val="22"/>
        </w:rPr>
        <w:t>13. GENERAL</w:t>
      </w:r>
    </w:p>
    <w:p>
      <w:pPr>
        <w:spacing w:after="80"/>
        <w:ind w:left="283"/>
      </w:pPr>
      <w:r>
        <w:rPr>
          <w:rFonts w:ascii="Calibri" w:hAnsi="Calibri"/>
          <w:b/>
          <w:sz w:val="20"/>
        </w:rPr>
        <w:t xml:space="preserve">13.1  </w:t>
      </w:r>
      <w:r>
        <w:rPr>
          <w:rFonts w:ascii="Calibri" w:hAnsi="Calibri"/>
          <w:sz w:val="20"/>
        </w:rPr>
        <w:t>This Agreement constitutes the entire agreement between the parties with respect to the lease of the Property and supersedes all prior negotiations and communications.</w:t>
      </w:r>
    </w:p>
    <w:p>
      <w:pPr>
        <w:spacing w:after="80"/>
        <w:ind w:left="283"/>
      </w:pPr>
      <w:r>
        <w:rPr>
          <w:rFonts w:ascii="Calibri" w:hAnsi="Calibri"/>
          <w:b/>
          <w:sz w:val="20"/>
        </w:rPr>
        <w:t xml:space="preserve">13.2  </w:t>
      </w:r>
      <w:r>
        <w:rPr>
          <w:rFonts w:ascii="Calibri" w:hAnsi="Calibri"/>
          <w:sz w:val="20"/>
        </w:rPr>
        <w:t>Any variation to this Agreement must be in writing and signed by both parties.</w:t>
      </w:r>
    </w:p>
    <w:p>
      <w:pPr>
        <w:spacing w:after="80"/>
        <w:ind w:left="283"/>
      </w:pPr>
      <w:r>
        <w:rPr>
          <w:rFonts w:ascii="Calibri" w:hAnsi="Calibri"/>
          <w:b/>
          <w:sz w:val="20"/>
        </w:rPr>
        <w:t xml:space="preserve">13.3  </w:t>
      </w:r>
      <w:r>
        <w:rPr>
          <w:rFonts w:ascii="Calibri" w:hAnsi="Calibri"/>
          <w:sz w:val="20"/>
        </w:rPr>
        <w:t>Notices shall be served in writing by email to the addresses stated in Clause 1 (Parties), or by hand, and are deemed received on the day of delivery.</w:t>
      </w:r>
    </w:p>
    <w:p>
      <w:pPr>
        <w:spacing w:after="80"/>
        <w:ind w:left="283"/>
      </w:pPr>
      <w:r>
        <w:rPr>
          <w:rFonts w:ascii="Calibri" w:hAnsi="Calibri"/>
          <w:b/>
          <w:sz w:val="20"/>
        </w:rPr>
        <w:t xml:space="preserve">13.4  </w:t>
      </w:r>
      <w:r>
        <w:rPr>
          <w:rFonts w:ascii="Calibri" w:hAnsi="Calibri"/>
          <w:sz w:val="20"/>
        </w:rPr>
        <w:t>If any provision of this Agreement is found to be invalid, the remaining provisions shall remain in full force and effect.</w:t>
      </w:r>
    </w:p>
    <w:p>
      <w:r>
        <w:br w:type="page"/>
      </w:r>
    </w:p>
    <w:p>
      <w:pPr>
        <w:spacing w:before="360" w:after="120"/>
        <w:pBdr>
          <w:bottom w:val="single" w:sz="8" w:space="1" w:color="2b6cb0"/>
        </w:pBdr>
      </w:pPr>
      <w:r>
        <w:rPr>
          <w:rFonts w:ascii="Calibri" w:hAnsi="Calibri"/>
          <w:b/>
          <w:color w:val="1A365D"/>
          <w:sz w:val="22"/>
        </w:rPr>
        <w:t>SIGNATURES</w:t>
      </w:r>
    </w:p>
    <w:p>
      <w:pPr>
        <w:spacing w:before="40" w:after="80"/>
      </w:pPr>
      <w:r>
        <w:rPr>
          <w:rFonts w:ascii="Calibri" w:hAnsi="Calibri"/>
          <w:i w:val="0"/>
          <w:sz w:val="20"/>
        </w:rPr>
        <w:t>IN WITNESS WHEREOF the parties have executed this Agreement on the date written below.</w:t>
      </w:r>
    </w:p>
    <w:p/>
    <w:tbl>
      <w:tblPr>
        <w:tblStyle w:val="TableGrid"/>
        <w:tblW w:type="auto" w:w="0"/>
        <w:tblLook w:firstColumn="1" w:firstRow="1" w:lastColumn="0" w:lastRow="0" w:noHBand="0" w:noVBand="1" w:val="04A0"/>
      </w:tblPr>
      <w:tblGrid>
        <w:gridCol w:w="4703"/>
        <w:gridCol w:w="4703"/>
      </w:tblGrid>
      <w:tr>
        <w:tc>
          <w:tcPr>
            <w:tcW w:type="dxa" w:w="4703"/>
            <w:shd w:val="clear" w:color="auto" w:fill="FFFFFF"/>
          </w:tcPr>
          <w:p>
            <w:pPr>
              <w:spacing w:before="80" w:after="80"/>
            </w:pPr>
            <w:r>
              <w:rPr>
                <w:rFonts w:ascii="Calibri" w:hAnsi="Calibri"/>
                <w:b/>
                <w:sz w:val="20"/>
              </w:rPr>
              <w:t>For and on behalf of MATERO LTD</w:t>
            </w:r>
          </w:p>
        </w:tc>
        <w:tc>
          <w:tcPr>
            <w:tcW w:type="dxa" w:w="4703"/>
            <w:shd w:val="clear" w:color="auto" w:fill="FFFFFF"/>
          </w:tcPr>
          <w:p>
            <w:pPr>
              <w:spacing w:before="80" w:after="80"/>
            </w:pPr>
            <w:r>
              <w:rPr>
                <w:rFonts w:ascii="Calibri" w:hAnsi="Calibri"/>
                <w:b/>
                <w:sz w:val="20"/>
              </w:rPr>
              <w:t>For and on behalf of LIGHTHIEF CYPRUS LTD</w:t>
            </w:r>
          </w:p>
        </w:tc>
      </w:tr>
      <w:tr>
        <w:tc>
          <w:tcPr>
            <w:tcW w:type="dxa" w:w="4703"/>
            <w:shd w:val="clear" w:color="auto" w:fill="FFFFFF"/>
          </w:tcPr>
          <w:p>
            <w:pPr>
              <w:spacing w:before="80" w:after="80"/>
            </w:pPr>
            <w:r>
              <w:rPr>
                <w:rFonts w:ascii="Calibri" w:hAnsi="Calibri"/>
                <w:b w:val="0"/>
                <w:sz w:val="20"/>
              </w:rPr>
              <w:t>(Landlord)</w:t>
            </w:r>
          </w:p>
        </w:tc>
        <w:tc>
          <w:tcPr>
            <w:tcW w:type="dxa" w:w="4703"/>
            <w:shd w:val="clear" w:color="auto" w:fill="FFFFFF"/>
          </w:tcPr>
          <w:p>
            <w:pPr>
              <w:spacing w:before="80" w:after="80"/>
            </w:pPr>
            <w:r>
              <w:rPr>
                <w:rFonts w:ascii="Calibri" w:hAnsi="Calibri"/>
                <w:b w:val="0"/>
                <w:sz w:val="20"/>
              </w:rPr>
              <w:t>(Tenant)</w:t>
            </w:r>
          </w:p>
        </w:tc>
      </w:tr>
      <w:tr>
        <w:tc>
          <w:tcPr>
            <w:tcW w:type="dxa" w:w="4703"/>
            <w:shd w:val="clear" w:color="auto" w:fill="FFFFFF"/>
          </w:tcPr>
          <w:p>
            <w:pPr>
              <w:spacing w:before="80" w:after="80"/>
            </w:pPr>
            <w:r>
              <w:rPr>
                <w:rFonts w:ascii="Calibri" w:hAnsi="Calibri"/>
                <w:b w:val="0"/>
                <w:sz w:val="20"/>
              </w:rPr>
              <w:t>Signature: ___________________________</w:t>
            </w:r>
          </w:p>
        </w:tc>
        <w:tc>
          <w:tcPr>
            <w:tcW w:type="dxa" w:w="4703"/>
            <w:shd w:val="clear" w:color="auto" w:fill="FFFFFF"/>
          </w:tcPr>
          <w:p>
            <w:pPr>
              <w:spacing w:before="80" w:after="80"/>
            </w:pPr>
            <w:r>
              <w:rPr>
                <w:rFonts w:ascii="Calibri" w:hAnsi="Calibri"/>
                <w:b w:val="0"/>
                <w:sz w:val="20"/>
              </w:rPr>
              <w:t>Signature: ___________________________</w:t>
            </w:r>
          </w:p>
        </w:tc>
      </w:tr>
      <w:tr>
        <w:tc>
          <w:tcPr>
            <w:tcW w:type="dxa" w:w="4703"/>
            <w:shd w:val="clear" w:color="auto" w:fill="FFFFFF"/>
          </w:tcPr>
          <w:p>
            <w:pPr>
              <w:spacing w:before="80" w:after="80"/>
            </w:pPr>
            <w:r>
              <w:rPr>
                <w:rFonts w:ascii="Calibri" w:hAnsi="Calibri"/>
                <w:b w:val="0"/>
                <w:sz w:val="20"/>
              </w:rPr>
              <w:t>Name:  Christodoulos Aristocleous</w:t>
            </w:r>
          </w:p>
        </w:tc>
        <w:tc>
          <w:tcPr>
            <w:tcW w:type="dxa" w:w="4703"/>
            <w:shd w:val="clear" w:color="auto" w:fill="FFFFFF"/>
          </w:tcPr>
          <w:p>
            <w:pPr>
              <w:spacing w:before="80" w:after="80"/>
            </w:pPr>
            <w:r>
              <w:rPr>
                <w:rFonts w:ascii="Calibri" w:hAnsi="Calibri"/>
                <w:b w:val="0"/>
                <w:sz w:val="20"/>
              </w:rPr>
              <w:t>Name:  Alexander Papacosta</w:t>
            </w:r>
          </w:p>
        </w:tc>
      </w:tr>
      <w:tr>
        <w:tc>
          <w:tcPr>
            <w:tcW w:type="dxa" w:w="4703"/>
            <w:shd w:val="clear" w:color="auto" w:fill="FFFFFF"/>
          </w:tcPr>
          <w:p>
            <w:pPr>
              <w:spacing w:before="80" w:after="80"/>
            </w:pPr>
            <w:r>
              <w:rPr>
                <w:rFonts w:ascii="Calibri" w:hAnsi="Calibri"/>
                <w:b w:val="0"/>
                <w:sz w:val="20"/>
              </w:rPr>
              <w:t>Title:  Director &amp; UBO</w:t>
            </w:r>
          </w:p>
        </w:tc>
        <w:tc>
          <w:tcPr>
            <w:tcW w:type="dxa" w:w="4703"/>
            <w:shd w:val="clear" w:color="auto" w:fill="FFFFFF"/>
          </w:tcPr>
          <w:p>
            <w:pPr>
              <w:spacing w:before="80" w:after="80"/>
            </w:pPr>
            <w:r>
              <w:rPr>
                <w:rFonts w:ascii="Calibri" w:hAnsi="Calibri"/>
                <w:b w:val="0"/>
                <w:sz w:val="20"/>
              </w:rPr>
              <w:t>Title:  Director</w:t>
            </w:r>
          </w:p>
        </w:tc>
      </w:tr>
      <w:tr>
        <w:tc>
          <w:tcPr>
            <w:tcW w:type="dxa" w:w="4703"/>
            <w:shd w:val="clear" w:color="auto" w:fill="FFFFFF"/>
          </w:tcPr>
          <w:p>
            <w:pPr>
              <w:spacing w:before="80" w:after="80"/>
            </w:pPr>
            <w:r>
              <w:rPr>
                <w:rFonts w:ascii="Calibri" w:hAnsi="Calibri"/>
                <w:b w:val="0"/>
                <w:sz w:val="20"/>
              </w:rPr>
              <w:t>Date:   ________________________</w:t>
            </w:r>
          </w:p>
        </w:tc>
        <w:tc>
          <w:tcPr>
            <w:tcW w:type="dxa" w:w="4703"/>
            <w:shd w:val="clear" w:color="auto" w:fill="FFFFFF"/>
          </w:tcPr>
          <w:p>
            <w:pPr>
              <w:spacing w:before="80" w:after="80"/>
            </w:pPr>
            <w:r>
              <w:rPr>
                <w:rFonts w:ascii="Calibri" w:hAnsi="Calibri"/>
                <w:b w:val="0"/>
                <w:sz w:val="20"/>
              </w:rPr>
              <w:t>Date:   ________________________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