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18096"/>
          <w:sz w:val="17"/>
        </w:rPr>
        <w:t>Document Reference: LCY-LTSA-GAL-2026</w:t>
        <w:br/>
        <w:t>Version: 4.0</w:t>
        <w:br/>
        <w:t>Date: May 2026</w:t>
        <w:br/>
        <w:br/>
        <w:t>VERSION HISTORY</w:t>
        <w:br/>
        <w:t>v1.0 — Oct 2025: Initial draft</w:t>
        <w:br/>
        <w:t>v2.0 — Jan 2026: Updated to Linyang RFI confirmed rates</w:t>
        <w:br/>
        <w:t>v2.4 — Feb 2026: Updated pricing, availability LD rate</w:t>
        <w:br/>
        <w:t>v3.0 — 22 Feb 2026: Group-level availability, EU Directive interest, tier structure</w:t>
        <w:br/>
        <w:t>v4.0 — 17 Mar 2026: Tier D removed (not offered), section numbering fixed,</w:t>
        <w:br/>
        <w:t xml:space="preserve">       SOH table corrected, availability duration 15yr, lender assignment,</w:t>
        <w:br/>
        <w:t xml:space="preserve">       companion document reference to EPC v4.0</w:t>
        <w:b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b/>
          <w:color w:val="718096"/>
          <w:sz w:val="17"/>
        </w:rPr>
      </w:r>
      <w:r>
        <w:rPr>
          <w:color w:val="718096"/>
          <w:sz w:val="17"/>
        </w:rPr>
      </w:r>
      <w:r>
        <w:rPr>
          <w:b/>
          <w:color w:val="718096"/>
          <w:sz w:val="17"/>
        </w:rPr>
      </w:r>
    </w:p>
    <w:p>
      <w:r>
        <w:br w:type="page"/>
      </w:r>
    </w:p>
    <w:p>
      <w:pPr>
        <w:spacing w:before="320"/>
      </w:pPr>
      <w:r>
        <w:rPr>
          <w:b/>
          <w:color w:val="1A365D"/>
          <w:sz w:val="24"/>
        </w:rPr>
        <w:t>1. PARTIES</w:t>
      </w:r>
    </w:p>
    <w:p>
      <w:r>
        <w:rPr>
          <w:b w:val="0"/>
          <w:sz w:val="20"/>
        </w:rPr>
        <w:t>This Long-Term Service Agreement ("Agreement") is made as of [●] 2026 ("Effective Date")</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Galascope Ltd,</w:t>
      </w:r>
    </w:p>
    <w:p>
      <w:r>
        <w:rPr>
          <w:b w:val="0"/>
          <w:sz w:val="20"/>
        </w:rPr>
        <w:t>a company incorporated under the laws of the Republic of Cyprus, with registered office at Karaiskaki 6, City House, 3032 Limassol, Cyprus, Registration No. HE 303759</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two (2) days (48 hours) per Park per calendar year.</w:t>
      </w:r>
    </w:p>
    <w:p>
      <w:r>
        <w:rPr>
          <w:b w:val="0"/>
          <w:sz w:val="20"/>
        </w:rPr>
        <w:t>"System Capacity"</w:t>
      </w:r>
    </w:p>
    <w:p>
      <w:r>
        <w:rPr>
          <w:b w:val="0"/>
          <w:sz w:val="20"/>
        </w:rPr>
        <w:t>means the total installed capacity of the BESS in MWh, as specified in Schedule 1.</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Quarterly preventive maintenance visits (every three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 The Service Provider shall, at no additional charge, provide the Client (or up to three (3) Client representatives nominated in writing) with training on the use of the Monitoring Platform and portal, comprising one (1) session at or shortly after PAC and one (1) refresher session per calendar year on reasonable notice, or promptly following any material change to the Monitoring Platform.</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r>
        <w:rPr>
          <w:b w:val="0"/>
          <w:sz w:val="20"/>
        </w:rPr>
        <w:t>5.7 Data Retention</w:t>
      </w:r>
    </w:p>
    <w:p>
      <w:r>
        <w:rPr>
          <w:b w:val="0"/>
          <w:sz w:val="20"/>
        </w:rPr>
        <w:t>The Service Provider shall retain Performance Data, alarm/event logs, BMS/PCS/EMS logs, maintenance records, SOH certificates and availability calculations for a minimum of fifteen (15) years from the Commissioning Date, and for five (5) years following termination. The Client shall have continuous access to and the right to export all such data at any time. Data shall be retained in formats acceptable to the OEM (Linyang) for warranty claims and to any applicable regulatory authority.</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Quarterly On-Site Maintenance Visits: Comprehensive on-site inspection and maintenance by qualified personnel, conducted every three (3) months (four visits per year), as required by the OEM to maintain warranty validity.</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Quarterly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6.7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6.8 Maintenance Scheduling</w:t>
      </w:r>
    </w:p>
    <w:p>
      <w:r>
        <w:rPr>
          <w:b w:val="0"/>
          <w:sz w:val="20"/>
        </w:rPr>
        <w:t>(a) Quarterly Maintenance Visits shall be scheduled at least thirty (30) days in advance, at mutually agreed dates approximately three (3) months apart.</w:t>
      </w:r>
    </w:p>
    <w:p>
      <w:r>
        <w:rPr>
          <w:b w:val="0"/>
          <w:sz w:val="20"/>
        </w:rPr>
        <w:t>(b) The Service Provider shall endeavour to schedule maintenance at times when the BESS is not actively dispatching, to minimise impact on Client operations.</w:t>
      </w:r>
    </w:p>
    <w:p>
      <w:r>
        <w:rPr>
          <w:b w:val="0"/>
          <w:sz w:val="20"/>
        </w:rPr>
        <w:t>Total Scheduled Downtime shall not exceed two (2) days (48 hours) per Park per calendar year, excluding Force Majeure events. Maintenance visits shall be pre-scheduled at least thirty (30) days in advance, confirmed by the Client, and performed in low-dispatch windows (preferably between 04:00 and 08:00 local time). Scheduled Downtime exceeding 48 consecutive hours per Park requires the Client's prior written approval except for safety emergencies.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sz w:val="20"/>
        </w:rPr>
        <w:t>6.5 Maintenance Records</w:t>
      </w:r>
    </w:p>
    <w:p>
      <w:r>
        <w:rPr>
          <w:b w:val="0"/>
          <w:sz w:val="20"/>
        </w:rPr>
        <w:t>The Service Provider shall maintain detailed records of all maintenance activities, findings, and recommendations, and shall provide copies to the Client upon request.</w:t>
      </w:r>
    </w:p>
    <w:p>
      <w:r>
        <w:rPr>
          <w:b w:val="0"/>
          <w:sz w:val="20"/>
        </w:rPr>
        <w:t>6.6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The Service Fee is fixed for the Initial Term (five (5) years). No adjustment shall apply during the Initial Term. After the Initial Term, the Service Fee may be adjusted only by written agreement of both Parties.</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r>
        <w:rPr>
          <w:b w:val="0"/>
          <w:sz w:val="20"/>
        </w:rPr>
        <w:t>7.5 Late Payment</w:t>
      </w:r>
    </w:p>
    <w:p>
      <w:r>
        <w:rPr>
          <w:b w:val="0"/>
          <w:sz w:val="20"/>
        </w:rPr>
        <w:t>Late payments shall bear interest at the rate prescribed by EU Directive 2011/7/EU (the European Central Bank main refinancing rate plus eight percent (8%)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one (1) hour, the system shall automatically escalate to the backup technician and operations manager.</w:t>
      </w:r>
    </w:p>
    <w:p>
      <w:r>
        <w:rPr>
          <w:b w:val="0"/>
          <w:sz w:val="20"/>
        </w:rPr>
        <w:t>8.2 Response Time Commitments</w:t>
      </w:r>
    </w:p>
    <w:p>
      <w:r>
        <w:rPr>
          <w:b w:val="0"/>
          <w:sz w:val="20"/>
        </w:rPr>
        <w:t>The Service Provider commits to the following Response Times:</w:t>
      </w:r>
    </w:p>
    <w:p>
      <w:r>
        <w:rPr>
          <w:b w:val="0"/>
          <w:sz w:val="20"/>
        </w:rPr>
        <w:t>(a) Critical Alerts: Initial remote response immediately upon alert generation (automated 24/7 platform); duty technician acknowledgement within thirty (30) minutes; on-site attendance (if required) within eight (8) hours. For any safety risk the Service Provider shall apply immediate remote isolation or safe-shutdown command without waiting for acknowledgement.</w:t>
      </w:r>
    </w:p>
    <w:p>
      <w:r>
        <w:rPr>
          <w:b w:val="0"/>
          <w:sz w:val="20"/>
        </w:rPr>
        <w:t>(b) Major Alerts: Initial remote response within four (4) hours; on-site attendance (if required) within six (6) hours of the alert.</w:t>
      </w:r>
    </w:p>
    <w:p>
      <w:r>
        <w:rPr>
          <w:b w:val="0"/>
          <w:sz w:val="20"/>
        </w:rPr>
        <w:t>(c) Minor Alerts: Initial remote response within twelve (12)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within the eight (8) hour commitment for a Critical Alert, the Client shall be entitled to a service credit of one hundred euros (€100) for each Business Day of delay beyond that commitment, up to a maximum of one thousand euros (€1,000) per incident.</w:t>
      </w:r>
    </w:p>
    <w:p>
      <w:r>
        <w:rPr>
          <w:b w:val="0"/>
          <w:sz w:val="20"/>
        </w:rPr>
        <w:t>(b) Major Alert Breach: Where the Service Provider fails to achieve on-site attendance within the five (5) Business Day commitment for a Major Alert, the Client shall be entitled to a service credit of fifty euros (€50) for each Business Day of delay beyond that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one (1) hour of alert generation.</w:t>
      </w:r>
    </w:p>
    <w:p>
      <w:r>
        <w:rPr>
          <w:b w:val="0"/>
          <w:sz w:val="20"/>
        </w:rPr>
        <w:t xml:space="preserve">If the primary duty technician does not acknowledge a Critical Alert within thirty (30) minutes, the Monitoring Platform shall automatically escalate the alert to the backup technician </w:t>
      </w:r>
    </w:p>
    <w:p>
      <w:r>
        <w:rPr>
          <w:b w:val="0"/>
          <w:sz w:val="20"/>
        </w:rPr>
        <w:t>If on-site attendance has not been dispatched within two (2) hours of a Critical Alert, the operations manager shall escalate</w:t>
      </w:r>
    </w:p>
    <w:p>
      <w:r>
        <w:rPr>
          <w:b w:val="0"/>
          <w:sz w:val="20"/>
        </w:rPr>
        <w:t>(d) Client Notification: The Client shall receive status updates at intervals of no more than two (2) hours from the time of a Critical Alert until the issue is resolved or the situation is stabilised.</w:t>
      </w:r>
    </w:p>
    <w:p>
      <w:r>
        <w:rPr>
          <w:b w:val="0"/>
          <w:sz w:val="20"/>
        </w:rPr>
        <w:t>8.7 Coverage Hours</w:t>
      </w:r>
    </w:p>
    <w:p>
      <w:r>
        <w:rPr>
          <w:b w:val="0"/>
          <w:sz w:val="20"/>
        </w:rPr>
        <w:t>(a) The Response Time commitments set out in Section 8.2 for Critical Alerts and Major Alerts operate as follows: remote monitoring and remote response operate 24/7/365. On-site attendance commitments under Section 8.2 apply on Business Days; for Critical Alerts arising on weekends, public holidays, or night hours, on-site attendance is on a reasonable-endeavours basis with immediate remote isolation available, and the annual Availability Guarantee (Section 9) is the primary performance commitment.</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systems covered under this Agreement shall achieve a minimum annual Availability of ninety-seven percent (97%), calculated at the Group Level in accordance with Schedule 4.</w:t>
      </w:r>
    </w:p>
    <w:p>
      <w:r>
        <w:rPr>
          <w:b w:val="0"/>
          <w:sz w:val="20"/>
        </w:rPr>
        <w:t>9.2 Calculation of Availability</w:t>
      </w:r>
    </w:p>
    <w:p>
      <w:r>
        <w:rPr>
          <w:b w:val="0"/>
          <w:sz w:val="20"/>
        </w:rPr>
        <w:t>Availability shall be calculated on a Group Aggregate basis across all parks covered under this Agreement, as follows:</w:t>
      </w:r>
    </w:p>
    <w:p>
      <w:r>
        <w:rPr>
          <w:b w:val="0"/>
          <w:sz w:val="20"/>
        </w:rPr>
        <w:t>Group Availability (%) = [SUM(Available Hours per Park) / SUM(Total Hours per Park)] x 100</w:t>
      </w:r>
    </w:p>
    <w:p>
      <w:r>
        <w:rPr>
          <w:b w:val="0"/>
          <w:sz w:val="20"/>
        </w:rPr>
        <w:t>Where:</w:t>
      </w:r>
    </w:p>
    <w:p>
      <w:r>
        <w:rPr>
          <w:b w:val="0"/>
          <w:sz w:val="20"/>
        </w:rPr>
        <w:t>(a) Total Hours per Park = 8,760 hours per year (or 8,784 in a leap year), commencing from the PAC date for each park;</w:t>
      </w:r>
    </w:p>
    <w:p>
      <w:r>
        <w:rPr>
          <w:b w:val="0"/>
          <w:sz w:val="20"/>
        </w:rPr>
        <w:t>(b) Unavailable Hours per Park = hours during which that park's BESS is unable to operate at its rated capacity due to equipment fault, failure, or Service Provider-caused downtime;</w:t>
      </w:r>
    </w:p>
    <w:p>
      <w:r>
        <w:rPr>
          <w:b w:val="0"/>
          <w:sz w:val="20"/>
        </w:rPr>
        <w:t>(c) Parks are added to the Group Availability calculation from their respective PAC dates — the guarantee accumulates as parks are commissioned and activated under this Agreement;</w:t>
      </w:r>
    </w:p>
    <w:p>
      <w:r>
        <w:rPr>
          <w:b w:val="0"/>
          <w:sz w:val="20"/>
        </w:rPr>
        <w:t>(d) For partial years (the year of commissioning), only the period from PAC to year-end is included in the calculation for that park.</w:t>
      </w:r>
    </w:p>
    <w:p>
      <w:r>
        <w:rPr>
          <w:b w:val="0"/>
          <w:sz w:val="20"/>
        </w:rPr>
        <w:t>9.2A Group-Level Availability Rationale and LD Protection</w:t>
      </w:r>
    </w:p>
    <w:p>
      <w:r>
        <w:rPr>
          <w:b w:val="0"/>
          <w:sz w:val="20"/>
        </w:rPr>
        <w:t>The 97% Availability Guarantee applies at the Project level across Galascope 1 and Galascope 2 in aggregate, consistent with the Parties’ agreement. An isolated park outage does not constitute a breach of the guarantee provided the weighted average availability across both Project parks exceeds 97%. This structure was agreed by the Parties and reflects the aggregated (project-level) basis under which the Tier C service fee was agreed. Note: the group-level calculation does not eliminate the financial consequence of individual park underperformance — the Availability LD cap has been increased to fifty percent (50%) of the annual Service Fee (Section 9.5) to provide meaningful compensation even where one park drives the shortfall. The Parties acknowledge that requiring per-park 97% guarantees on individual smaller parks would require a materially higher service fee and was not the basis on which the Tier C fee was agreed.</w:t>
      </w:r>
    </w:p>
    <w:p>
      <w:r>
        <w:rPr>
          <w:b w:val="0"/>
          <w:sz w:val="20"/>
        </w:rPr>
        <w:t>9.3 Exclusions from Unavailable Hours</w:t>
      </w:r>
    </w:p>
    <w:p>
      <w:r>
        <w:rPr>
          <w:b w:val="0"/>
          <w:sz w:val="20"/>
        </w:rPr>
        <w:t>The following shall not count as Unavailable Hours:</w:t>
      </w:r>
    </w:p>
    <w:p>
      <w:r>
        <w:rPr>
          <w:b w:val="0"/>
          <w:sz w:val="20"/>
        </w:rPr>
        <w:t>(maximum 48 hours / 2 days per year per Park)</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sz w:val="20"/>
        </w:rPr>
        <w:t>(e) Downtime caused by EMS or third-party system failures — except that this exclusion shall not apply where the EMS failure is attributable to DISPERON (R&amp;D Innovations Sp. z o.o.) or any other entity within the Lighthief group of companies, or is caused by the Service Provider's configuration, monitoring, integration or cyber-security controls;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fifty percent (50%) of the annual Service Fee per Park. This cap shall not apply to wilful default or gross negligence by the Service Provider.</w:t>
      </w:r>
    </w:p>
    <w:p>
      <w:r>
        <w:rPr>
          <w:b w:val="0"/>
          <w:sz w:val="20"/>
        </w:rPr>
        <w:t>9.6 Sole Remedy</w:t>
      </w:r>
    </w:p>
    <w:p>
      <w:r>
        <w:rPr>
          <w:b w:val="0"/>
          <w:sz w:val="20"/>
        </w:rPr>
        <w:t>The Availability Liquidated Damages set out in this Section are the agreed primary remedy for ordinary failure to achieve the Availability Guarantee. They shall not exclude the Client's right to claim for wilful default, gross negligence, or repeated safety incidents by the Service Provider, for which the general liability provisions of Section 14 apply.</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94.62% of original rated capacity;</w:t>
      </w:r>
    </w:p>
    <w:p>
      <w:r>
        <w:rPr>
          <w:b w:val="0"/>
          <w:sz w:val="20"/>
        </w:rPr>
        <w:t>(b) End of Year 2: 91.77% of original rated capacity;</w:t>
      </w:r>
    </w:p>
    <w:p>
      <w:r>
        <w:rPr>
          <w:b w:val="0"/>
          <w:sz w:val="20"/>
        </w:rPr>
        <w:t>(c) End of Year 3: 89.91% of original rated capacity;</w:t>
      </w:r>
    </w:p>
    <w:p>
      <w:r>
        <w:rPr>
          <w:b w:val="0"/>
          <w:sz w:val="20"/>
        </w:rPr>
        <w:t>(d) End of Year 4: 88.00% of original rated capacity;</w:t>
      </w:r>
    </w:p>
    <w:p>
      <w:r>
        <w:rPr>
          <w:b w:val="0"/>
          <w:sz w:val="20"/>
        </w:rPr>
        <w:t>(e) End of Year 5: 86.78% of original rated capacity;</w:t>
      </w:r>
    </w:p>
    <w:p>
      <w:r>
        <w:rPr>
          <w:b w:val="0"/>
          <w:sz w:val="20"/>
        </w:rPr>
        <w:t>(f) End of Year 10: 79.58% of original rated capacity;</w:t>
      </w:r>
    </w:p>
    <w:p>
      <w:r>
        <w:rPr>
          <w:b w:val="0"/>
          <w:sz w:val="20"/>
        </w:rPr>
        <w:t>(g) End of Year 15: 73.61%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3%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the prevailing market per-kWh rate for equivalent battery modules</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stocked in the local warehouse include, at minimum: (Note: full transformer unit stocking is subject to further discussion given the distinct transformer ratings across Galascope 1 and Galascope 2; the Parties shall agree a transformer-spares arrangement within thirty (30) days of the LTSA Effective Date. In the interim, the Service Provider commits to a four (4) week OEM supply lead-time for transformer units.) Critical sub-components include:</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Insurance of minimum EUR 1,000,000 and Professional Indemnity Insurance of minimum EUR 2,000,000.</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eight percent (8%)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The Client may terminate this Agreement for convenience by providing ninety (90) days' written notice. The Service Provider may terminate for convenience only after the Initial Term, by providing twelve (12) months' written notice, provided that such termination shall not prejudice warranty, data-handover or transition obligations.</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twenty-four (24) months preceding the claim. This cap shall not apply to wilful misconduct, gross negligence, fraud, breach of confidentiality, or the carve-outs in Section 14.3.</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w:t>
      </w:r>
    </w:p>
    <w:p>
      <w:r>
        <w:rPr>
          <w:b w:val="0"/>
          <w:sz w:val="20"/>
        </w:rPr>
        <w:t>Site Address: [●]</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5MWh | [●] | [●] |</w:t>
      </w:r>
    </w:p>
    <w:p>
      <w:r>
        <w:rPr>
          <w:b w:val="0"/>
          <w:sz w:val="20"/>
        </w:rPr>
        <w:t>| Power Conversion System | [●] MW PCS | [●] | [●] |</w:t>
      </w:r>
    </w:p>
    <w:p>
      <w:r>
        <w:rPr>
          <w:b w:val="0"/>
          <w:sz w:val="20"/>
        </w:rPr>
        <w:t>| Transformer | [●] MVA Transformer | [●] | [●] |</w:t>
      </w:r>
    </w:p>
    <w:p>
      <w:r>
        <w:rPr>
          <w:b w:val="0"/>
          <w:sz w:val="20"/>
        </w:rPr>
        <w:t>| EMS | DISPERON (R&amp;D Innovations Sp. z o.o.) | [●]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8,000 cycles (25°C, 90% DOD, 0.5C) |</w:t>
      </w:r>
    </w:p>
    <w:p>
      <w:r>
        <w:rPr>
          <w:b w:val="0"/>
          <w:sz w:val="20"/>
        </w:rPr>
        <w:t>| Energy Density | 175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8,000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30 MWh (Galascope 1: 20 MWh + Galascope 2: 10 MWh)</w:t>
        <w:br/>
        <w:t>AGREED ANNUAL SERVICE FEE: EUR 52,200 / Year (30 MWh x EUR 1,740 / MWh all-in), excluding VAT; EUR 62,118 / Year including 19% VAT. Fixed for the 15-year Initial Term (no CPI escalation). Site, equipment serial numbers and dates in Schedule 1 are completed at the order trigger (Connection Terms).</w:t>
      </w:r>
    </w:p>
    <w:p>
      <w:r>
        <w:rPr>
          <w:b w:val="0"/>
          <w:sz w:val="20"/>
        </w:rPr>
        <w:t>SELECTED SERVICE TIER: ☐ Tier A  ☐ Tier B  ☒ Tier C (default)</w:t>
        <w:br/>
        <w:t>AGREED ALL-IN RATE: EUR 1,740 / MWh / Year, which is inclusive of the DISPERON EMS/SCADA software subscription (i.e. the EMS subscription is NOT charged separately on top of this rate). This all-in Tier C rate is the rate agreed for this Project.</w:t>
      </w:r>
    </w:p>
    <w:p>
      <w:r>
        <w:rPr>
          <w:b w:val="0"/>
          <w:sz w:val="20"/>
        </w:rPr>
        <w:t>───────────────────────────────────────────────────────────────</w:t>
      </w:r>
    </w:p>
    <w:p>
      <w:r>
        <w:rPr>
          <w:b w:val="0"/>
          <w:sz w:val="20"/>
        </w:rPr>
        <w:t>BASE SERVICE PRICING (Per MWh per Year) — list/reference build-up; the agreed Tier C charge is the all-in EUR 1,740/MWh/Year in the Annual Fee Summary below</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(list ref.) | see all-in |</w:t>
      </w:r>
    </w:p>
    <w:p>
      <w:r>
        <w:rPr>
          <w:b w:val="0"/>
          <w:sz w:val="20"/>
        </w:rPr>
        <w:t>| (Includes remote monitoring + bi-annual servicing) | | |</w:t>
      </w:r>
    </w:p>
    <w:p>
      <w:r>
        <w:rPr>
          <w:b w:val="0"/>
          <w:sz w:val="20"/>
        </w:rPr>
        <w:t>| | | |</w:t>
      </w:r>
    </w:p>
    <w:p>
      <w:r>
        <w:rPr>
          <w:b w:val="0"/>
          <w:sz w:val="20"/>
        </w:rPr>
        <w:t>| TIER B – Add Comprehensive O&amp;M | | |</w:t>
      </w:r>
    </w:p>
    <w:p>
      <w:r>
        <w:rPr>
          <w:b w:val="0"/>
          <w:sz w:val="20"/>
        </w:rPr>
        <w:t>| Preventive &amp; Corrective Maintenance – PCS + MVS | (list ref.) | see all-in |</w:t>
      </w:r>
    </w:p>
    <w:p>
      <w:r>
        <w:rPr>
          <w:b w:val="0"/>
          <w:sz w:val="20"/>
        </w:rPr>
        <w:t>| (Includes remote monitoring + bi-annual servicing) | | |</w:t>
      </w:r>
    </w:p>
    <w:p>
      <w:r>
        <w:rPr>
          <w:b w:val="0"/>
          <w:sz w:val="20"/>
        </w:rPr>
        <w:t>| | | |</w:t>
      </w:r>
    </w:p>
    <w:p>
      <w:r>
        <w:rPr>
          <w:b w:val="0"/>
          <w:sz w:val="20"/>
        </w:rPr>
        <w:t>| TIER C – Add Availability Guarantee | | |</w:t>
      </w:r>
    </w:p>
    <w:p>
      <w:r>
        <w:rPr>
          <w:b w:val="0"/>
          <w:sz w:val="20"/>
        </w:rPr>
        <w:t>| 97% Availability Guarantee (Years 1-15) | (list ref.) | see all-in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not selected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€913.92/MWh/Yr (€27,417.60/Yr for 30 MWh) | ☐ |</w:t>
      </w:r>
    </w:p>
    <w:p>
      <w:r>
        <w:rPr>
          <w:b w:val="0"/>
          <w:sz w:val="20"/>
        </w:rPr>
        <w:t>| BESS Performance &amp; Product Warranty | 11-15 | €1,157.62/MWh/Yr (€34,728.60/Yr for 30 MWh) | ☐ |</w:t>
      </w:r>
    </w:p>
    <w:p>
      <w:r>
        <w:rPr>
          <w:b w:val="0"/>
          <w:sz w:val="20"/>
        </w:rPr>
        <w:t>| PCS + MVS Product Warranty | 6-10 | Not offered — Client has elected BESS-only extension | n/a |</w:t>
      </w:r>
    </w:p>
    <w:p>
      <w:r>
        <w:rPr>
          <w:b w:val="0"/>
          <w:sz w:val="20"/>
        </w:rPr>
        <w:t>| PCS + MVS Product Warranty | 11-15 | Not offered — Client has elected BESS-only extension | n/a |</w:t>
      </w:r>
    </w:p>
    <w:p>
      <w:r>
        <w:rPr>
          <w:b/>
          <w:sz w:val="20"/>
        </w:rPr>
        <w:t>Note: Extended warranty is available for a maximum of fifteen (15) years from COD (1 cycle per day condition). Years 16-20 warranty extension is not available from the OEM. Pricing above is the official Linyang Cyprus quotation for the Project (30 MWh combined System Capacity: Galascope 1, 20 MWh + Galascope 2, 10 MWh). Scope is BESS (cells, modules, racks, BMS) only — the PCS/MVS extended-warranty option is not offered under this LTSA at the Client's instruction. This extension is optional and is not selected by default; the Client may elect either period in writing at any time before expiry of the then-current warranty period, per EPC Section 10.6-EXT.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€400 | €12,000 |</w:t>
      </w:r>
    </w:p>
    <w:p>
      <w:r>
        <w:rPr>
          <w:b w:val="0"/>
          <w:sz w:val="20"/>
        </w:rPr>
        <w:t>| (20% of installed EMS/SCADA cost per year) | | |</w:t>
      </w:r>
    </w:p>
    <w:p>
      <w:r>
        <w:rPr>
          <w:b/>
          <w:sz w:val="20"/>
        </w:rPr>
        <w:t>Calculation basis: Annual subscription = 20% of total installed EMS/SCADA cost (EMS hardware + SCADA Local + SCADA Global), divided by system capacity in MWh. For this Project the EMS/SCADA subscription rate is EUR 400/MWh/Year (EUR 12,000 per year for the 30 MWh combined across Galascope 1 and Galascope 2), as set out in the EMS Subscription Addendum. For the avoidance of doubt, this EUR 400/MWh/Year EMS/SCADA component is included within — and is not additional to — the all-in LTSA Service Fee of EUR 1,740/MWh/Year agreed for this Project; the EMS subscription is not invoiced separately on top of the LTSA Service Fee while this Agreement is in force. The standalone EUR 400/MWh/Year rate applies only if the Client exits or terminates the LTSA and the EMS subscription continues on a standalone basis.</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 per client group</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30 MWh |</w:t>
      </w:r>
    </w:p>
    <w:p>
      <w:r>
        <w:rPr>
          <w:b w:val="0"/>
          <w:sz w:val="20"/>
        </w:rPr>
        <w:t>| Installed EMS/SCADA Cost | €60,000 |</w:t>
      </w:r>
    </w:p>
    <w:p>
      <w:r>
        <w:rPr>
          <w:b w:val="0"/>
          <w:sz w:val="20"/>
        </w:rPr>
        <w:t>| Annual Subscription (20%) | €12,000 |</w:t>
      </w:r>
    </w:p>
    <w:p>
      <w:r>
        <w:rPr>
          <w:b w:val="0"/>
          <w:sz w:val="20"/>
        </w:rPr>
        <w:t>| EUR/MWh/Year | €400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(Tier C, all-in, incl. EMS) | €52,200 |</w:t>
      </w:r>
    </w:p>
    <w:p>
      <w:r>
        <w:rPr>
          <w:b w:val="0"/>
          <w:sz w:val="20"/>
        </w:rPr>
        <w:t>| Warranty Extension (if selected) | — (none selected) |</w:t>
      </w:r>
    </w:p>
    <w:p>
      <w:r>
        <w:rPr>
          <w:b w:val="0"/>
          <w:sz w:val="20"/>
        </w:rPr>
        <w:t>| EMS/SCADA Annual Subscription | €12,000 (included in Base above) |</w:t>
      </w:r>
    </w:p>
    <w:p>
      <w:r>
        <w:rPr>
          <w:b w:val="0"/>
          <w:sz w:val="20"/>
        </w:rPr>
        <w:t>| TOTAL ANNUAL FEE | €52,200 |</w:t>
      </w:r>
    </w:p>
    <w:p>
      <w:r>
        <w:rPr>
          <w:b w:val="0"/>
          <w:sz w:val="20"/>
        </w:rPr>
        <w:t>| VAT (19%) | €9,918 |</w:t>
      </w:r>
    </w:p>
    <w:p>
      <w:r>
        <w:rPr>
          <w:b w:val="0"/>
          <w:sz w:val="20"/>
        </w:rPr>
        <w:t>| TOTAL INCLUDING VAT | €62,118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Quarterly on-site maintenance visits (4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BI-ANNUAL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LDs shall be calculated as follows: for each percentage point below 97% achieved, the Service Provider shall pay EUR 30 per MWh per day of affected unavailable capacity (minimum EUR 500 per day per Park). Where this daily rate would produce a lower aggregate than the fee-reduction percentages in the table above, the fee-reduction table governs; where the daily rate produces a higher aggregate, the daily rate governs. In all cases the cap in Section 9.5 applies.</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94.62% |</w:t>
      </w:r>
    </w:p>
    <w:p>
      <w:r>
        <w:rPr>
          <w:b w:val="0"/>
          <w:sz w:val="20"/>
        </w:rPr>
        <w:t>| 2 | 91.77% |</w:t>
      </w:r>
    </w:p>
    <w:p>
      <w:r>
        <w:rPr>
          <w:b w:val="0"/>
          <w:sz w:val="20"/>
        </w:rPr>
        <w:t>| 3 | 89.91% |</w:t>
      </w:r>
    </w:p>
    <w:p>
      <w:r>
        <w:rPr>
          <w:b w:val="0"/>
          <w:sz w:val="20"/>
        </w:rPr>
        <w:t>| 4 | 88.00% |</w:t>
      </w:r>
    </w:p>
    <w:p>
      <w:r>
        <w:rPr>
          <w:b w:val="0"/>
          <w:sz w:val="20"/>
        </w:rPr>
        <w:t>| 5 | 86.78% |</w:t>
      </w:r>
    </w:p>
    <w:p>
      <w:r>
        <w:rPr>
          <w:b w:val="0"/>
          <w:sz w:val="20"/>
        </w:rPr>
        <w:t>| 6 | 84.97% |</w:t>
      </w:r>
    </w:p>
    <w:p>
      <w:r>
        <w:rPr>
          <w:b w:val="0"/>
          <w:sz w:val="20"/>
        </w:rPr>
        <w:t>| 7 | 83.83% |</w:t>
      </w:r>
    </w:p>
    <w:p>
      <w:r>
        <w:rPr>
          <w:b w:val="0"/>
          <w:sz w:val="20"/>
        </w:rPr>
        <w:t>| 8 | 82.25% |</w:t>
      </w:r>
    </w:p>
    <w:p>
      <w:r>
        <w:rPr>
          <w:b w:val="0"/>
          <w:sz w:val="20"/>
        </w:rPr>
        <w:t>| 9 | 81.06% |</w:t>
      </w:r>
    </w:p>
    <w:p>
      <w:r>
        <w:rPr>
          <w:b w:val="0"/>
          <w:sz w:val="20"/>
        </w:rPr>
        <w:t>| 10 | 79.58% |</w:t>
      </w:r>
    </w:p>
    <w:p>
      <w:r>
        <w:rPr>
          <w:b w:val="0"/>
          <w:sz w:val="20"/>
        </w:rPr>
        <w:t>| 15 | 73.61%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3%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[End Customer]</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Pr>
        <w:spacing w:before="200"/>
      </w:pPr>
      <w:r>
        <w:rPr>
          <w:b/>
          <w:color w:val="1A365D"/>
          <w:sz w:val="21"/>
        </w:rPr>
        <w:t>21.3A Assignment for Security</w:t>
      </w:r>
    </w:p>
    <w:p>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r>
        <w:rPr>
          <w:b w:val="0"/>
          <w:sz w:val="20"/>
        </w:rPr>
        <w:t>(b) Upon enforcement of such security, the Service Provider shall recognise the lender as the Client, provided payment obligations are assumed.</w:t>
      </w:r>
    </w:p>
    <w:p/>
    <w:p>
      <w:pPr>
        <w:spacing w:before="200"/>
      </w:pPr>
      <w:r>
        <w:rPr>
          <w:b/>
          <w:color w:val="1A365D"/>
          <w:sz w:val="21"/>
        </w:rPr>
        <w:t>COMPANION DOCUMENTS</w:t>
      </w:r>
    </w:p>
    <w:p>
      <w:r>
        <w:rPr>
          <w:b w:val="0"/>
          <w:sz w:val="20"/>
        </w:rPr>
        <w:t>This LTSA is a condition precedent to the EPC advance payment (EPC Annex V6 §1A.5(e)) and is intended to be executed alongside and read in conjunction with:</w:t>
      </w:r>
    </w:p>
    <w:p>
      <w:pPr>
        <w:ind w:left="567"/>
      </w:pPr>
      <w:r>
        <w:rPr>
          <w:sz w:val="20"/>
        </w:rPr>
        <w:t>(a) EPC Agreement (LCY-EPC-GAL-B1-2026 (v6.3, July 2026)) between the same Parties;</w:t>
      </w:r>
    </w:p>
    <w:p>
      <w:pPr>
        <w:ind w:left="567"/>
      </w:pPr>
      <w:r>
        <w:rPr>
          <w:sz w:val="20"/>
        </w:rPr>
        <w:t>(b) OEM Direct Warranty Undertaking (LCY-OEM-DWU-001 v1.0) from Linyang Energy.</w:t>
      </w:r>
    </w:p>
    <w:p>
      <w:r>
        <w:rPr>
          <w:b w:val="0"/>
          <w:sz w:val="20"/>
        </w:rPr>
        <w:t>This LTSA is not required to be signed on the same date as the EPC Agreement; it must, however, be executed and in force before the EPC advance payment falls due. For the complete companion-document suite (including the Advance Payment Guarantees, the OEM Performance Guarantee, the EMS Subscription Addendum and the Technical Agreements), see Section 2.4 below.</w:t>
      </w:r>
    </w:p>
    <w:p>
      <w:r>
        <w:br w:type="page"/>
      </w:r>
    </w:p>
    <w:p>
      <w:pPr>
        <w:jc w:val="center"/>
      </w:pPr>
      <w:r>
        <w:rPr>
          <w:rFonts w:ascii="Calibri" w:hAnsi="Calibri"/>
          <w:b/>
          <w:color w:val="1A365D"/>
          <w:sz w:val="26"/>
        </w:rPr>
        <w:t>ANNEX LT-2 — AGREED TECHNICAL &amp; SERVICE AMENDMENTS (v6.3, July 2026)</w:t>
      </w:r>
    </w:p>
    <w:p>
      <w:r>
        <w:rPr>
          <w:rFonts w:ascii="Calibri" w:hAnsi="Calibri"/>
          <w:i/>
          <w:color w:val="404040"/>
          <w:sz w:val="19"/>
        </w:rPr>
        <w:t>This Annex incorporates the technical and service clauses agreed on the client (Timotheos / technical review) redline of July 2026. It forms part of this LTSA. Where this Annex is inconsistent with the body, this Annex prevails. Defined terms have the meaning given in the body.</w:t>
      </w:r>
    </w:p>
    <w:p>
      <w:r>
        <w:rPr>
          <w:rFonts w:ascii="Calibri" w:hAnsi="Calibri"/>
          <w:b/>
          <w:i w:val="0"/>
          <w:color w:val="404040"/>
          <w:sz w:val="17"/>
        </w:rPr>
        <w:t xml:space="preserve">Colour key:  </w:t>
      </w:r>
      <w:r>
        <w:rPr>
          <w:rFonts w:ascii="Calibri" w:hAnsi="Calibri"/>
          <w:b w:val="0"/>
          <w:i w:val="0"/>
          <w:color w:val="C00000"/>
          <w:sz w:val="17"/>
        </w:rPr>
        <w:t xml:space="preserve">■ included as requested   </w:t>
      </w:r>
      <w:r>
        <w:rPr>
          <w:rFonts w:ascii="Calibri" w:hAnsi="Calibri"/>
          <w:b w:val="0"/>
          <w:i w:val="0"/>
          <w:color w:val="70209C"/>
          <w:sz w:val="17"/>
        </w:rPr>
        <w:t xml:space="preserve">■ included — our changes   </w:t>
      </w:r>
      <w:r>
        <w:rPr>
          <w:rFonts w:ascii="Calibri" w:hAnsi="Calibri"/>
          <w:b w:val="0"/>
          <w:i w:val="0"/>
          <w:color w:val="C06000"/>
          <w:sz w:val="17"/>
        </w:rPr>
        <w:t xml:space="preserve">■ included — our counter   </w:t>
      </w:r>
      <w:r>
        <w:rPr>
          <w:rFonts w:ascii="Calibri" w:hAnsi="Calibri"/>
          <w:b w:val="0"/>
          <w:i w:val="0"/>
          <w:color w:val="0F768A"/>
          <w:sz w:val="17"/>
        </w:rPr>
        <w:t xml:space="preserve">■ from Dino   </w:t>
      </w:r>
      <w:r>
        <w:rPr>
          <w:rFonts w:ascii="Calibri" w:hAnsi="Calibri"/>
          <w:b w:val="0"/>
          <w:i w:val="0"/>
          <w:color w:val="1F49C0"/>
          <w:sz w:val="17"/>
        </w:rPr>
        <w:t xml:space="preserve">■ from Anastasios   </w:t>
      </w:r>
      <w:r>
        <w:rPr>
          <w:rFonts w:ascii="Calibri" w:hAnsi="Calibri"/>
          <w:b w:val="0"/>
          <w:i w:val="0"/>
          <w:color w:val="1A365D"/>
          <w:sz w:val="17"/>
        </w:rPr>
        <w:t>■ base v6 amendment</w:t>
      </w:r>
    </w:p>
    <w:p>
      <w:pPr>
        <w:spacing w:before="120" w:after="40"/>
      </w:pPr>
      <w:r>
        <w:rPr>
          <w:rFonts w:ascii="Calibri" w:hAnsi="Calibri"/>
          <w:b/>
          <w:color w:val="70209C"/>
          <w:sz w:val="20"/>
        </w:rPr>
        <w:t xml:space="preserve">2.4  Integrated Project-Document suite.  </w:t>
      </w:r>
      <w:r>
        <w:rPr>
          <w:rFonts w:ascii="Calibri" w:hAnsi="Calibri"/>
          <w:color w:val="70209C"/>
          <w:sz w:val="20"/>
        </w:rPr>
        <w:t>This Agreement is part of a single integrated Project-Document suite comprising the EPC Agreement, the Technical Agreements, the OEM Direct Warranty Undertaking, the OEM Warranty Terms, the Advance Payment Guarantees, the OEM Performance Guarantee and the EMS Subscription Agreement, and shall be interpreted consistently with them so that there is no gap in responsibility for operation, maintenance, warranty preservation or performance.</w:t>
      </w:r>
    </w:p>
    <w:p>
      <w:pPr>
        <w:spacing w:before="120" w:after="40"/>
      </w:pPr>
      <w:r>
        <w:rPr>
          <w:rFonts w:ascii="Calibri" w:hAnsi="Calibri"/>
          <w:b/>
          <w:color w:val="70209C"/>
          <w:sz w:val="20"/>
        </w:rPr>
        <w:t xml:space="preserve">Definitions — Restoration and Resolution.  </w:t>
      </w:r>
      <w:r>
        <w:rPr>
          <w:rFonts w:ascii="Calibri" w:hAnsi="Calibri"/>
          <w:color w:val="70209C"/>
          <w:sz w:val="20"/>
        </w:rPr>
        <w:t>“Restoration Time” means the time from detection of a fault to restoration of safe operational capability (including safe partial operation where full operation is not immediately possible). “Resolution Time” means the time from detection to permanent repair/replacement, recommissioning and incident closure. “Repeated Service Failure” means three or more Critical breaches of the same or similar cause within a rolling twelve (12) months.</w:t>
      </w:r>
    </w:p>
    <w:p>
      <w:pPr>
        <w:spacing w:before="120" w:after="40"/>
      </w:pPr>
      <w:r>
        <w:rPr>
          <w:rFonts w:ascii="Calibri" w:hAnsi="Calibri"/>
          <w:b/>
          <w:color w:val="70209C"/>
          <w:sz w:val="20"/>
        </w:rPr>
        <w:t xml:space="preserve">4.1A  Selected Tier.  </w:t>
      </w:r>
      <w:r>
        <w:rPr>
          <w:rFonts w:ascii="Calibri" w:hAnsi="Calibri"/>
          <w:color w:val="70209C"/>
          <w:sz w:val="20"/>
        </w:rPr>
        <w:t>Unless the Client expressly selects otherwise in Schedule 2, the Project shall be treated as Tier C from PAC for both Galascope 1 and Galascope 2 (corrective maintenance, local spare parts, 97% availability guarantee, priority response, warranty-preservation services and annual performance testing).</w:t>
      </w:r>
    </w:p>
    <w:p>
      <w:pPr>
        <w:spacing w:before="120" w:after="40"/>
      </w:pPr>
      <w:r>
        <w:rPr>
          <w:rFonts w:ascii="Calibri" w:hAnsi="Calibri"/>
          <w:b/>
          <w:color w:val="70209C"/>
          <w:sz w:val="20"/>
        </w:rPr>
        <w:t xml:space="preserve">4.3A  Corrective Maintenance — scope.  </w:t>
      </w:r>
      <w:r>
        <w:rPr>
          <w:rFonts w:ascii="Calibri" w:hAnsi="Calibri"/>
          <w:color w:val="70209C"/>
          <w:sz w:val="20"/>
        </w:rPr>
        <w:t>Corrective Maintenance includes all diagnosis, labour, travel within Cyprus, removal, installation, recommissioning, configuration restoration, testing and incident documentation required to return the affected BESS, PCS, BMS, MV switchgear, SCADA gateway and related controls to service, except to the extent a cost is expressly excluded under Schedule 2.</w:t>
      </w:r>
    </w:p>
    <w:p>
      <w:pPr>
        <w:spacing w:before="120" w:after="40"/>
      </w:pPr>
      <w:r>
        <w:rPr>
          <w:rFonts w:ascii="Calibri" w:hAnsi="Calibri"/>
          <w:b/>
          <w:color w:val="70209C"/>
          <w:sz w:val="20"/>
        </w:rPr>
        <w:t xml:space="preserve">4.4A  Exclusions — causation and burden.  </w:t>
      </w:r>
      <w:r>
        <w:rPr>
          <w:rFonts w:ascii="Calibri" w:hAnsi="Calibri"/>
          <w:color w:val="70209C"/>
          <w:sz w:val="20"/>
        </w:rPr>
        <w:t>Exclusions apply only to the extent the excluded event directly caused the relevant loss, downtime or degradation. The Service Provider continues to provide monitoring, diagnosis, emergency response, safe isolation, mitigation, documentation and warranty-claim support notwithstanding any exclusion.</w:t>
      </w:r>
    </w:p>
    <w:p>
      <w:pPr>
        <w:spacing w:before="120" w:after="40"/>
      </w:pPr>
      <w:r>
        <w:rPr>
          <w:rFonts w:ascii="Calibri" w:hAnsi="Calibri"/>
          <w:b/>
          <w:color w:val="70209C"/>
          <w:sz w:val="20"/>
        </w:rPr>
        <w:t xml:space="preserve">5.2A  Minimum monitored parameters.  </w:t>
      </w:r>
      <w:r>
        <w:rPr>
          <w:rFonts w:ascii="Calibri" w:hAnsi="Calibri"/>
          <w:color w:val="70209C"/>
          <w:sz w:val="20"/>
        </w:rPr>
        <w:t>Monitoring shall include, at minimum, cell-level voltage and temperature, string/container SOC and SOH, current, power limits, alarm/fault codes, PCS status, transformer/MV status, HVAC/liquid-cooling status, fire-system and gas-detection status, emergency stop, auxiliary supply, communication status, EMS command execution and DSO/SCADA telemetry.</w:t>
      </w:r>
    </w:p>
    <w:p>
      <w:pPr>
        <w:spacing w:before="120" w:after="40"/>
      </w:pPr>
      <w:r>
        <w:rPr>
          <w:rFonts w:ascii="Calibri" w:hAnsi="Calibri"/>
          <w:b/>
          <w:color w:val="70209C"/>
          <w:sz w:val="20"/>
        </w:rPr>
        <w:t xml:space="preserve">5.6A  Reporting content.  </w:t>
      </w:r>
      <w:r>
        <w:rPr>
          <w:rFonts w:ascii="Calibri" w:hAnsi="Calibri"/>
          <w:color w:val="70209C"/>
          <w:sz w:val="20"/>
        </w:rPr>
        <w:t>Reports shall include raw-data extracts, incident log, downtime classification with excluded-hour justification, availability per Park and in aggregate, SOH trend, cell imbalance, thermal deviation, firmware/software version, open punch items, spare-parts usage, warranty notices, cyber/security events and recommendations. The Client may reasonably challenge a classification.</w:t>
      </w:r>
    </w:p>
    <w:p>
      <w:pPr>
        <w:spacing w:before="120" w:after="40"/>
      </w:pPr>
      <w:r>
        <w:rPr>
          <w:rFonts w:ascii="Calibri" w:hAnsi="Calibri"/>
          <w:b/>
          <w:color w:val="70209C"/>
          <w:sz w:val="20"/>
        </w:rPr>
        <w:t xml:space="preserve">5.8A  Client data ownership.  </w:t>
      </w:r>
      <w:r>
        <w:rPr>
          <w:rFonts w:ascii="Calibri" w:hAnsi="Calibri"/>
          <w:color w:val="70209C"/>
          <w:sz w:val="20"/>
        </w:rPr>
        <w:t>The Client owns all operational, technical, performance, market, dispatch, SCADA, BMS, PCS, SOH and availability data generated by or relating to the BESS. The Service Provider shall not use identifiable Client data for benchmarking, training, product development or third-party purposes without the Client's prior written consent.</w:t>
      </w:r>
    </w:p>
    <w:p>
      <w:pPr>
        <w:spacing w:before="120" w:after="40"/>
      </w:pPr>
      <w:r>
        <w:rPr>
          <w:rFonts w:ascii="Calibri" w:hAnsi="Calibri"/>
          <w:b/>
          <w:color w:val="70209C"/>
          <w:sz w:val="20"/>
        </w:rPr>
        <w:t xml:space="preserve">6.1A  Warranty preservation.  </w:t>
      </w:r>
      <w:r>
        <w:rPr>
          <w:rFonts w:ascii="Calibri" w:hAnsi="Calibri"/>
          <w:color w:val="70209C"/>
          <w:sz w:val="20"/>
        </w:rPr>
        <w:t>The Service Provider shall perform all maintenance required to preserve the OEM warranty, DWU, SOH guarantees, corrosion warranty, fire-system warranty, PCS/MV warranty and insurance cover, and shall be liable for loss of warranty, claim rejection, downtime or degradation caused by its failure to perform or document required maintenance.</w:t>
      </w:r>
    </w:p>
    <w:p>
      <w:pPr>
        <w:spacing w:before="120" w:after="40"/>
      </w:pPr>
      <w:r>
        <w:rPr>
          <w:rFonts w:ascii="Calibri" w:hAnsi="Calibri"/>
          <w:b/>
          <w:color w:val="70209C"/>
          <w:sz w:val="20"/>
        </w:rPr>
        <w:t xml:space="preserve">6.3A  Warranty-Preservation File.  </w:t>
      </w:r>
      <w:r>
        <w:rPr>
          <w:rFonts w:ascii="Calibri" w:hAnsi="Calibri"/>
          <w:color w:val="70209C"/>
          <w:sz w:val="20"/>
        </w:rPr>
        <w:t>The Service Provider shall maintain a warranty-preservation file per Park, including maintenance checklists, photographs, torque records, thermal images, grounding/insulation results, firmware records, alarm/SOC logs, environmental records, fire-system tests, spare-part records and OEM communications, in a format acceptable to the OEM (Linyang).</w:t>
      </w:r>
    </w:p>
    <w:p>
      <w:pPr>
        <w:spacing w:before="120" w:after="40"/>
      </w:pPr>
      <w:r>
        <w:rPr>
          <w:rFonts w:ascii="Calibri" w:hAnsi="Calibri"/>
          <w:b/>
          <w:color w:val="70209C"/>
          <w:sz w:val="20"/>
        </w:rPr>
        <w:t xml:space="preserve">7.4A  No additional charge for warranty-preserving services.  </w:t>
      </w:r>
      <w:r>
        <w:rPr>
          <w:rFonts w:ascii="Calibri" w:hAnsi="Calibri"/>
          <w:color w:val="70209C"/>
          <w:sz w:val="20"/>
        </w:rPr>
        <w:t>No additional charge shall apply for services reasonably required to comply with the OEM manuals, preserve warranties, perform corrective maintenance within the selected Tier, prepare warranty claims, comply with agreed regulatory testing, deliver standard data exports, or remedy a Service Provider breach.</w:t>
      </w:r>
    </w:p>
    <w:p>
      <w:pPr>
        <w:spacing w:before="120" w:after="40"/>
      </w:pPr>
      <w:r>
        <w:rPr>
          <w:rFonts w:ascii="Calibri" w:hAnsi="Calibri"/>
          <w:b/>
          <w:color w:val="70209C"/>
          <w:sz w:val="20"/>
        </w:rPr>
        <w:t xml:space="preserve">8.1A  Redundant monitoring.  </w:t>
      </w:r>
      <w:r>
        <w:rPr>
          <w:rFonts w:ascii="Calibri" w:hAnsi="Calibri"/>
          <w:color w:val="70209C"/>
          <w:sz w:val="20"/>
        </w:rPr>
        <w:t>The Service Provider shall maintain redundant monitoring, alerting and communication channels, with automatic alerts to the Client for low SOC, low cell voltage, high temperature, HVAC/liquid-cooling fault, fire/gas alarm, PCS trip, communication loss and any condition that could void warranty. Failure of the monitoring platform shall itself be treated as a Major Alert (or Critical Alert where safety-related).</w:t>
      </w:r>
    </w:p>
    <w:p>
      <w:pPr>
        <w:spacing w:before="120" w:after="40"/>
      </w:pPr>
      <w:r>
        <w:rPr>
          <w:rFonts w:ascii="Calibri" w:hAnsi="Calibri"/>
          <w:b/>
          <w:color w:val="C06000"/>
          <w:sz w:val="20"/>
        </w:rPr>
        <w:t xml:space="preserve">8.2A  Maximum Restoration and Resolution Times.  </w:t>
      </w:r>
      <w:r>
        <w:rPr>
          <w:rFonts w:ascii="Calibri" w:hAnsi="Calibri"/>
          <w:color w:val="C06000"/>
          <w:sz w:val="20"/>
        </w:rPr>
        <w:t>Critical Alerts: safe remote isolation immediately where required; restoration plan within four (4) hours; safe partial or full restoration within twenty-four (24) hours where technically possible; permanent resolution within five (5) Business Days unless OEM parts are required. Major Alerts: restoration plan within one (1) Business Day; restoration within five (5) Business Days; permanent resolution within fifteen (15) Business Days. Minor Alerts: resolution at the next maintenance visit or within thirty (30) days, whichever is earlier. Any deviation requires a written remediation plan accepted by the Client, such acceptance not to be unreasonably withheld or delayed. These times are service targets and are subject to OEM part lead-times, Force Majeure and Client/site-access delays (which stop the clock); any service credit under Section 8.5 for a breach of these targets is not additional to the Availability Liquidated Damages for the same downtime.</w:t>
      </w:r>
    </w:p>
    <w:p>
      <w:pPr>
        <w:spacing w:before="120" w:after="40"/>
      </w:pPr>
      <w:r>
        <w:rPr>
          <w:rFonts w:ascii="Calibri" w:hAnsi="Calibri"/>
          <w:b/>
          <w:color w:val="70209C"/>
          <w:sz w:val="20"/>
        </w:rPr>
        <w:t xml:space="preserve">8.6A  Major Incident Procedure.  </w:t>
      </w:r>
      <w:r>
        <w:rPr>
          <w:rFonts w:ascii="Calibri" w:hAnsi="Calibri"/>
          <w:color w:val="70209C"/>
          <w:sz w:val="20"/>
        </w:rPr>
        <w:t>For any fire, thermal event, repeated trip, forced outage exceeding twenty-four (24) hours, cyber incident, grid-code breach, warranty-threatening event, or unavailable capacity exceeding 10% of a Park, the Service Provider shall notify the Client immediately, issue an initial incident report within twenty-four (24) hours and a root-cause analysis thereafter, and keep the Client updated until closure.</w:t>
      </w:r>
    </w:p>
    <w:p>
      <w:pPr>
        <w:spacing w:before="120" w:after="40"/>
      </w:pPr>
      <w:r>
        <w:rPr>
          <w:rFonts w:ascii="Calibri" w:hAnsi="Calibri"/>
          <w:b/>
          <w:color w:val="70209C"/>
          <w:sz w:val="20"/>
        </w:rPr>
        <w:t xml:space="preserve">8.7A  Safety-critical 24/7 response.  </w:t>
      </w:r>
      <w:r>
        <w:rPr>
          <w:rFonts w:ascii="Calibri" w:hAnsi="Calibri"/>
          <w:color w:val="70209C"/>
          <w:sz w:val="20"/>
        </w:rPr>
        <w:t>Critical Alerts, safety incidents, fire-system alarms, warranty-voiding SOC/voltage alerts, cyber incidents and complete Park outages require 24/7/365 operational response. On-site attendance for safety-critical events shall not be limited to Business Days where local personnel or emergency-contractor attendance is reasonably available.</w:t>
      </w:r>
    </w:p>
    <w:p>
      <w:pPr>
        <w:spacing w:before="120" w:after="40"/>
      </w:pPr>
      <w:r>
        <w:rPr>
          <w:rFonts w:ascii="Calibri" w:hAnsi="Calibri"/>
          <w:b/>
          <w:color w:val="70209C"/>
          <w:sz w:val="20"/>
        </w:rPr>
        <w:t xml:space="preserve">9.8  Chronic underperformance.  </w:t>
      </w:r>
      <w:r>
        <w:rPr>
          <w:rFonts w:ascii="Calibri" w:hAnsi="Calibri"/>
          <w:color w:val="70209C"/>
          <w:sz w:val="20"/>
        </w:rPr>
        <w:t>If Availability for any Park is below 95% in any contract year, or below 97% for two consecutive years, or there are three or more Critical Alert SLA breaches in a rolling twelve (12) months, the Client may require a remediation plan, an independent technical audit at the Service Provider's cost and additional spare stock.</w:t>
      </w:r>
    </w:p>
    <w:p>
      <w:pPr>
        <w:spacing w:before="120" w:after="40"/>
      </w:pPr>
      <w:r>
        <w:rPr>
          <w:rFonts w:ascii="Calibri" w:hAnsi="Calibri"/>
          <w:b/>
          <w:color w:val="70209C"/>
          <w:sz w:val="20"/>
        </w:rPr>
        <w:t xml:space="preserve">10.3A  Witnessed SOH/RTE testing.  </w:t>
      </w:r>
      <w:r>
        <w:rPr>
          <w:rFonts w:ascii="Calibri" w:hAnsi="Calibri"/>
          <w:color w:val="70209C"/>
          <w:sz w:val="20"/>
        </w:rPr>
        <w:t>SOH, usable AC capacity and RTE testing shall be performed under a pre-agreed protocol consistent with the EPC, Technical Agreements and OEM Warranty Terms. The Client and lender's Independent Engineer may witness testing. If an additional test requested by the Client confirms underperformance or a warranty issue, the Service Provider shall bear the test cost.</w:t>
      </w:r>
    </w:p>
    <w:p>
      <w:pPr>
        <w:spacing w:before="120" w:after="40"/>
      </w:pPr>
      <w:r>
        <w:rPr>
          <w:rFonts w:ascii="Calibri" w:hAnsi="Calibri"/>
          <w:b/>
          <w:color w:val="C06000"/>
          <w:sz w:val="20"/>
        </w:rPr>
        <w:t xml:space="preserve">10.4A  SOH remedy — scope.  </w:t>
      </w:r>
      <w:r>
        <w:rPr>
          <w:rFonts w:ascii="Calibri" w:hAnsi="Calibri"/>
          <w:color w:val="C06000"/>
          <w:sz w:val="20"/>
        </w:rPr>
        <w:t>Remedies for SOH underperformance shall restore the Client to the guaranteed position and shall include parts, labour, installation, recommissioning, testing, documentation and data updates. Shipping, customs and craneage attributable to an OEM warranty return shall be OEM-funded; the Service Provider shall manage and evidence the OEM claim. This does not apply to the extent a Client-caused exclusion directly caused the underperformance.</w:t>
      </w:r>
    </w:p>
    <w:p>
      <w:pPr>
        <w:spacing w:before="120" w:after="40"/>
      </w:pPr>
      <w:r>
        <w:rPr>
          <w:rFonts w:ascii="Calibri" w:hAnsi="Calibri"/>
          <w:b/>
          <w:color w:val="70209C"/>
          <w:sz w:val="20"/>
        </w:rPr>
        <w:t xml:space="preserve">10.6A  OEM reserve evidence.  </w:t>
      </w:r>
      <w:r>
        <w:rPr>
          <w:rFonts w:ascii="Calibri" w:hAnsi="Calibri"/>
          <w:color w:val="70209C"/>
          <w:sz w:val="20"/>
        </w:rPr>
        <w:t>The Service Provider shall provide annual evidence that the OEM warranty reserve, extended warranty, spare-part access and OEM support arrangements remain valid for the Project, and shall notify the Client within five (5) Business Days of any OEM dispute, insolvency risk, supply restriction, product recall, safety notice or firmware issue affecting the Project.</w:t>
      </w:r>
    </w:p>
    <w:p>
      <w:pPr>
        <w:spacing w:before="120" w:after="40"/>
      </w:pPr>
      <w:r>
        <w:rPr>
          <w:rFonts w:ascii="Calibri" w:hAnsi="Calibri"/>
          <w:b/>
          <w:color w:val="70209C"/>
          <w:sz w:val="20"/>
        </w:rPr>
        <w:t xml:space="preserve">11.3A  Local spare-parts warehouse.  </w:t>
      </w:r>
      <w:r>
        <w:rPr>
          <w:rFonts w:ascii="Calibri" w:hAnsi="Calibri"/>
          <w:color w:val="70209C"/>
          <w:sz w:val="20"/>
        </w:rPr>
        <w:t>A local spare-parts warehouse shall be operational no later than PAC, holding an agreed minimum stock of critical sub-components (control boards, sensors, fans, fuses, contactors) with part numbers, compatibility references, storage conditions and replenishment deadlines. Failure to maintain the agreed stock is a Service Provider default and related downtime counts as Unavailable. Stocking of full PCS units and transformers is subject to further agreement; in the interim these are supported by a four (4) week OEM supply commitment.</w:t>
      </w:r>
    </w:p>
    <w:p>
      <w:pPr>
        <w:spacing w:before="120" w:after="40"/>
      </w:pPr>
      <w:r>
        <w:rPr>
          <w:rFonts w:ascii="Calibri" w:hAnsi="Calibri"/>
          <w:b/>
          <w:color w:val="70209C"/>
          <w:sz w:val="20"/>
        </w:rPr>
        <w:t xml:space="preserve">11.6  Obsolescence and equivalent replacement.  </w:t>
      </w:r>
      <w:r>
        <w:rPr>
          <w:rFonts w:ascii="Calibri" w:hAnsi="Calibri"/>
          <w:color w:val="70209C"/>
          <w:sz w:val="20"/>
        </w:rPr>
        <w:t>The Service Provider shall use commercially reasonable efforts to support the availability of compatible spare parts, firmware and replacement components for at least fifteen (15) years. If an original component is obsolete, it shall provide an equivalent or better compatible replacement without loss of warranty, certification or grid-code compliance.</w:t>
      </w:r>
    </w:p>
    <w:p>
      <w:pPr>
        <w:spacing w:before="120" w:after="40"/>
      </w:pPr>
      <w:r>
        <w:rPr>
          <w:rFonts w:ascii="Calibri" w:hAnsi="Calibri"/>
          <w:b/>
          <w:color w:val="70209C"/>
          <w:sz w:val="20"/>
        </w:rPr>
        <w:t xml:space="preserve">12.5A / 12.7A  Client obligations and suspension — causation.  </w:t>
      </w:r>
      <w:r>
        <w:rPr>
          <w:rFonts w:ascii="Calibri" w:hAnsi="Calibri"/>
          <w:color w:val="70209C"/>
          <w:sz w:val="20"/>
        </w:rPr>
        <w:t>The Client's operational obligations shall not be treated as breached where the relevant condition was caused by EMS/BMS/PCS malfunction, Service Provider monitoring failure, Force Majeure, or the Service Provider's failure to provide timely alerts or operating instructions. Suspension of the Availability, SOH or warranty-related guarantees applies only to the extent a Client breach directly caused the non-performance, and only after written notice, a reasonable cure opportunity and Service Provider mitigation. Non-payment of genuinely disputed amounts shall not suspend safety monitoring, warranty-preservation alerts or data access.</w:t>
      </w:r>
    </w:p>
    <w:p>
      <w:pPr>
        <w:spacing w:before="120" w:after="40"/>
      </w:pPr>
      <w:r>
        <w:rPr>
          <w:rFonts w:ascii="Calibri" w:hAnsi="Calibri"/>
          <w:b/>
          <w:color w:val="70209C"/>
          <w:sz w:val="20"/>
        </w:rPr>
        <w:t xml:space="preserve">13.6  Transition assistance.  </w:t>
      </w:r>
      <w:r>
        <w:rPr>
          <w:rFonts w:ascii="Calibri" w:hAnsi="Calibri"/>
          <w:color w:val="70209C"/>
          <w:sz w:val="20"/>
        </w:rPr>
        <w:t>On expiry or termination the Service Provider shall provide up to ninety (90) days of transition assistance at agreed rates, including data export, passwords and access credentials, configuration files, register maps, firmware records, maintenance records, open-incident files, spare-parts list and warranty-claim files.</w:t>
      </w:r>
    </w:p>
    <w:p>
      <w:pPr>
        <w:spacing w:before="120" w:after="40"/>
      </w:pPr>
      <w:r>
        <w:rPr>
          <w:rFonts w:ascii="Calibri" w:hAnsi="Calibri"/>
          <w:b/>
          <w:color w:val="70209C"/>
          <w:sz w:val="20"/>
        </w:rPr>
        <w:t xml:space="preserve">14.3A / 14.4A  Additional liability carve-outs.  </w:t>
      </w:r>
      <w:r>
        <w:rPr>
          <w:rFonts w:ascii="Calibri" w:hAnsi="Calibri"/>
          <w:color w:val="70209C"/>
          <w:sz w:val="20"/>
        </w:rPr>
        <w:t>The liability limitations shall not apply to: cyber-security breach or unauthorised remote access caused by Service Provider systems; loss, corruption or withholding of Client data; regulatory or grid-code non-compliance within Service Provider scope; or safety incidents caused or worsened by Service Provider breach. Third-party-system exclusions shall not apply where the Service Provider selected, configured, integrated, maintained, monitored or recommended the relevant system, or where the fault arises at an interface for which the Service Provider or its affiliates are responsible.</w:t>
      </w:r>
    </w:p>
    <w:p>
      <w:pPr>
        <w:spacing w:before="120" w:after="40"/>
      </w:pPr>
      <w:r>
        <w:rPr>
          <w:rFonts w:ascii="Calibri" w:hAnsi="Calibri"/>
          <w:b/>
          <w:color w:val="70209C"/>
          <w:sz w:val="20"/>
        </w:rPr>
        <w:t xml:space="preserve">14.5A  OEM claim management.  </w:t>
      </w:r>
      <w:r>
        <w:rPr>
          <w:rFonts w:ascii="Calibri" w:hAnsi="Calibri"/>
          <w:color w:val="70209C"/>
          <w:sz w:val="20"/>
        </w:rPr>
        <w:t>For claims relating to OEM equipment defects the Service Provider shall actively manage, prosecute and evidence the claim with the OEM, and remains liable for loss caused by its failure to preserve warranty rights, perform maintenance, maintain records/spares, mitigate downtime, implement temporary solutions or comply with its service obligations.</w:t>
      </w:r>
    </w:p>
    <w:p>
      <w:pPr>
        <w:spacing w:before="120" w:after="40"/>
      </w:pPr>
      <w:r>
        <w:rPr>
          <w:rFonts w:ascii="Calibri" w:hAnsi="Calibri"/>
          <w:b/>
          <w:color w:val="70209C"/>
          <w:sz w:val="20"/>
        </w:rPr>
        <w:t xml:space="preserve">16.4  Force Majeure — limitations.  </w:t>
      </w:r>
      <w:r>
        <w:rPr>
          <w:rFonts w:ascii="Calibri" w:hAnsi="Calibri"/>
          <w:color w:val="70209C"/>
          <w:sz w:val="20"/>
        </w:rPr>
        <w:t>Force Majeure shall not excuse obligations to maintain monitoring where technically possible, provide data, issue alerts, preserve warranty rights, mitigate downtime, maintain insurance, protect cyber-security, deliver records, or perform obligations capable of being performed remotely.</w:t>
      </w:r>
    </w:p>
    <w:p>
      <w:pPr>
        <w:spacing w:before="120" w:after="40"/>
      </w:pPr>
      <w:r>
        <w:rPr>
          <w:rFonts w:ascii="Calibri" w:hAnsi="Calibri"/>
          <w:b/>
          <w:color w:val="70209C"/>
          <w:sz w:val="20"/>
        </w:rPr>
        <w:t xml:space="preserve">18A  Cyber security (framework).  </w:t>
      </w:r>
      <w:r>
        <w:rPr>
          <w:rFonts w:ascii="Calibri" w:hAnsi="Calibri"/>
          <w:color w:val="70209C"/>
          <w:sz w:val="20"/>
        </w:rPr>
        <w:t>The Service Provider shall implement and maintain cyber-security controls for the industrial control systems consistent with recognised good practice (IEC 62443 principles), including multi-factor authentication, role-based access control, secure remote access, encryption in transit and at rest, audit logs, least-privilege accounts, vulnerability management, firmware-integrity controls and annual access review. The specific control set and any formal IEC 62443 / NIS2 certification shall be confirmed with the ICS/EMS provider (DISPERON).</w:t>
      </w:r>
    </w:p>
    <w:p>
      <w:pPr>
        <w:spacing w:before="120" w:after="40"/>
      </w:pPr>
      <w:r>
        <w:rPr>
          <w:rFonts w:ascii="Calibri" w:hAnsi="Calibri"/>
          <w:b/>
          <w:color w:val="70209C"/>
          <w:sz w:val="20"/>
        </w:rPr>
        <w:t xml:space="preserve">19.5A  SCADA/DSO communication failures.  </w:t>
      </w:r>
      <w:r>
        <w:rPr>
          <w:rFonts w:ascii="Calibri" w:hAnsi="Calibri"/>
          <w:color w:val="70209C"/>
          <w:sz w:val="20"/>
        </w:rPr>
        <w:t>SCADA/DSO communication failures attributable to the Service Provider, EMS/SCADA configuration, protocol mapping, firmware changes, communication gateway, maintenance activity or cyber-security controls shall count as Unavailable Hours where they prevent dispatch, monitoring, regulatory reporting or DSO-approved operation.</w:t>
      </w:r>
    </w:p>
    <w:p>
      <w:pPr>
        <w:spacing w:before="120" w:after="40"/>
      </w:pPr>
      <w:r>
        <w:rPr>
          <w:rFonts w:ascii="Calibri" w:hAnsi="Calibri"/>
          <w:b/>
          <w:color w:val="70209C"/>
          <w:sz w:val="20"/>
        </w:rPr>
        <w:t xml:space="preserve">19.8A  Editable documentation.  </w:t>
      </w:r>
      <w:r>
        <w:rPr>
          <w:rFonts w:ascii="Calibri" w:hAnsi="Calibri"/>
          <w:color w:val="70209C"/>
          <w:sz w:val="20"/>
        </w:rPr>
        <w:t>Documentation shall be provided in editable electronic format where reasonably available, including native settings/configuration files, relay settings, SCADA point lists, Modbus/IEC 61850/IEC 60870-5-104 maps, firmware versions, access-control handover records, maintenance photographs and independent test certificates.</w:t>
      </w:r>
    </w:p>
    <w:p>
      <w:pPr>
        <w:spacing w:before="120" w:after="40"/>
      </w:pPr>
      <w:r>
        <w:rPr>
          <w:rFonts w:ascii="Calibri" w:hAnsi="Calibri"/>
          <w:b/>
          <w:color w:val="70209C"/>
          <w:sz w:val="20"/>
        </w:rPr>
        <w:t xml:space="preserve">20.5  Expert determination.  </w:t>
      </w:r>
      <w:r>
        <w:rPr>
          <w:rFonts w:ascii="Calibri" w:hAnsi="Calibri"/>
          <w:color w:val="70209C"/>
          <w:sz w:val="20"/>
        </w:rPr>
        <w:t>Technical disputes concerning Availability, SOH, RTE, capacity, root cause, warranty attribution, excluded hours or service failure may be referred by either Party to an independent technical expert agreed by the Parties or appointed by the President of ETEK. The expert's determination shall be binding absent manifest error.</w:t>
      </w:r>
    </w:p>
    <w:p>
      <w:pPr>
        <w:spacing w:before="120" w:after="40"/>
      </w:pPr>
      <w:r>
        <w:rPr>
          <w:rFonts w:ascii="Calibri" w:hAnsi="Calibri"/>
          <w:b/>
          <w:color w:val="70209C"/>
          <w:sz w:val="20"/>
        </w:rPr>
        <w:t xml:space="preserve">21.3B  Lender step-in.  </w:t>
      </w:r>
      <w:r>
        <w:rPr>
          <w:rFonts w:ascii="Calibri" w:hAnsi="Calibri"/>
          <w:color w:val="70209C"/>
          <w:sz w:val="20"/>
        </w:rPr>
        <w:t>Any project-finance lender or security agent may step in, receive notices, cure Client defaults, assume payment obligations, enforce this Agreement, direct payment of proceeds and require continued performance for a reasonable cure period following an enforcement event. The Service Provider shall, acting reasonably, enter into a direct agreement with the lender/security agent.</w:t>
      </w:r>
    </w:p>
    <w:p>
      <w:pPr>
        <w:spacing w:before="120" w:after="40"/>
      </w:pPr>
      <w:r>
        <w:rPr>
          <w:rFonts w:ascii="Calibri" w:hAnsi="Calibri"/>
          <w:b/>
          <w:color w:val="70209C"/>
          <w:sz w:val="20"/>
        </w:rPr>
        <w:t xml:space="preserve">Assignment — Client financing.  </w:t>
      </w:r>
      <w:r>
        <w:rPr>
          <w:rFonts w:ascii="Calibri" w:hAnsi="Calibri"/>
          <w:color w:val="70209C"/>
          <w:sz w:val="20"/>
        </w:rPr>
        <w:t>The Client may assign or charge its rights under this Agreement and any proceeds to any project-finance lender, security agent, refinancing lender, purchaser of the Project or successor owner without the Service Provider's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