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1A365D"/>
          <w:sz w:val="26"/>
        </w:rPr>
        <w:t>ADVANCE PAYMENT GUARANTEE — REDLINE OF BANK OF COMMUNICATIONS DRAFT</w:t>
      </w:r>
    </w:p>
    <w:p>
      <w:pPr>
        <w:jc w:val="center"/>
      </w:pPr>
      <w:r>
        <w:rPr>
          <w:rFonts w:ascii="Calibri" w:hAnsi="Calibri"/>
          <w:b w:val="0"/>
          <w:i/>
          <w:color w:val="404040"/>
          <w:sz w:val="18"/>
        </w:rPr>
        <w:t>Markup applied to the draft received from Bank of Communications Co., Ltd. (Jiangsu Provincial Branch) — required amendments before this instrument is acceptable to Galascope Ltd.</w:t>
      </w:r>
    </w:p>
    <w:p/>
    <w:p>
      <w:r>
        <w:rPr>
          <w:rFonts w:ascii="Calibri" w:hAnsi="Calibri"/>
          <w:b/>
          <w:i w:val="0"/>
          <w:color w:val="404040"/>
          <w:sz w:val="19"/>
        </w:rPr>
        <w:t xml:space="preserve">Legend:  </w:t>
      </w:r>
      <w:r>
        <w:rPr>
          <w:rFonts w:ascii="Calibri" w:hAnsi="Calibri"/>
          <w:b w:val="0"/>
          <w:i w:val="0"/>
          <w:strike/>
          <w:color w:val="C00000"/>
          <w:sz w:val="19"/>
        </w:rPr>
        <w:t>strikethrough red = delete</w:t>
      </w:r>
      <w:r>
        <w:rPr>
          <w:rFonts w:ascii="Calibri" w:hAnsi="Calibri"/>
          <w:b w:val="0"/>
          <w:i w:val="0"/>
          <w:sz w:val="19"/>
        </w:rPr>
        <w:t xml:space="preserve">   </w:t>
      </w:r>
      <w:r>
        <w:rPr>
          <w:rFonts w:ascii="Calibri" w:hAnsi="Calibri"/>
          <w:b w:val="0"/>
          <w:i w:val="0"/>
          <w:color w:val="1F49C0"/>
          <w:sz w:val="19"/>
          <w:u w:val="single"/>
        </w:rPr>
        <w:t>underline blue = insert</w:t>
      </w:r>
    </w:p>
    <w:p/>
    <w:p>
      <w:r>
        <w:rPr>
          <w:rFonts w:ascii="Calibri" w:hAnsi="Calibri"/>
          <w:b w:val="0"/>
          <w:i/>
          <w:color w:val="404040"/>
          <w:sz w:val="18"/>
        </w:rPr>
        <w:t>Note: the Applicant remains Jiangsu Linyang Energy Storage Technology Co., Ltd. — this is Bank of Communications' own customer, not Lighthief Cyprus Ltd or Galascope. Only the beneficiary, the amount, and the supporting-contract references change.</w:t>
      </w:r>
    </w:p>
    <w:p/>
    <w:p>
      <w:r>
        <w:rPr>
          <w:rFonts w:ascii="Calibri" w:hAnsi="Calibri"/>
          <w:b/>
          <w:i w:val="0"/>
          <w:sz w:val="21"/>
        </w:rPr>
        <w:t>Advance Payment Guarantee</w:t>
      </w:r>
    </w:p>
    <w:p>
      <w:r>
        <w:rPr>
          <w:rFonts w:ascii="Calibri" w:hAnsi="Calibri"/>
          <w:b w:val="0"/>
          <w:i w:val="0"/>
          <w:sz w:val="21"/>
        </w:rPr>
        <w:t>From: Bank of Communications Co., Ltd. Jiangsu Provincial Branch</w:t>
      </w:r>
    </w:p>
    <w:p>
      <w:r>
        <w:rPr>
          <w:rFonts w:ascii="Calibri" w:hAnsi="Calibri"/>
          <w:b w:val="0"/>
          <w:i w:val="0"/>
          <w:sz w:val="21"/>
        </w:rPr>
        <w:t>11 Floor, No.218 Lushan Road, Jianye district, Nanjing, Jiangsu, China</w:t>
      </w:r>
    </w:p>
    <w:p>
      <w:r>
        <w:rPr>
          <w:rFonts w:ascii="Calibri" w:hAnsi="Calibri"/>
          <w:b w:val="0"/>
          <w:i w:val="0"/>
          <w:color w:val="1F49C0"/>
          <w:sz w:val="21"/>
          <w:u w:val="single"/>
        </w:rPr>
        <w:t>Advised through: Alpha Bank Cyprus Ltd (EU advising/confirming bank)</w:t>
      </w:r>
    </w:p>
    <w:p>
      <w:r>
        <w:rPr>
          <w:rFonts w:ascii="Calibri" w:hAnsi="Calibri"/>
          <w:b w:val="0"/>
          <w:i w:val="0"/>
          <w:sz w:val="21"/>
        </w:rPr>
        <w:t xml:space="preserve">To: </w:t>
      </w:r>
      <w:r>
        <w:rPr>
          <w:rFonts w:ascii="Calibri" w:hAnsi="Calibri"/>
          <w:b w:val="0"/>
          <w:i w:val="0"/>
          <w:strike/>
          <w:color w:val="C00000"/>
          <w:sz w:val="21"/>
        </w:rPr>
        <w:t>SUNCATCHER Engineering GmbH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Galascope Ltd (HE 303759), Karaiskaki 6, City House, 3032 Limassol, Cyprus (registered office), and/or Alpha Bank Cyprus Ltd as its project-finance security agent (the “Beneficiary”)</w:t>
      </w:r>
    </w:p>
    <w:p>
      <w:r>
        <w:rPr>
          <w:rFonts w:ascii="Calibri" w:hAnsi="Calibri"/>
          <w:b w:val="0"/>
          <w:i w:val="0"/>
          <w:sz w:val="21"/>
        </w:rPr>
        <w:t>Issuing Date:【　】      Advised through:【　】</w:t>
      </w:r>
    </w:p>
    <w:p>
      <w:r>
        <w:rPr>
          <w:rFonts w:ascii="Calibri" w:hAnsi="Calibri"/>
          <w:b w:val="0"/>
          <w:i w:val="0"/>
          <w:sz w:val="21"/>
        </w:rPr>
        <w:t>Our irrevocable Letter of Guarantee No.【　】.</w:t>
      </w:r>
    </w:p>
    <w:p>
      <w:r>
        <w:rPr>
          <w:rFonts w:ascii="Calibri" w:hAnsi="Calibri"/>
          <w:b w:val="0"/>
          <w:i w:val="0"/>
          <w:sz w:val="21"/>
        </w:rPr>
        <w:t>Whereas you signed the contract No. [           ] ( hereinafter called the Contract) with Jiangsu Linyang Energy Storage Technology Co.,Ltd.  16-18 floor, Building 1, No.68 Olympic Sports Street, Jianye District, Nanjing, Jiangsu, China. (hereinafter referred as the Applicant)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 xml:space="preserve"> This Contract is the Applicant's OEM Sales Contract for equipment supplied in connection with EPC Agreement No. LCY-EPC-GAL-B1-2026 dated [●] 2026 between Lighthief Cyprus Ltd (HE 477423, the EPC contractor and the Applicant's direct customer) and the Beneficiary, for the supply, delivery and installation of a Battery Energy Storage System for Galascope 1 Photovoltaic Park (5 MW / 20.06 MWh) and Galascope 2 Photovoltaic Park (2.5 MW / 10.03 MWh), Famagusta, Cyprus (the “Project”)</w:t>
      </w:r>
      <w:r>
        <w:rPr>
          <w:rFonts w:ascii="Calibri" w:hAnsi="Calibri"/>
          <w:b w:val="0"/>
          <w:i w:val="0"/>
          <w:sz w:val="21"/>
        </w:rPr>
        <w:t xml:space="preserve">, and at the request of the Applicant, We, Bank of Communications Co., Ltd. Jiangsu Provincial Branch, hereby issue this independent L/G in your favor for the maximum amount of EUR </w:t>
      </w:r>
      <w:r>
        <w:rPr>
          <w:rFonts w:ascii="Calibri" w:hAnsi="Calibri"/>
          <w:b w:val="0"/>
          <w:i w:val="0"/>
          <w:strike/>
          <w:color w:val="C00000"/>
          <w:sz w:val="21"/>
        </w:rPr>
        <w:t xml:space="preserve">         (say           only )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705,792.36 (say Euro Seven Hundred Five Thousand Seven Hundred Ninety-Two and 36 cents only)</w:t>
      </w:r>
      <w:r>
        <w:rPr>
          <w:rFonts w:ascii="Calibri" w:hAnsi="Calibri"/>
          <w:b w:val="0"/>
          <w:i w:val="0"/>
          <w:sz w:val="21"/>
        </w:rPr>
        <w:t>(hereinafter referred to as the Guaranteed Amount).</w:t>
      </w:r>
    </w:p>
    <w:p>
      <w:r>
        <w:rPr>
          <w:rFonts w:ascii="Calibri" w:hAnsi="Calibri"/>
          <w:b w:val="0"/>
          <w:i w:val="0"/>
          <w:sz w:val="21"/>
        </w:rPr>
        <w:t xml:space="preserve">We hereby irrevocably undertake to pay you the amount specified in your demand upon receipt of your complying written demand stating </w:t>
      </w:r>
      <w:r>
        <w:rPr>
          <w:rFonts w:ascii="Calibri" w:hAnsi="Calibri"/>
          <w:b w:val="0"/>
          <w:i w:val="0"/>
          <w:strike/>
          <w:color w:val="C00000"/>
          <w:sz w:val="21"/>
        </w:rPr>
        <w:t>the effect and the aspect of the Applicant’s default in fulfillment of any of his obligation for which the advance payment is made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that the Applicant has failed to perform its obligations under the Contract in respect of which the advance payment was made and/or that the advance payment has not been refunded when due</w:t>
      </w:r>
      <w:r>
        <w:rPr>
          <w:rFonts w:ascii="Calibri" w:hAnsi="Calibri"/>
          <w:b w:val="0"/>
          <w:i w:val="0"/>
          <w:sz w:val="21"/>
        </w:rPr>
        <w:t xml:space="preserve">, provided that the aggregate amount claimed does not exceed the Guaranteed Amount. 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We shall pay the demanded amount within five (5) Business Days of receipt of a complying written demand, without set-off or deduction and without requiring prior recourse to the Applicant.</w:t>
      </w:r>
    </w:p>
    <w:p>
      <w:r>
        <w:rPr>
          <w:rFonts w:ascii="Calibri" w:hAnsi="Calibri"/>
          <w:b w:val="0"/>
          <w:i w:val="0"/>
          <w:color w:val="1F49C0"/>
          <w:sz w:val="21"/>
          <w:u w:val="single"/>
        </w:rPr>
        <w:t>Our liability hereunder reduces by each amount paid under this guarantee. The Guaranteed Amount shall not be reduced merely on presentation of shipping documents or a bill of lading.</w:t>
      </w:r>
    </w:p>
    <w:p>
      <w:r>
        <w:rPr>
          <w:rFonts w:ascii="Calibri" w:hAnsi="Calibri"/>
          <w:b w:val="0"/>
          <w:i w:val="0"/>
          <w:strike/>
          <w:color w:val="C00000"/>
          <w:sz w:val="21"/>
        </w:rPr>
        <w:t>This L/G shall not be transferred or assigned without our prior written consent.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The Beneficiary may assign this guarantee or its proceeds to a project-finance lender or security agent without the Bank’s further consent.</w:t>
      </w:r>
    </w:p>
    <w:p>
      <w:r>
        <w:rPr>
          <w:rFonts w:ascii="Calibri" w:hAnsi="Calibri"/>
          <w:b w:val="0"/>
          <w:i w:val="0"/>
          <w:sz w:val="21"/>
        </w:rPr>
        <w:t>This L/G shall come into force from our receipt of the statement by the Applicant stating that it receives the advance payment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, credited to the Applicant’s account (IBAN/SWIFT to be confirmed by the Applicant)</w:t>
      </w:r>
      <w:r>
        <w:rPr>
          <w:rFonts w:ascii="Calibri" w:hAnsi="Calibri"/>
          <w:b w:val="0"/>
          <w:i w:val="0"/>
          <w:sz w:val="21"/>
        </w:rPr>
        <w:t xml:space="preserve">, and remains valid until </w:t>
      </w:r>
      <w:r>
        <w:rPr>
          <w:rFonts w:ascii="Calibri" w:hAnsi="Calibri"/>
          <w:b w:val="0"/>
          <w:i w:val="0"/>
          <w:strike/>
          <w:color w:val="C00000"/>
          <w:sz w:val="21"/>
        </w:rPr>
        <w:t xml:space="preserve">     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the earlier of: (i) issuance of the Provisional Acceptance Certificate (PAC) for the Project; or (ii) twelve (12) months after delivery of the equipment to the Project Site</w:t>
      </w:r>
      <w:r>
        <w:rPr>
          <w:rFonts w:ascii="Calibri" w:hAnsi="Calibri"/>
          <w:b w:val="0"/>
          <w:i w:val="0"/>
          <w:sz w:val="21"/>
        </w:rPr>
        <w:t xml:space="preserve"> (the “Expiry Date”). After the Expiry Date, this L/G shall automatically become null and void and be cancelled whether it is returned to us or not.</w:t>
      </w:r>
    </w:p>
    <w:p>
      <w:r>
        <w:rPr>
          <w:rFonts w:ascii="Calibri" w:hAnsi="Calibri"/>
          <w:b w:val="0"/>
          <w:i w:val="0"/>
          <w:sz w:val="21"/>
        </w:rPr>
        <w:t xml:space="preserve">Any demand under this L/G must be presented </w:t>
      </w:r>
      <w:r>
        <w:rPr>
          <w:rFonts w:ascii="Calibri" w:hAnsi="Calibri"/>
          <w:b w:val="0"/>
          <w:i w:val="0"/>
          <w:strike/>
          <w:color w:val="C00000"/>
          <w:sz w:val="21"/>
        </w:rPr>
        <w:t>in paper form through your bank by courier service, and must be received by us at our counter on or before the Expiry Date; any other mode of delivery is not acceptable. Our counter address: 11 Floor, No.218 Lushan Road, Jianye district, Nanjing, Jiangsu, China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>(i) by authenticated SWIFT message from the Beneficiary’s bank confirming that authorised signatories of the Beneficiary have executed the demand; or (ii) by registered letter or hand delivery to the Bank’s designated address or to its EU/Cyprus confirming bank; and must be received on or before the Expiry Date</w:t>
      </w:r>
      <w:r>
        <w:rPr>
          <w:rFonts w:ascii="Calibri" w:hAnsi="Calibri"/>
          <w:b w:val="0"/>
          <w:i w:val="0"/>
          <w:sz w:val="21"/>
        </w:rPr>
        <w:t>.</w:t>
      </w:r>
    </w:p>
    <w:p>
      <w:r>
        <w:rPr>
          <w:rFonts w:ascii="Calibri" w:hAnsi="Calibri"/>
          <w:b w:val="0"/>
          <w:i w:val="0"/>
          <w:sz w:val="21"/>
        </w:rPr>
        <w:t>This L/G is subject to the Uniform Rules for Demand Guarantees (URDG) 2010 Revision, ICC Publication No.758.</w:t>
      </w:r>
      <w:r>
        <w:rPr>
          <w:rFonts w:ascii="Calibri" w:hAnsi="Calibri"/>
          <w:b w:val="0"/>
          <w:i w:val="0"/>
          <w:color w:val="1F49C0"/>
          <w:sz w:val="21"/>
          <w:u w:val="single"/>
        </w:rPr>
        <w:t xml:space="preserve"> Governing law: Cyprus law (or English law, to be confirmed with the Bank). Any dispute shall be subject to the exclusive jurisdiction of the courts of Cyprus, or as otherwise agreed.</w:t>
      </w:r>
    </w:p>
    <w:p>
      <w:r>
        <w:rPr>
          <w:rFonts w:ascii="Calibri" w:hAnsi="Calibri"/>
          <w:b w:val="0"/>
          <w:i w:val="0"/>
          <w:sz w:val="21"/>
        </w:rPr>
        <w:t>All banking charges inside the issuing bank are for account of Applicant. Other banking charges are for account of beneficiary.</w:t>
      </w:r>
    </w:p>
    <w:p/>
    <w:p>
      <w:r>
        <w:rPr>
          <w:rFonts w:ascii="Calibri" w:hAnsi="Calibri"/>
          <w:b w:val="0"/>
          <w:i/>
          <w:color w:val="404040"/>
          <w:sz w:val="19"/>
        </w:rPr>
        <w:t>NOTE — APG No. 2 (Pre-Shipment, EUR 1,411,584.72): same amendments as above, plus: (i) amount EUR 1,411,584.72; (ii) trigger: receipt of pre-shipment payment on FAT completion; (iii) reduction on this instrument only shall additionally be evidenced by certificates of the supervising engineer (Aioliki / Glekas — to be confirmed by Galascope), consistent with Andri Papakonstantinou’s comment that the engineer-certificate mechanism applies to APG No. 2, not APG No. 1; (iv) same PAC-or-12-month expiry.</w:t>
      </w:r>
    </w:p>
    <w:p/>
    <w:p>
      <w:r>
        <w:rPr>
          <w:rFonts w:ascii="Calibri" w:hAnsi="Calibri"/>
          <w:b w:val="0"/>
          <w:i/>
          <w:color w:val="404040"/>
          <w:sz w:val="16"/>
        </w:rPr>
        <w:t>Ref: LCY-APG-REDLINE-2026-01 · Lighthief Cyprus Ltd · HE 477423 · office@lighthief.com · +357 99 164 158 · solarfarms.cy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