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D127E" w14:textId="77059977" w:rsidR="00DE40CC" w:rsidRPr="00DE40CC" w:rsidRDefault="00DE40CC" w:rsidP="00DE40CC">
      <w:pPr>
        <w:shd w:val="clear" w:color="auto" w:fill="FFFFFF"/>
        <w:spacing w:before="200" w:after="80" w:line="240" w:lineRule="auto"/>
        <w:rPr>
          <w:rFonts w:ascii="Calibri" w:eastAsia="Times New Roman" w:hAnsi="Calibri" w:cs="Calibri"/>
          <w:color w:val="222222"/>
          <w:kern w:val="0"/>
          <w:lang w:val="en-US" w:eastAsia="de-DE"/>
          <w14:ligatures w14:val="none"/>
        </w:rPr>
      </w:pPr>
      <w:r w:rsidRPr="00DE40CC">
        <w:rPr>
          <w:rFonts w:ascii="Calibri" w:eastAsia="Times New Roman" w:hAnsi="Calibri" w:cs="Calibri"/>
          <w:b/>
          <w:bCs/>
          <w:color w:val="222222"/>
          <w:kern w:val="0"/>
          <w:u w:val="single"/>
          <w:lang w:val="en-US" w:eastAsia="de-DE"/>
          <w14:ligatures w14:val="none"/>
        </w:rPr>
        <w:t>2. What still needs to be addressed</w:t>
      </w:r>
    </w:p>
    <w:p w14:paraId="017B3CDA" w14:textId="7B3D18FB" w:rsidR="00DE40CC" w:rsidRPr="00DE40CC" w:rsidRDefault="00DE40CC" w:rsidP="00DE40CC">
      <w:pPr>
        <w:shd w:val="clear" w:color="auto" w:fill="FFFFFF"/>
        <w:spacing w:before="80" w:after="80" w:line="240" w:lineRule="auto"/>
        <w:rPr>
          <w:rFonts w:ascii="Calibri" w:eastAsia="Times New Roman" w:hAnsi="Calibri" w:cs="Calibri"/>
          <w:color w:val="222222"/>
          <w:kern w:val="0"/>
          <w:lang w:val="en-US" w:eastAsia="de-DE"/>
          <w14:ligatures w14:val="none"/>
        </w:rPr>
      </w:pPr>
      <w:r w:rsidRPr="00DE40CC">
        <w:rPr>
          <w:rFonts w:ascii="Calibri" w:eastAsia="Times New Roman" w:hAnsi="Calibri" w:cs="Calibri"/>
          <w:color w:val="222222"/>
          <w:kern w:val="0"/>
          <w:lang w:val="en-US" w:eastAsia="de-DE"/>
          <w14:ligatures w14:val="none"/>
        </w:rPr>
        <w:t>The following covers everything I have flagged in v4.0, categori</w:t>
      </w:r>
      <w:r>
        <w:rPr>
          <w:rFonts w:ascii="Calibri" w:eastAsia="Times New Roman" w:hAnsi="Calibri" w:cs="Calibri"/>
          <w:color w:val="222222"/>
          <w:kern w:val="0"/>
          <w:lang w:val="en-US" w:eastAsia="de-DE"/>
          <w14:ligatures w14:val="none"/>
        </w:rPr>
        <w:t>z</w:t>
      </w:r>
      <w:r w:rsidRPr="00DE40CC">
        <w:rPr>
          <w:rFonts w:ascii="Calibri" w:eastAsia="Times New Roman" w:hAnsi="Calibri" w:cs="Calibri"/>
          <w:color w:val="222222"/>
          <w:kern w:val="0"/>
          <w:lang w:val="en-US" w:eastAsia="de-DE"/>
          <w14:ligatures w14:val="none"/>
        </w:rPr>
        <w:t xml:space="preserve">ed by risk level. I have included lower-risk items as well because I want us to have a complete picture. Where something is genuinely </w:t>
      </w:r>
      <w:proofErr w:type="gramStart"/>
      <w:r w:rsidRPr="00DE40CC">
        <w:rPr>
          <w:rFonts w:ascii="Calibri" w:eastAsia="Times New Roman" w:hAnsi="Calibri" w:cs="Calibri"/>
          <w:color w:val="222222"/>
          <w:kern w:val="0"/>
          <w:lang w:val="en-US" w:eastAsia="de-DE"/>
          <w14:ligatures w14:val="none"/>
        </w:rPr>
        <w:t>minor</w:t>
      </w:r>
      <w:proofErr w:type="gramEnd"/>
      <w:r w:rsidRPr="00DE40CC">
        <w:rPr>
          <w:rFonts w:ascii="Calibri" w:eastAsia="Times New Roman" w:hAnsi="Calibri" w:cs="Calibri"/>
          <w:color w:val="222222"/>
          <w:kern w:val="0"/>
          <w:lang w:val="en-US" w:eastAsia="de-DE"/>
          <w14:ligatures w14:val="none"/>
        </w:rPr>
        <w:t xml:space="preserve"> I have said so.</w:t>
      </w:r>
    </w:p>
    <w:p w14:paraId="6FDA18D6" w14:textId="77777777" w:rsidR="00DE40CC" w:rsidRPr="00DE40CC" w:rsidRDefault="00DE40CC" w:rsidP="00DE40CC">
      <w:pPr>
        <w:shd w:val="clear" w:color="auto" w:fill="FFFFFF"/>
        <w:spacing w:before="60" w:after="60" w:line="240" w:lineRule="auto"/>
        <w:rPr>
          <w:rFonts w:ascii="Calibri" w:eastAsia="Times New Roman" w:hAnsi="Calibri" w:cs="Calibri"/>
          <w:color w:val="222222"/>
          <w:kern w:val="0"/>
          <w:lang w:val="en-US" w:eastAsia="de-DE"/>
          <w14:ligatures w14:val="none"/>
        </w:rPr>
      </w:pPr>
      <w:r w:rsidRPr="00DE40CC">
        <w:rPr>
          <w:rFonts w:ascii="Calibri" w:eastAsia="Times New Roman" w:hAnsi="Calibri" w:cs="Calibri"/>
          <w:color w:val="222222"/>
          <w:kern w:val="0"/>
          <w:lang w:val="en-US" w:eastAsia="de-DE"/>
          <w14:ligatures w14:val="none"/>
        </w:rPr>
        <w:t> </w:t>
      </w:r>
    </w:p>
    <w:p w14:paraId="667EA37B" w14:textId="2AEA82D1" w:rsidR="00DE40CC" w:rsidRPr="00DE40CC" w:rsidRDefault="00DE40CC" w:rsidP="00DE40CC">
      <w:pPr>
        <w:shd w:val="clear" w:color="auto" w:fill="FFFFFF"/>
        <w:spacing w:before="80" w:after="80" w:line="240" w:lineRule="auto"/>
        <w:rPr>
          <w:rFonts w:ascii="Calibri" w:eastAsia="Times New Roman" w:hAnsi="Calibri" w:cs="Calibri"/>
          <w:color w:val="222222"/>
          <w:kern w:val="0"/>
          <w:sz w:val="28"/>
          <w:szCs w:val="28"/>
          <w:lang w:val="en-US" w:eastAsia="de-DE"/>
          <w14:ligatures w14:val="none"/>
        </w:rPr>
      </w:pPr>
      <w:r w:rsidRPr="00DE40CC">
        <w:rPr>
          <w:rFonts w:ascii="Calibri" w:eastAsia="Times New Roman" w:hAnsi="Calibri" w:cs="Calibri"/>
          <w:b/>
          <w:bCs/>
          <w:color w:val="222222"/>
          <w:kern w:val="0"/>
          <w:sz w:val="28"/>
          <w:szCs w:val="28"/>
          <w:lang w:val="en-US" w:eastAsia="de-DE"/>
          <w14:ligatures w14:val="none"/>
        </w:rPr>
        <w:t>HIGH RISK</w:t>
      </w:r>
    </w:p>
    <w:p w14:paraId="30EFD276" w14:textId="6F356B0E" w:rsidR="00DE40CC" w:rsidRPr="00DE40CC" w:rsidRDefault="00DE40CC" w:rsidP="00DE40CC">
      <w:pPr>
        <w:pStyle w:val="ListParagraph"/>
        <w:numPr>
          <w:ilvl w:val="0"/>
          <w:numId w:val="4"/>
        </w:numPr>
        <w:shd w:val="clear" w:color="auto" w:fill="FFFFFF"/>
        <w:spacing w:before="40" w:after="120" w:line="240" w:lineRule="auto"/>
        <w:contextualSpacing w:val="0"/>
        <w:rPr>
          <w:rFonts w:ascii="Calibri" w:eastAsia="Times New Roman" w:hAnsi="Calibri" w:cs="Calibri"/>
          <w:color w:val="222222"/>
          <w:kern w:val="0"/>
          <w:lang w:val="en-US" w:eastAsia="de-DE"/>
          <w14:ligatures w14:val="none"/>
        </w:rPr>
      </w:pPr>
      <w:r w:rsidRPr="00DE40CC">
        <w:rPr>
          <w:rFonts w:ascii="Calibri" w:eastAsia="Times New Roman" w:hAnsi="Calibri" w:cs="Calibri"/>
          <w:color w:val="222222"/>
          <w:kern w:val="0"/>
          <w:lang w:val="en-US" w:eastAsia="de-DE"/>
          <w14:ligatures w14:val="none"/>
        </w:rPr>
        <w:t xml:space="preserve">Liability cap reduced to 15% of Contract Price (Section 13.2) - this is the most significant issue in v4.0 and was not a point we asked for. In v3.0 the cap was 100% of Contract Price. </w:t>
      </w:r>
    </w:p>
    <w:p w14:paraId="259FDD1C" w14:textId="6F58FD15" w:rsidR="00DE40CC" w:rsidRPr="00DE40CC" w:rsidRDefault="00DE40CC" w:rsidP="007B590F">
      <w:pPr>
        <w:pStyle w:val="ListParagraph"/>
        <w:numPr>
          <w:ilvl w:val="0"/>
          <w:numId w:val="4"/>
        </w:numPr>
        <w:shd w:val="clear" w:color="auto" w:fill="FFFFFF"/>
        <w:spacing w:before="40" w:after="240" w:line="240" w:lineRule="auto"/>
        <w:contextualSpacing w:val="0"/>
        <w:rPr>
          <w:rFonts w:ascii="Calibri" w:eastAsia="Times New Roman" w:hAnsi="Calibri" w:cs="Calibri"/>
          <w:color w:val="222222"/>
          <w:kern w:val="0"/>
          <w:lang w:val="en-US" w:eastAsia="de-DE"/>
          <w14:ligatures w14:val="none"/>
        </w:rPr>
      </w:pPr>
      <w:r w:rsidRPr="00DE40CC">
        <w:rPr>
          <w:rFonts w:ascii="Calibri" w:eastAsia="Times New Roman" w:hAnsi="Calibri" w:cs="Calibri"/>
          <w:color w:val="222222"/>
          <w:kern w:val="0"/>
          <w:lang w:val="en-US" w:eastAsia="de-DE"/>
          <w14:ligatures w14:val="none"/>
        </w:rPr>
        <w:t xml:space="preserve">Schedule </w:t>
      </w:r>
      <w:proofErr w:type="gramStart"/>
      <w:r w:rsidRPr="00DE40CC">
        <w:rPr>
          <w:rFonts w:ascii="Calibri" w:eastAsia="Times New Roman" w:hAnsi="Calibri" w:cs="Calibri"/>
          <w:color w:val="222222"/>
          <w:kern w:val="0"/>
          <w:lang w:val="en-US" w:eastAsia="de-DE"/>
          <w14:ligatures w14:val="none"/>
        </w:rPr>
        <w:t>C  OEM</w:t>
      </w:r>
      <w:proofErr w:type="gramEnd"/>
      <w:r w:rsidRPr="00DE40CC">
        <w:rPr>
          <w:rFonts w:ascii="Calibri" w:eastAsia="Times New Roman" w:hAnsi="Calibri" w:cs="Calibri"/>
          <w:color w:val="222222"/>
          <w:kern w:val="0"/>
          <w:lang w:val="en-US" w:eastAsia="de-DE"/>
          <w14:ligatures w14:val="none"/>
        </w:rPr>
        <w:t xml:space="preserve"> Direct Warranty Undertaking not provided (Section 10.8, Schedule C): The OEM Direct Warranty Undertaking from Linyang is referenced throughout v4.0 as a structural element of the warranty framework, but the actual document has not been annexed. We do not know whether it is a demand guarantee or a conditional undertaking, what its governing law is, what the trigger conditions are, or whether it is enforceable in Cyprus. We cannot sign the Agreement without having reviewed and approved Schedule C.</w:t>
      </w:r>
    </w:p>
    <w:p w14:paraId="682D8E5E" w14:textId="43F1F85A" w:rsidR="00DE40CC" w:rsidRPr="00DE40CC" w:rsidRDefault="00DE40CC" w:rsidP="007B590F">
      <w:pPr>
        <w:pStyle w:val="ListParagraph"/>
        <w:numPr>
          <w:ilvl w:val="0"/>
          <w:numId w:val="4"/>
        </w:numPr>
        <w:shd w:val="clear" w:color="auto" w:fill="FFFFFF"/>
        <w:spacing w:before="40" w:after="240" w:line="240" w:lineRule="auto"/>
        <w:contextualSpacing w:val="0"/>
        <w:rPr>
          <w:rFonts w:ascii="Calibri" w:eastAsia="Times New Roman" w:hAnsi="Calibri" w:cs="Calibri"/>
          <w:color w:val="222222"/>
          <w:kern w:val="0"/>
          <w:lang w:val="en-US" w:eastAsia="de-DE"/>
          <w14:ligatures w14:val="none"/>
        </w:rPr>
      </w:pPr>
      <w:r w:rsidRPr="00DE40CC">
        <w:rPr>
          <w:rFonts w:ascii="Calibri" w:eastAsia="Times New Roman" w:hAnsi="Calibri" w:cs="Calibri"/>
          <w:color w:val="222222"/>
          <w:kern w:val="0"/>
          <w:lang w:val="en-US" w:eastAsia="de-DE"/>
          <w14:ligatures w14:val="none"/>
        </w:rPr>
        <w:t>Retain all payments on termination for non-payment (Section 5A.4(b)(iii)): This clause is carried over unchanged from v3.0. If Galascope is more than 30 days late on a payment, the Contractor can terminate and keep everything received - potentially 85% of the Contract Price. Under Cyprus contract law, which follows English common law principles on penalty clauses, this is almost certainly unenforceable as a penalty. Beyond the legal point, it is also commercially disproportionate. We should replace it with a reasonable formula: Contractor retains the documented cost of completed works plus a reasonable margin, with any surplus refunded within 30 days.</w:t>
      </w:r>
    </w:p>
    <w:p w14:paraId="5731E874" w14:textId="73E279FB" w:rsidR="00DE40CC" w:rsidRPr="00DE40CC" w:rsidRDefault="00DE40CC" w:rsidP="007B590F">
      <w:pPr>
        <w:pStyle w:val="ListParagraph"/>
        <w:numPr>
          <w:ilvl w:val="0"/>
          <w:numId w:val="4"/>
        </w:numPr>
        <w:shd w:val="clear" w:color="auto" w:fill="FFFFFF"/>
        <w:spacing w:before="40" w:after="240" w:line="240" w:lineRule="auto"/>
        <w:contextualSpacing w:val="0"/>
        <w:rPr>
          <w:rFonts w:ascii="Calibri" w:eastAsia="Times New Roman" w:hAnsi="Calibri" w:cs="Calibri"/>
          <w:color w:val="222222"/>
          <w:kern w:val="0"/>
          <w:lang w:val="en-US" w:eastAsia="de-DE"/>
          <w14:ligatures w14:val="none"/>
        </w:rPr>
      </w:pPr>
      <w:r w:rsidRPr="00DE40CC">
        <w:rPr>
          <w:rFonts w:ascii="Calibri" w:eastAsia="Times New Roman" w:hAnsi="Calibri" w:cs="Calibri"/>
          <w:color w:val="222222"/>
          <w:kern w:val="0"/>
          <w:lang w:val="en-US" w:eastAsia="de-DE"/>
          <w14:ligatures w14:val="none"/>
        </w:rPr>
        <w:t>Warranty Start Date - deemed start if commissioning is delayed (Section 3.1 definition): The definition of Warranty Start Date includes a deemed start provision: if PAC is delayed more than 6 months from delivery due to causes not attributable to the Client, the Warranty Period is treated as starting 6 months after delivery rather than at actual PAC. This means the warranty clock starts running before the system is even commissioned, in circumstances where the delay is the Contractor's own fault. The Warranty Period should run from actual PAC in all cases where the delay is not caused by Galascope.</w:t>
      </w:r>
    </w:p>
    <w:p w14:paraId="30AF8D7F" w14:textId="52C1B0F7" w:rsidR="00DE40CC" w:rsidRPr="00DE40CC" w:rsidRDefault="00DE40CC" w:rsidP="007B590F">
      <w:pPr>
        <w:pStyle w:val="ListParagraph"/>
        <w:numPr>
          <w:ilvl w:val="0"/>
          <w:numId w:val="4"/>
        </w:numPr>
        <w:shd w:val="clear" w:color="auto" w:fill="FFFFFF"/>
        <w:spacing w:before="40" w:after="240" w:line="240" w:lineRule="auto"/>
        <w:contextualSpacing w:val="0"/>
        <w:rPr>
          <w:rFonts w:ascii="Calibri" w:eastAsia="Times New Roman" w:hAnsi="Calibri" w:cs="Calibri"/>
          <w:color w:val="222222"/>
          <w:kern w:val="0"/>
          <w:lang w:val="en-US" w:eastAsia="de-DE"/>
          <w14:ligatures w14:val="none"/>
        </w:rPr>
      </w:pPr>
      <w:r w:rsidRPr="00DE40CC">
        <w:rPr>
          <w:rFonts w:ascii="Calibri" w:eastAsia="Times New Roman" w:hAnsi="Calibri" w:cs="Calibri"/>
          <w:color w:val="222222"/>
          <w:kern w:val="0"/>
          <w:lang w:val="en-US" w:eastAsia="de-DE"/>
          <w14:ligatures w14:val="none"/>
        </w:rPr>
        <w:t>Termination for prolonged delay refund formula unclear (Section 8.4.5): The 180-day termination right is a good addition. However, the refund formula - payments less 'value of completed works' - is undefined and subjective. There is no agreed valuation methodology, no cap on deductions and no timeline for the refund. In a dispute this will be contested. We need: an agreed valuation basis (e.g. independent quantity surveyor), a cap on deductions tied to actual documented costs, and a refund deadline of 30 days from the termination notice.</w:t>
      </w:r>
    </w:p>
    <w:p w14:paraId="59D4156E" w14:textId="77777777" w:rsidR="00DE40CC" w:rsidRPr="00DE40CC" w:rsidRDefault="00DE40CC" w:rsidP="00DE40CC">
      <w:pPr>
        <w:shd w:val="clear" w:color="auto" w:fill="FFFFFF"/>
        <w:spacing w:before="60" w:after="60" w:line="240" w:lineRule="auto"/>
        <w:rPr>
          <w:rFonts w:ascii="Calibri" w:eastAsia="Times New Roman" w:hAnsi="Calibri" w:cs="Calibri"/>
          <w:color w:val="222222"/>
          <w:kern w:val="0"/>
          <w:lang w:val="en-US" w:eastAsia="de-DE"/>
          <w14:ligatures w14:val="none"/>
        </w:rPr>
      </w:pPr>
      <w:r w:rsidRPr="00DE40CC">
        <w:rPr>
          <w:rFonts w:ascii="Calibri" w:eastAsia="Times New Roman" w:hAnsi="Calibri" w:cs="Calibri"/>
          <w:color w:val="222222"/>
          <w:kern w:val="0"/>
          <w:lang w:val="en-US" w:eastAsia="de-DE"/>
          <w14:ligatures w14:val="none"/>
        </w:rPr>
        <w:t> </w:t>
      </w:r>
    </w:p>
    <w:p w14:paraId="5F0A4C83" w14:textId="77777777" w:rsidR="00DE40CC" w:rsidRDefault="00DE40CC">
      <w:pPr>
        <w:rPr>
          <w:rFonts w:ascii="Calibri" w:eastAsia="Times New Roman" w:hAnsi="Calibri" w:cs="Calibri"/>
          <w:b/>
          <w:bCs/>
          <w:color w:val="222222"/>
          <w:kern w:val="0"/>
          <w:lang w:val="en-US" w:eastAsia="de-DE"/>
          <w14:ligatures w14:val="none"/>
        </w:rPr>
      </w:pPr>
      <w:r>
        <w:rPr>
          <w:rFonts w:ascii="Calibri" w:eastAsia="Times New Roman" w:hAnsi="Calibri" w:cs="Calibri"/>
          <w:b/>
          <w:bCs/>
          <w:color w:val="222222"/>
          <w:kern w:val="0"/>
          <w:lang w:val="en-US" w:eastAsia="de-DE"/>
          <w14:ligatures w14:val="none"/>
        </w:rPr>
        <w:br w:type="page"/>
      </w:r>
    </w:p>
    <w:p w14:paraId="1773B142" w14:textId="03DA0BFB" w:rsidR="00DE40CC" w:rsidRPr="00DE40CC" w:rsidRDefault="00DE40CC" w:rsidP="00DE40CC">
      <w:pPr>
        <w:shd w:val="clear" w:color="auto" w:fill="FFFFFF"/>
        <w:spacing w:before="80" w:after="80" w:line="240" w:lineRule="auto"/>
        <w:rPr>
          <w:rFonts w:ascii="Calibri" w:eastAsia="Times New Roman" w:hAnsi="Calibri" w:cs="Calibri"/>
          <w:color w:val="222222"/>
          <w:kern w:val="0"/>
          <w:sz w:val="28"/>
          <w:szCs w:val="28"/>
          <w:lang w:val="en-US" w:eastAsia="de-DE"/>
          <w14:ligatures w14:val="none"/>
        </w:rPr>
      </w:pPr>
      <w:r w:rsidRPr="00DE40CC">
        <w:rPr>
          <w:rFonts w:ascii="Calibri" w:eastAsia="Times New Roman" w:hAnsi="Calibri" w:cs="Calibri"/>
          <w:b/>
          <w:bCs/>
          <w:color w:val="222222"/>
          <w:kern w:val="0"/>
          <w:sz w:val="28"/>
          <w:szCs w:val="28"/>
          <w:lang w:val="en-US" w:eastAsia="de-DE"/>
          <w14:ligatures w14:val="none"/>
        </w:rPr>
        <w:lastRenderedPageBreak/>
        <w:t>MEDIUM RISK</w:t>
      </w:r>
    </w:p>
    <w:p w14:paraId="2F1AA97F" w14:textId="10D612E2" w:rsidR="00DE40CC" w:rsidRPr="00DE40CC" w:rsidRDefault="00DE40CC" w:rsidP="00DE40CC">
      <w:pPr>
        <w:pStyle w:val="ListParagraph"/>
        <w:numPr>
          <w:ilvl w:val="0"/>
          <w:numId w:val="4"/>
        </w:numPr>
        <w:shd w:val="clear" w:color="auto" w:fill="FFFFFF"/>
        <w:spacing w:before="40" w:after="120" w:line="240" w:lineRule="auto"/>
        <w:contextualSpacing w:val="0"/>
        <w:rPr>
          <w:rFonts w:ascii="Calibri" w:eastAsia="Times New Roman" w:hAnsi="Calibri" w:cs="Calibri"/>
          <w:color w:val="222222"/>
          <w:kern w:val="0"/>
          <w:lang w:val="en-US" w:eastAsia="de-DE"/>
          <w14:ligatures w14:val="none"/>
        </w:rPr>
      </w:pPr>
      <w:r w:rsidRPr="00DE40CC">
        <w:rPr>
          <w:rFonts w:ascii="Calibri" w:eastAsia="Times New Roman" w:hAnsi="Calibri" w:cs="Calibri"/>
          <w:color w:val="222222"/>
          <w:kern w:val="0"/>
          <w:lang w:val="en-US" w:eastAsia="de-DE"/>
          <w14:ligatures w14:val="none"/>
        </w:rPr>
        <w:t xml:space="preserve">EMS integration via affiliate - no parent guarantee (Section 4.4): EMS integration is now provided by Lighthief EU BESS Ltd, an affiliate of the Contractor, under a separate EMS Integration Agreement that has not been provided. </w:t>
      </w:r>
      <w:proofErr w:type="spellStart"/>
      <w:r w:rsidRPr="00DE40CC">
        <w:rPr>
          <w:rFonts w:ascii="Calibri" w:eastAsia="Times New Roman" w:hAnsi="Calibri" w:cs="Calibri"/>
          <w:color w:val="222222"/>
          <w:kern w:val="0"/>
          <w:lang w:val="en-US" w:eastAsia="de-DE"/>
          <w14:ligatures w14:val="none"/>
        </w:rPr>
        <w:t>Galascope's</w:t>
      </w:r>
      <w:proofErr w:type="spellEnd"/>
      <w:r w:rsidRPr="00DE40CC">
        <w:rPr>
          <w:rFonts w:ascii="Calibri" w:eastAsia="Times New Roman" w:hAnsi="Calibri" w:cs="Calibri"/>
          <w:color w:val="222222"/>
          <w:kern w:val="0"/>
          <w:lang w:val="en-US" w:eastAsia="de-DE"/>
          <w14:ligatures w14:val="none"/>
        </w:rPr>
        <w:t xml:space="preserve"> contractual relationship for EMS obligations will be with the affiliate, not with Lighthief Cyprus Ltd. If the affiliate has limited assets or is newly incorporated, this protection is thin. We should ask for: confirmation of the affiliate's incorporation and financial standing; a parent guarantee from Lighthief Cyprus Ltd covering the affiliate's EMS obligations; and the EMS Integration Agreement to be agreed and signed at the same time as this Agreement.</w:t>
      </w:r>
    </w:p>
    <w:p w14:paraId="6F573F3A" w14:textId="27786C85" w:rsidR="00DE40CC" w:rsidRPr="00DE40CC" w:rsidRDefault="00DE40CC" w:rsidP="00DE40CC">
      <w:pPr>
        <w:pStyle w:val="ListParagraph"/>
        <w:numPr>
          <w:ilvl w:val="0"/>
          <w:numId w:val="4"/>
        </w:numPr>
        <w:shd w:val="clear" w:color="auto" w:fill="FFFFFF"/>
        <w:spacing w:before="40" w:after="120" w:line="240" w:lineRule="auto"/>
        <w:contextualSpacing w:val="0"/>
        <w:rPr>
          <w:rFonts w:ascii="Calibri" w:eastAsia="Times New Roman" w:hAnsi="Calibri" w:cs="Calibri"/>
          <w:color w:val="222222"/>
          <w:kern w:val="0"/>
          <w:lang w:val="en-US" w:eastAsia="de-DE"/>
          <w14:ligatures w14:val="none"/>
        </w:rPr>
      </w:pPr>
      <w:r w:rsidRPr="00DE40CC">
        <w:rPr>
          <w:rFonts w:ascii="Calibri" w:eastAsia="Times New Roman" w:hAnsi="Calibri" w:cs="Calibri"/>
          <w:color w:val="222222"/>
          <w:kern w:val="0"/>
          <w:lang w:val="en-US" w:eastAsia="de-DE"/>
          <w14:ligatures w14:val="none"/>
        </w:rPr>
        <w:t xml:space="preserve">Delay LD cap at 10% of Contract Price (Section 8.4.4): The basis of the LDs has improved significantly (now on Contract Price rather than goods value). The 10% cap is commercially standard for this type of contract and I would not push hard on it, provided the 180-day termination right and refund formula are properly drafted. The two provisions need to work </w:t>
      </w:r>
      <w:proofErr w:type="gramStart"/>
      <w:r w:rsidRPr="00DE40CC">
        <w:rPr>
          <w:rFonts w:ascii="Calibri" w:eastAsia="Times New Roman" w:hAnsi="Calibri" w:cs="Calibri"/>
          <w:color w:val="222222"/>
          <w:kern w:val="0"/>
          <w:lang w:val="en-US" w:eastAsia="de-DE"/>
          <w14:ligatures w14:val="none"/>
        </w:rPr>
        <w:t>together,</w:t>
      </w:r>
      <w:proofErr w:type="gramEnd"/>
      <w:r w:rsidRPr="00DE40CC">
        <w:rPr>
          <w:rFonts w:ascii="Calibri" w:eastAsia="Times New Roman" w:hAnsi="Calibri" w:cs="Calibri"/>
          <w:color w:val="222222"/>
          <w:kern w:val="0"/>
          <w:lang w:val="en-US" w:eastAsia="de-DE"/>
          <w14:ligatures w14:val="none"/>
        </w:rPr>
        <w:t> the termination right is the more important protection.</w:t>
      </w:r>
    </w:p>
    <w:p w14:paraId="4C62CE3E" w14:textId="69F0F381" w:rsidR="00DE40CC" w:rsidRPr="00DE40CC" w:rsidRDefault="00DE40CC" w:rsidP="00DE40CC">
      <w:pPr>
        <w:pStyle w:val="ListParagraph"/>
        <w:numPr>
          <w:ilvl w:val="0"/>
          <w:numId w:val="4"/>
        </w:numPr>
        <w:shd w:val="clear" w:color="auto" w:fill="FFFFFF"/>
        <w:spacing w:before="40" w:after="120" w:line="240" w:lineRule="auto"/>
        <w:contextualSpacing w:val="0"/>
        <w:rPr>
          <w:rFonts w:ascii="Calibri" w:eastAsia="Times New Roman" w:hAnsi="Calibri" w:cs="Calibri"/>
          <w:color w:val="222222"/>
          <w:kern w:val="0"/>
          <w:lang w:val="en-US" w:eastAsia="de-DE"/>
          <w14:ligatures w14:val="none"/>
        </w:rPr>
      </w:pPr>
      <w:r w:rsidRPr="00DE40CC">
        <w:rPr>
          <w:rFonts w:ascii="Calibri" w:eastAsia="Times New Roman" w:hAnsi="Calibri" w:cs="Calibri"/>
          <w:color w:val="222222"/>
          <w:kern w:val="0"/>
          <w:lang w:val="en-US" w:eastAsia="de-DE"/>
          <w14:ligatures w14:val="none"/>
        </w:rPr>
        <w:t xml:space="preserve">Warranty void conditions - grid/EMS fault risk (Section 10.5): The battery warranty is voided by low cell voltage or SOC conditions that could in practice be caused by a grid fault, EMS malfunction, or other event outside </w:t>
      </w:r>
      <w:proofErr w:type="spellStart"/>
      <w:r w:rsidRPr="00DE40CC">
        <w:rPr>
          <w:rFonts w:ascii="Calibri" w:eastAsia="Times New Roman" w:hAnsi="Calibri" w:cs="Calibri"/>
          <w:color w:val="222222"/>
          <w:kern w:val="0"/>
          <w:lang w:val="en-US" w:eastAsia="de-DE"/>
          <w14:ligatures w14:val="none"/>
        </w:rPr>
        <w:t>Galascope's</w:t>
      </w:r>
      <w:proofErr w:type="spellEnd"/>
      <w:r w:rsidRPr="00DE40CC">
        <w:rPr>
          <w:rFonts w:ascii="Calibri" w:eastAsia="Times New Roman" w:hAnsi="Calibri" w:cs="Calibri"/>
          <w:color w:val="222222"/>
          <w:kern w:val="0"/>
          <w:lang w:val="en-US" w:eastAsia="de-DE"/>
          <w14:ligatures w14:val="none"/>
        </w:rPr>
        <w:t xml:space="preserve"> control. The monitoring failure carve-out in Section 10.5 (where the Contractor fails to alert under </w:t>
      </w:r>
      <w:proofErr w:type="spellStart"/>
      <w:r w:rsidRPr="00DE40CC">
        <w:rPr>
          <w:rFonts w:ascii="Calibri" w:eastAsia="Times New Roman" w:hAnsi="Calibri" w:cs="Calibri"/>
          <w:color w:val="222222"/>
          <w:kern w:val="0"/>
          <w:lang w:val="en-US" w:eastAsia="de-DE"/>
          <w14:ligatures w14:val="none"/>
        </w:rPr>
        <w:t>LTSA</w:t>
      </w:r>
      <w:proofErr w:type="spellEnd"/>
      <w:r w:rsidRPr="00DE40CC">
        <w:rPr>
          <w:rFonts w:ascii="Calibri" w:eastAsia="Times New Roman" w:hAnsi="Calibri" w:cs="Calibri"/>
          <w:color w:val="222222"/>
          <w:kern w:val="0"/>
          <w:lang w:val="en-US" w:eastAsia="de-DE"/>
          <w14:ligatures w14:val="none"/>
        </w:rPr>
        <w:t xml:space="preserve"> Tier A+) only applies if an </w:t>
      </w:r>
      <w:proofErr w:type="spellStart"/>
      <w:r w:rsidRPr="00DE40CC">
        <w:rPr>
          <w:rFonts w:ascii="Calibri" w:eastAsia="Times New Roman" w:hAnsi="Calibri" w:cs="Calibri"/>
          <w:color w:val="222222"/>
          <w:kern w:val="0"/>
          <w:lang w:val="en-US" w:eastAsia="de-DE"/>
          <w14:ligatures w14:val="none"/>
        </w:rPr>
        <w:t>LTSA</w:t>
      </w:r>
      <w:proofErr w:type="spellEnd"/>
      <w:r w:rsidRPr="00DE40CC">
        <w:rPr>
          <w:rFonts w:ascii="Calibri" w:eastAsia="Times New Roman" w:hAnsi="Calibri" w:cs="Calibri"/>
          <w:color w:val="222222"/>
          <w:kern w:val="0"/>
          <w:lang w:val="en-US" w:eastAsia="de-DE"/>
          <w14:ligatures w14:val="none"/>
        </w:rPr>
        <w:t xml:space="preserve"> with 24/7 monitoring is in place. Without the </w:t>
      </w:r>
      <w:proofErr w:type="spellStart"/>
      <w:r w:rsidRPr="00DE40CC">
        <w:rPr>
          <w:rFonts w:ascii="Calibri" w:eastAsia="Times New Roman" w:hAnsi="Calibri" w:cs="Calibri"/>
          <w:color w:val="222222"/>
          <w:kern w:val="0"/>
          <w:lang w:val="en-US" w:eastAsia="de-DE"/>
          <w14:ligatures w14:val="none"/>
        </w:rPr>
        <w:t>LTSA</w:t>
      </w:r>
      <w:proofErr w:type="spellEnd"/>
      <w:r w:rsidRPr="00DE40CC">
        <w:rPr>
          <w:rFonts w:ascii="Calibri" w:eastAsia="Times New Roman" w:hAnsi="Calibri" w:cs="Calibri"/>
          <w:color w:val="222222"/>
          <w:kern w:val="0"/>
          <w:lang w:val="en-US" w:eastAsia="de-DE"/>
          <w14:ligatures w14:val="none"/>
        </w:rPr>
        <w:t xml:space="preserve">, Galascope bears the full risk of a warranty void triggered by external events. The carve-out should apply regardless of whether an </w:t>
      </w:r>
      <w:proofErr w:type="spellStart"/>
      <w:r w:rsidRPr="00DE40CC">
        <w:rPr>
          <w:rFonts w:ascii="Calibri" w:eastAsia="Times New Roman" w:hAnsi="Calibri" w:cs="Calibri"/>
          <w:color w:val="222222"/>
          <w:kern w:val="0"/>
          <w:lang w:val="en-US" w:eastAsia="de-DE"/>
          <w14:ligatures w14:val="none"/>
        </w:rPr>
        <w:t>LTSA</w:t>
      </w:r>
      <w:proofErr w:type="spellEnd"/>
      <w:r w:rsidRPr="00DE40CC">
        <w:rPr>
          <w:rFonts w:ascii="Calibri" w:eastAsia="Times New Roman" w:hAnsi="Calibri" w:cs="Calibri"/>
          <w:color w:val="222222"/>
          <w:kern w:val="0"/>
          <w:lang w:val="en-US" w:eastAsia="de-DE"/>
          <w14:ligatures w14:val="none"/>
        </w:rPr>
        <w:t xml:space="preserve"> is in place.</w:t>
      </w:r>
    </w:p>
    <w:p w14:paraId="57F9C109" w14:textId="5F476033" w:rsidR="00DE40CC" w:rsidRPr="00DE40CC" w:rsidRDefault="00DE40CC" w:rsidP="00DE40CC">
      <w:pPr>
        <w:pStyle w:val="ListParagraph"/>
        <w:numPr>
          <w:ilvl w:val="0"/>
          <w:numId w:val="4"/>
        </w:numPr>
        <w:shd w:val="clear" w:color="auto" w:fill="FFFFFF"/>
        <w:spacing w:before="40" w:after="120" w:line="240" w:lineRule="auto"/>
        <w:contextualSpacing w:val="0"/>
        <w:rPr>
          <w:rFonts w:ascii="Calibri" w:eastAsia="Times New Roman" w:hAnsi="Calibri" w:cs="Calibri"/>
          <w:color w:val="222222"/>
          <w:kern w:val="0"/>
          <w:lang w:val="en-US" w:eastAsia="de-DE"/>
          <w14:ligatures w14:val="none"/>
        </w:rPr>
      </w:pPr>
      <w:r w:rsidRPr="00DE40CC">
        <w:rPr>
          <w:rFonts w:ascii="Calibri" w:eastAsia="Times New Roman" w:hAnsi="Calibri" w:cs="Calibri"/>
          <w:color w:val="222222"/>
          <w:kern w:val="0"/>
          <w:lang w:val="en-US" w:eastAsia="de-DE"/>
          <w14:ligatures w14:val="none"/>
        </w:rPr>
        <w:t>Title transfer timing and lenders (Section 7.5(b)-(d)): Title passes at PAC and the PAC payment, at which point Galascope can grant security to lenders without Contractor consent. This is an improvement on v3.0. However, project finance lenders sometimes require title to pass at an earlier stage - typically at delivery or FAT - as a condition of their facility. Before signing, this should be confirmed with our bank. If they require earlier title transfer, we have grounds to push for it given 85% of the price has been paid by the pre-shipment milestone.</w:t>
      </w:r>
    </w:p>
    <w:p w14:paraId="01EAE221" w14:textId="6425B87F" w:rsidR="00DE40CC" w:rsidRPr="00DE40CC" w:rsidRDefault="00DE40CC" w:rsidP="00DE40CC">
      <w:pPr>
        <w:pStyle w:val="ListParagraph"/>
        <w:numPr>
          <w:ilvl w:val="0"/>
          <w:numId w:val="4"/>
        </w:numPr>
        <w:shd w:val="clear" w:color="auto" w:fill="FFFFFF"/>
        <w:spacing w:before="40" w:after="120" w:line="240" w:lineRule="auto"/>
        <w:contextualSpacing w:val="0"/>
        <w:rPr>
          <w:rFonts w:ascii="Calibri" w:eastAsia="Times New Roman" w:hAnsi="Calibri" w:cs="Calibri"/>
          <w:color w:val="222222"/>
          <w:kern w:val="0"/>
          <w:lang w:val="en-US" w:eastAsia="de-DE"/>
          <w14:ligatures w14:val="none"/>
        </w:rPr>
      </w:pPr>
      <w:r w:rsidRPr="00DE40CC">
        <w:rPr>
          <w:rFonts w:ascii="Calibri" w:eastAsia="Times New Roman" w:hAnsi="Calibri" w:cs="Calibri"/>
          <w:color w:val="222222"/>
          <w:kern w:val="0"/>
          <w:lang w:val="en-US" w:eastAsia="de-DE"/>
          <w14:ligatures w14:val="none"/>
        </w:rPr>
        <w:t xml:space="preserve">Force Majeure </w:t>
      </w:r>
      <w:proofErr w:type="gramStart"/>
      <w:r w:rsidRPr="00DE40CC">
        <w:rPr>
          <w:rFonts w:ascii="Calibri" w:eastAsia="Times New Roman" w:hAnsi="Calibri" w:cs="Calibri"/>
          <w:color w:val="222222"/>
          <w:kern w:val="0"/>
          <w:lang w:val="en-US" w:eastAsia="de-DE"/>
          <w14:ligatures w14:val="none"/>
        </w:rPr>
        <w:t>termination :</w:t>
      </w:r>
      <w:proofErr w:type="gramEnd"/>
      <w:r w:rsidRPr="00DE40CC">
        <w:rPr>
          <w:rFonts w:ascii="Calibri" w:eastAsia="Times New Roman" w:hAnsi="Calibri" w:cs="Calibri"/>
          <w:color w:val="222222"/>
          <w:kern w:val="0"/>
          <w:lang w:val="en-US" w:eastAsia="de-DE"/>
          <w14:ligatures w14:val="none"/>
        </w:rPr>
        <w:t> no refund of advance in excess of works done (Section 12.5): If a Force Majeure event persists for more than 6 months and the Agreement is terminated, the Client pays for completed works and delivered materials. There is no provision for refund of any advance payment in excess of what has actually been delivered. At an early stage, the 30% advance may well exceed the value of works done. We should add a simple provision requiring refund of any excess within 30 days.</w:t>
      </w:r>
    </w:p>
    <w:p w14:paraId="18DA97EE" w14:textId="529EEF7B" w:rsidR="00DE40CC" w:rsidRPr="00DE40CC" w:rsidRDefault="00DE40CC" w:rsidP="00DE40CC">
      <w:pPr>
        <w:pStyle w:val="ListParagraph"/>
        <w:numPr>
          <w:ilvl w:val="0"/>
          <w:numId w:val="4"/>
        </w:numPr>
        <w:shd w:val="clear" w:color="auto" w:fill="FFFFFF"/>
        <w:spacing w:before="40" w:after="120" w:line="240" w:lineRule="auto"/>
        <w:contextualSpacing w:val="0"/>
        <w:rPr>
          <w:rFonts w:ascii="Calibri" w:eastAsia="Times New Roman" w:hAnsi="Calibri" w:cs="Calibri"/>
          <w:color w:val="222222"/>
          <w:kern w:val="0"/>
          <w:lang w:val="en-US" w:eastAsia="de-DE"/>
          <w14:ligatures w14:val="none"/>
        </w:rPr>
      </w:pPr>
      <w:r w:rsidRPr="00DE40CC">
        <w:rPr>
          <w:rFonts w:ascii="Calibri" w:eastAsia="Times New Roman" w:hAnsi="Calibri" w:cs="Calibri"/>
          <w:color w:val="222222"/>
          <w:kern w:val="0"/>
          <w:lang w:val="en-US" w:eastAsia="de-DE"/>
          <w14:ligatures w14:val="none"/>
        </w:rPr>
        <w:t>RTE tolerance at PAC there is possible cumulative deduction (Section 9.1): PAC requires RTE of at least 84% (being the OEM reference of 86.32% less a 2.32 percentage point contractual deduction). Section 9.1 then adds a further provision allowing minor RTE deviations of up to 3 percentage points below 86.32% for ambient conditions. If both deductions apply simultaneously, PAC could technically be issued at RTE as low as 83.32%. We should clarify in drafting that the two tolerances are not cumulative and that the effective PAC floor is 84%.</w:t>
      </w:r>
    </w:p>
    <w:p w14:paraId="1503521E" w14:textId="760B3A56" w:rsidR="00DE40CC" w:rsidRPr="00DE40CC" w:rsidRDefault="00DE40CC" w:rsidP="00DE40CC">
      <w:pPr>
        <w:pStyle w:val="ListParagraph"/>
        <w:numPr>
          <w:ilvl w:val="0"/>
          <w:numId w:val="4"/>
        </w:numPr>
        <w:shd w:val="clear" w:color="auto" w:fill="FFFFFF"/>
        <w:spacing w:before="40" w:after="120" w:line="240" w:lineRule="auto"/>
        <w:contextualSpacing w:val="0"/>
        <w:rPr>
          <w:rFonts w:ascii="Calibri" w:eastAsia="Times New Roman" w:hAnsi="Calibri" w:cs="Calibri"/>
          <w:color w:val="222222"/>
          <w:kern w:val="0"/>
          <w:lang w:val="en-US" w:eastAsia="de-DE"/>
          <w14:ligatures w14:val="none"/>
        </w:rPr>
      </w:pPr>
      <w:r w:rsidRPr="00DE40CC">
        <w:rPr>
          <w:rFonts w:ascii="Calibri" w:eastAsia="Times New Roman" w:hAnsi="Calibri" w:cs="Calibri"/>
          <w:color w:val="222222"/>
          <w:kern w:val="0"/>
          <w:lang w:val="en-US" w:eastAsia="de-DE"/>
          <w14:ligatures w14:val="none"/>
        </w:rPr>
        <w:t xml:space="preserve">Client indemnity broad (Section 13A.2): The Client's indemnity to the Contractor covers operation contrary to OEM guidelines, </w:t>
      </w:r>
      <w:proofErr w:type="spellStart"/>
      <w:r w:rsidRPr="00DE40CC">
        <w:rPr>
          <w:rFonts w:ascii="Calibri" w:eastAsia="Times New Roman" w:hAnsi="Calibri" w:cs="Calibri"/>
          <w:color w:val="222222"/>
          <w:kern w:val="0"/>
          <w:lang w:val="en-US" w:eastAsia="de-DE"/>
          <w14:ligatures w14:val="none"/>
        </w:rPr>
        <w:t>unauthorised</w:t>
      </w:r>
      <w:proofErr w:type="spellEnd"/>
      <w:r w:rsidRPr="00DE40CC">
        <w:rPr>
          <w:rFonts w:ascii="Calibri" w:eastAsia="Times New Roman" w:hAnsi="Calibri" w:cs="Calibri"/>
          <w:color w:val="222222"/>
          <w:kern w:val="0"/>
          <w:lang w:val="en-US" w:eastAsia="de-DE"/>
          <w14:ligatures w14:val="none"/>
        </w:rPr>
        <w:t xml:space="preserve"> modifications and failure to maintain insurance. These are broadly worded and could apply in situations where fault is shared or disputed. We should add a proportionality qualifier so the indemnity only applies to the extent </w:t>
      </w:r>
      <w:proofErr w:type="spellStart"/>
      <w:r w:rsidRPr="00DE40CC">
        <w:rPr>
          <w:rFonts w:ascii="Calibri" w:eastAsia="Times New Roman" w:hAnsi="Calibri" w:cs="Calibri"/>
          <w:color w:val="222222"/>
          <w:kern w:val="0"/>
          <w:lang w:val="en-US" w:eastAsia="de-DE"/>
          <w14:ligatures w14:val="none"/>
        </w:rPr>
        <w:t>Galascope's</w:t>
      </w:r>
      <w:proofErr w:type="spellEnd"/>
      <w:r w:rsidRPr="00DE40CC">
        <w:rPr>
          <w:rFonts w:ascii="Calibri" w:eastAsia="Times New Roman" w:hAnsi="Calibri" w:cs="Calibri"/>
          <w:color w:val="222222"/>
          <w:kern w:val="0"/>
          <w:lang w:val="en-US" w:eastAsia="de-DE"/>
          <w14:ligatures w14:val="none"/>
        </w:rPr>
        <w:t xml:space="preserve"> act or omission caused or materially contributed to the relevant loss.</w:t>
      </w:r>
    </w:p>
    <w:p w14:paraId="3B71F568" w14:textId="5143FA51" w:rsidR="00DE40CC" w:rsidRPr="00DE40CC" w:rsidRDefault="00DE40CC" w:rsidP="00DE40CC">
      <w:pPr>
        <w:shd w:val="clear" w:color="auto" w:fill="FFFFFF"/>
        <w:spacing w:before="60" w:after="60" w:line="240" w:lineRule="auto"/>
        <w:ind w:firstLine="60"/>
        <w:rPr>
          <w:rFonts w:ascii="Calibri" w:eastAsia="Times New Roman" w:hAnsi="Calibri" w:cs="Calibri"/>
          <w:color w:val="222222"/>
          <w:kern w:val="0"/>
          <w:lang w:val="en-US" w:eastAsia="de-DE"/>
          <w14:ligatures w14:val="none"/>
        </w:rPr>
      </w:pPr>
    </w:p>
    <w:p w14:paraId="7189FF1E" w14:textId="504267A8" w:rsidR="00DE40CC" w:rsidRDefault="00DE40CC">
      <w:pPr>
        <w:rPr>
          <w:rFonts w:ascii="Calibri" w:eastAsia="Times New Roman" w:hAnsi="Calibri" w:cs="Calibri"/>
          <w:b/>
          <w:bCs/>
          <w:color w:val="222222"/>
          <w:kern w:val="0"/>
          <w:sz w:val="28"/>
          <w:szCs w:val="28"/>
          <w:lang w:val="en-US" w:eastAsia="de-DE"/>
          <w14:ligatures w14:val="none"/>
        </w:rPr>
      </w:pPr>
    </w:p>
    <w:sectPr w:rsidR="00DE40CC" w:rsidSect="00DE40CC">
      <w:pgSz w:w="11906" w:h="16838"/>
      <w:pgMar w:top="227" w:right="454" w:bottom="22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1"/>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74E89"/>
    <w:multiLevelType w:val="hybridMultilevel"/>
    <w:tmpl w:val="57281AEC"/>
    <w:lvl w:ilvl="0" w:tplc="181AE510">
      <w:numFmt w:val="bullet"/>
      <w:lvlText w:val="-"/>
      <w:lvlJc w:val="left"/>
      <w:pPr>
        <w:ind w:left="964" w:hanging="284"/>
      </w:pPr>
      <w:rPr>
        <w:rFonts w:ascii="Calibri" w:eastAsia="Times New Roman" w:hAnsi="Calibri" w:hint="default"/>
      </w:rPr>
    </w:lvl>
    <w:lvl w:ilvl="1" w:tplc="04070003" w:tentative="1">
      <w:start w:val="1"/>
      <w:numFmt w:val="bullet"/>
      <w:lvlText w:val="o"/>
      <w:lvlJc w:val="left"/>
      <w:pPr>
        <w:ind w:left="1780" w:hanging="360"/>
      </w:pPr>
      <w:rPr>
        <w:rFonts w:ascii="Courier New" w:hAnsi="Courier New" w:cs="Courier New" w:hint="default"/>
      </w:rPr>
    </w:lvl>
    <w:lvl w:ilvl="2" w:tplc="04070005" w:tentative="1">
      <w:start w:val="1"/>
      <w:numFmt w:val="bullet"/>
      <w:lvlText w:val=""/>
      <w:lvlJc w:val="left"/>
      <w:pPr>
        <w:ind w:left="2500" w:hanging="360"/>
      </w:pPr>
      <w:rPr>
        <w:rFonts w:ascii="Wingdings" w:hAnsi="Wingdings" w:hint="default"/>
      </w:rPr>
    </w:lvl>
    <w:lvl w:ilvl="3" w:tplc="04070001" w:tentative="1">
      <w:start w:val="1"/>
      <w:numFmt w:val="bullet"/>
      <w:lvlText w:val=""/>
      <w:lvlJc w:val="left"/>
      <w:pPr>
        <w:ind w:left="3220" w:hanging="360"/>
      </w:pPr>
      <w:rPr>
        <w:rFonts w:ascii="Symbol" w:hAnsi="Symbol" w:hint="default"/>
      </w:rPr>
    </w:lvl>
    <w:lvl w:ilvl="4" w:tplc="04070003" w:tentative="1">
      <w:start w:val="1"/>
      <w:numFmt w:val="bullet"/>
      <w:lvlText w:val="o"/>
      <w:lvlJc w:val="left"/>
      <w:pPr>
        <w:ind w:left="3940" w:hanging="360"/>
      </w:pPr>
      <w:rPr>
        <w:rFonts w:ascii="Courier New" w:hAnsi="Courier New" w:cs="Courier New" w:hint="default"/>
      </w:rPr>
    </w:lvl>
    <w:lvl w:ilvl="5" w:tplc="04070005" w:tentative="1">
      <w:start w:val="1"/>
      <w:numFmt w:val="bullet"/>
      <w:lvlText w:val=""/>
      <w:lvlJc w:val="left"/>
      <w:pPr>
        <w:ind w:left="4660" w:hanging="360"/>
      </w:pPr>
      <w:rPr>
        <w:rFonts w:ascii="Wingdings" w:hAnsi="Wingdings" w:hint="default"/>
      </w:rPr>
    </w:lvl>
    <w:lvl w:ilvl="6" w:tplc="04070001" w:tentative="1">
      <w:start w:val="1"/>
      <w:numFmt w:val="bullet"/>
      <w:lvlText w:val=""/>
      <w:lvlJc w:val="left"/>
      <w:pPr>
        <w:ind w:left="5380" w:hanging="360"/>
      </w:pPr>
      <w:rPr>
        <w:rFonts w:ascii="Symbol" w:hAnsi="Symbol" w:hint="default"/>
      </w:rPr>
    </w:lvl>
    <w:lvl w:ilvl="7" w:tplc="04070003" w:tentative="1">
      <w:start w:val="1"/>
      <w:numFmt w:val="bullet"/>
      <w:lvlText w:val="o"/>
      <w:lvlJc w:val="left"/>
      <w:pPr>
        <w:ind w:left="6100" w:hanging="360"/>
      </w:pPr>
      <w:rPr>
        <w:rFonts w:ascii="Courier New" w:hAnsi="Courier New" w:cs="Courier New" w:hint="default"/>
      </w:rPr>
    </w:lvl>
    <w:lvl w:ilvl="8" w:tplc="04070005" w:tentative="1">
      <w:start w:val="1"/>
      <w:numFmt w:val="bullet"/>
      <w:lvlText w:val=""/>
      <w:lvlJc w:val="left"/>
      <w:pPr>
        <w:ind w:left="6820" w:hanging="360"/>
      </w:pPr>
      <w:rPr>
        <w:rFonts w:ascii="Wingdings" w:hAnsi="Wingdings" w:hint="default"/>
      </w:rPr>
    </w:lvl>
  </w:abstractNum>
  <w:abstractNum w:abstractNumId="1" w15:restartNumberingAfterBreak="0">
    <w:nsid w:val="21E4673C"/>
    <w:multiLevelType w:val="hybridMultilevel"/>
    <w:tmpl w:val="8E5E2E92"/>
    <w:lvl w:ilvl="0" w:tplc="F686F3CC">
      <w:numFmt w:val="bullet"/>
      <w:lvlText w:val="-"/>
      <w:lvlJc w:val="left"/>
      <w:pPr>
        <w:ind w:left="1322" w:hanging="360"/>
      </w:pPr>
      <w:rPr>
        <w:rFonts w:ascii="Calibri" w:eastAsia="Times New Roman" w:hAnsi="Calibri" w:cs="Calibri" w:hint="default"/>
      </w:rPr>
    </w:lvl>
    <w:lvl w:ilvl="1" w:tplc="04070003" w:tentative="1">
      <w:start w:val="1"/>
      <w:numFmt w:val="bullet"/>
      <w:lvlText w:val="o"/>
      <w:lvlJc w:val="left"/>
      <w:pPr>
        <w:ind w:left="1920" w:hanging="360"/>
      </w:pPr>
      <w:rPr>
        <w:rFonts w:ascii="Courier New" w:hAnsi="Courier New" w:cs="Courier New" w:hint="default"/>
      </w:rPr>
    </w:lvl>
    <w:lvl w:ilvl="2" w:tplc="04070005" w:tentative="1">
      <w:start w:val="1"/>
      <w:numFmt w:val="bullet"/>
      <w:lvlText w:val=""/>
      <w:lvlJc w:val="left"/>
      <w:pPr>
        <w:ind w:left="2640" w:hanging="360"/>
      </w:pPr>
      <w:rPr>
        <w:rFonts w:ascii="Wingdings" w:hAnsi="Wingdings" w:hint="default"/>
      </w:rPr>
    </w:lvl>
    <w:lvl w:ilvl="3" w:tplc="04070001" w:tentative="1">
      <w:start w:val="1"/>
      <w:numFmt w:val="bullet"/>
      <w:lvlText w:val=""/>
      <w:lvlJc w:val="left"/>
      <w:pPr>
        <w:ind w:left="3360" w:hanging="360"/>
      </w:pPr>
      <w:rPr>
        <w:rFonts w:ascii="Symbol" w:hAnsi="Symbol" w:hint="default"/>
      </w:rPr>
    </w:lvl>
    <w:lvl w:ilvl="4" w:tplc="04070003" w:tentative="1">
      <w:start w:val="1"/>
      <w:numFmt w:val="bullet"/>
      <w:lvlText w:val="o"/>
      <w:lvlJc w:val="left"/>
      <w:pPr>
        <w:ind w:left="4080" w:hanging="360"/>
      </w:pPr>
      <w:rPr>
        <w:rFonts w:ascii="Courier New" w:hAnsi="Courier New" w:cs="Courier New" w:hint="default"/>
      </w:rPr>
    </w:lvl>
    <w:lvl w:ilvl="5" w:tplc="04070005" w:tentative="1">
      <w:start w:val="1"/>
      <w:numFmt w:val="bullet"/>
      <w:lvlText w:val=""/>
      <w:lvlJc w:val="left"/>
      <w:pPr>
        <w:ind w:left="4800" w:hanging="360"/>
      </w:pPr>
      <w:rPr>
        <w:rFonts w:ascii="Wingdings" w:hAnsi="Wingdings" w:hint="default"/>
      </w:rPr>
    </w:lvl>
    <w:lvl w:ilvl="6" w:tplc="04070001" w:tentative="1">
      <w:start w:val="1"/>
      <w:numFmt w:val="bullet"/>
      <w:lvlText w:val=""/>
      <w:lvlJc w:val="left"/>
      <w:pPr>
        <w:ind w:left="5520" w:hanging="360"/>
      </w:pPr>
      <w:rPr>
        <w:rFonts w:ascii="Symbol" w:hAnsi="Symbol" w:hint="default"/>
      </w:rPr>
    </w:lvl>
    <w:lvl w:ilvl="7" w:tplc="04070003" w:tentative="1">
      <w:start w:val="1"/>
      <w:numFmt w:val="bullet"/>
      <w:lvlText w:val="o"/>
      <w:lvlJc w:val="left"/>
      <w:pPr>
        <w:ind w:left="6240" w:hanging="360"/>
      </w:pPr>
      <w:rPr>
        <w:rFonts w:ascii="Courier New" w:hAnsi="Courier New" w:cs="Courier New" w:hint="default"/>
      </w:rPr>
    </w:lvl>
    <w:lvl w:ilvl="8" w:tplc="04070005" w:tentative="1">
      <w:start w:val="1"/>
      <w:numFmt w:val="bullet"/>
      <w:lvlText w:val=""/>
      <w:lvlJc w:val="left"/>
      <w:pPr>
        <w:ind w:left="6960" w:hanging="360"/>
      </w:pPr>
      <w:rPr>
        <w:rFonts w:ascii="Wingdings" w:hAnsi="Wingdings" w:hint="default"/>
      </w:rPr>
    </w:lvl>
  </w:abstractNum>
  <w:abstractNum w:abstractNumId="2" w15:restartNumberingAfterBreak="0">
    <w:nsid w:val="580E64D8"/>
    <w:multiLevelType w:val="hybridMultilevel"/>
    <w:tmpl w:val="0C9C1BBE"/>
    <w:lvl w:ilvl="0" w:tplc="181AE510">
      <w:numFmt w:val="bullet"/>
      <w:lvlText w:val="-"/>
      <w:lvlJc w:val="left"/>
      <w:pPr>
        <w:ind w:left="624" w:hanging="284"/>
      </w:pPr>
      <w:rPr>
        <w:rFonts w:ascii="Calibri" w:eastAsia="Times New Roman" w:hAnsi="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58730682"/>
    <w:multiLevelType w:val="hybridMultilevel"/>
    <w:tmpl w:val="E43429FC"/>
    <w:lvl w:ilvl="0" w:tplc="181AE510">
      <w:numFmt w:val="bullet"/>
      <w:lvlText w:val="-"/>
      <w:lvlJc w:val="left"/>
      <w:pPr>
        <w:ind w:left="624" w:hanging="284"/>
      </w:pPr>
      <w:rPr>
        <w:rFonts w:ascii="Calibri" w:eastAsia="Times New Roman" w:hAnsi="Calibri" w:hint="default"/>
      </w:rPr>
    </w:lvl>
    <w:lvl w:ilvl="1" w:tplc="FFFFFFFF" w:tentative="1">
      <w:start w:val="1"/>
      <w:numFmt w:val="bullet"/>
      <w:lvlText w:val="o"/>
      <w:lvlJc w:val="left"/>
      <w:pPr>
        <w:ind w:left="1562" w:hanging="360"/>
      </w:pPr>
      <w:rPr>
        <w:rFonts w:ascii="Courier New" w:hAnsi="Courier New" w:cs="Courier New" w:hint="default"/>
      </w:rPr>
    </w:lvl>
    <w:lvl w:ilvl="2" w:tplc="FFFFFFFF" w:tentative="1">
      <w:start w:val="1"/>
      <w:numFmt w:val="bullet"/>
      <w:lvlText w:val=""/>
      <w:lvlJc w:val="left"/>
      <w:pPr>
        <w:ind w:left="2282" w:hanging="360"/>
      </w:pPr>
      <w:rPr>
        <w:rFonts w:ascii="Wingdings" w:hAnsi="Wingdings" w:hint="default"/>
      </w:rPr>
    </w:lvl>
    <w:lvl w:ilvl="3" w:tplc="FFFFFFFF" w:tentative="1">
      <w:start w:val="1"/>
      <w:numFmt w:val="bullet"/>
      <w:lvlText w:val=""/>
      <w:lvlJc w:val="left"/>
      <w:pPr>
        <w:ind w:left="3002" w:hanging="360"/>
      </w:pPr>
      <w:rPr>
        <w:rFonts w:ascii="Symbol" w:hAnsi="Symbol" w:hint="default"/>
      </w:rPr>
    </w:lvl>
    <w:lvl w:ilvl="4" w:tplc="FFFFFFFF" w:tentative="1">
      <w:start w:val="1"/>
      <w:numFmt w:val="bullet"/>
      <w:lvlText w:val="o"/>
      <w:lvlJc w:val="left"/>
      <w:pPr>
        <w:ind w:left="3722" w:hanging="360"/>
      </w:pPr>
      <w:rPr>
        <w:rFonts w:ascii="Courier New" w:hAnsi="Courier New" w:cs="Courier New" w:hint="default"/>
      </w:rPr>
    </w:lvl>
    <w:lvl w:ilvl="5" w:tplc="FFFFFFFF" w:tentative="1">
      <w:start w:val="1"/>
      <w:numFmt w:val="bullet"/>
      <w:lvlText w:val=""/>
      <w:lvlJc w:val="left"/>
      <w:pPr>
        <w:ind w:left="4442" w:hanging="360"/>
      </w:pPr>
      <w:rPr>
        <w:rFonts w:ascii="Wingdings" w:hAnsi="Wingdings" w:hint="default"/>
      </w:rPr>
    </w:lvl>
    <w:lvl w:ilvl="6" w:tplc="FFFFFFFF" w:tentative="1">
      <w:start w:val="1"/>
      <w:numFmt w:val="bullet"/>
      <w:lvlText w:val=""/>
      <w:lvlJc w:val="left"/>
      <w:pPr>
        <w:ind w:left="5162" w:hanging="360"/>
      </w:pPr>
      <w:rPr>
        <w:rFonts w:ascii="Symbol" w:hAnsi="Symbol" w:hint="default"/>
      </w:rPr>
    </w:lvl>
    <w:lvl w:ilvl="7" w:tplc="FFFFFFFF" w:tentative="1">
      <w:start w:val="1"/>
      <w:numFmt w:val="bullet"/>
      <w:lvlText w:val="o"/>
      <w:lvlJc w:val="left"/>
      <w:pPr>
        <w:ind w:left="5882" w:hanging="360"/>
      </w:pPr>
      <w:rPr>
        <w:rFonts w:ascii="Courier New" w:hAnsi="Courier New" w:cs="Courier New" w:hint="default"/>
      </w:rPr>
    </w:lvl>
    <w:lvl w:ilvl="8" w:tplc="FFFFFFFF" w:tentative="1">
      <w:start w:val="1"/>
      <w:numFmt w:val="bullet"/>
      <w:lvlText w:val=""/>
      <w:lvlJc w:val="left"/>
      <w:pPr>
        <w:ind w:left="6602" w:hanging="360"/>
      </w:pPr>
      <w:rPr>
        <w:rFonts w:ascii="Wingdings" w:hAnsi="Wingdings" w:hint="default"/>
      </w:rPr>
    </w:lvl>
  </w:abstractNum>
  <w:abstractNum w:abstractNumId="4" w15:restartNumberingAfterBreak="0">
    <w:nsid w:val="77D041FD"/>
    <w:multiLevelType w:val="hybridMultilevel"/>
    <w:tmpl w:val="A9826DC6"/>
    <w:lvl w:ilvl="0" w:tplc="181AE510">
      <w:numFmt w:val="bullet"/>
      <w:lvlText w:val="-"/>
      <w:lvlJc w:val="left"/>
      <w:pPr>
        <w:ind w:left="624" w:hanging="284"/>
      </w:pPr>
      <w:rPr>
        <w:rFonts w:ascii="Calibri" w:eastAsia="Times New Roman" w:hAnsi="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79143451"/>
    <w:multiLevelType w:val="hybridMultilevel"/>
    <w:tmpl w:val="FA9E4772"/>
    <w:lvl w:ilvl="0" w:tplc="A55664CA">
      <w:numFmt w:val="bullet"/>
      <w:lvlText w:val="-"/>
      <w:lvlJc w:val="left"/>
      <w:pPr>
        <w:ind w:left="624" w:hanging="284"/>
      </w:pPr>
      <w:rPr>
        <w:rFonts w:ascii="Calibri" w:eastAsia="Times New Roman" w:hAnsi="Calibri" w:hint="default"/>
      </w:rPr>
    </w:lvl>
    <w:lvl w:ilvl="1" w:tplc="04070003" w:tentative="1">
      <w:start w:val="1"/>
      <w:numFmt w:val="bullet"/>
      <w:lvlText w:val="o"/>
      <w:lvlJc w:val="left"/>
      <w:pPr>
        <w:ind w:left="1562" w:hanging="360"/>
      </w:pPr>
      <w:rPr>
        <w:rFonts w:ascii="Courier New" w:hAnsi="Courier New" w:cs="Courier New" w:hint="default"/>
      </w:rPr>
    </w:lvl>
    <w:lvl w:ilvl="2" w:tplc="04070005" w:tentative="1">
      <w:start w:val="1"/>
      <w:numFmt w:val="bullet"/>
      <w:lvlText w:val=""/>
      <w:lvlJc w:val="left"/>
      <w:pPr>
        <w:ind w:left="2282" w:hanging="360"/>
      </w:pPr>
      <w:rPr>
        <w:rFonts w:ascii="Wingdings" w:hAnsi="Wingdings" w:hint="default"/>
      </w:rPr>
    </w:lvl>
    <w:lvl w:ilvl="3" w:tplc="04070001" w:tentative="1">
      <w:start w:val="1"/>
      <w:numFmt w:val="bullet"/>
      <w:lvlText w:val=""/>
      <w:lvlJc w:val="left"/>
      <w:pPr>
        <w:ind w:left="3002" w:hanging="360"/>
      </w:pPr>
      <w:rPr>
        <w:rFonts w:ascii="Symbol" w:hAnsi="Symbol" w:hint="default"/>
      </w:rPr>
    </w:lvl>
    <w:lvl w:ilvl="4" w:tplc="04070003" w:tentative="1">
      <w:start w:val="1"/>
      <w:numFmt w:val="bullet"/>
      <w:lvlText w:val="o"/>
      <w:lvlJc w:val="left"/>
      <w:pPr>
        <w:ind w:left="3722" w:hanging="360"/>
      </w:pPr>
      <w:rPr>
        <w:rFonts w:ascii="Courier New" w:hAnsi="Courier New" w:cs="Courier New" w:hint="default"/>
      </w:rPr>
    </w:lvl>
    <w:lvl w:ilvl="5" w:tplc="04070005" w:tentative="1">
      <w:start w:val="1"/>
      <w:numFmt w:val="bullet"/>
      <w:lvlText w:val=""/>
      <w:lvlJc w:val="left"/>
      <w:pPr>
        <w:ind w:left="4442" w:hanging="360"/>
      </w:pPr>
      <w:rPr>
        <w:rFonts w:ascii="Wingdings" w:hAnsi="Wingdings" w:hint="default"/>
      </w:rPr>
    </w:lvl>
    <w:lvl w:ilvl="6" w:tplc="04070001" w:tentative="1">
      <w:start w:val="1"/>
      <w:numFmt w:val="bullet"/>
      <w:lvlText w:val=""/>
      <w:lvlJc w:val="left"/>
      <w:pPr>
        <w:ind w:left="5162" w:hanging="360"/>
      </w:pPr>
      <w:rPr>
        <w:rFonts w:ascii="Symbol" w:hAnsi="Symbol" w:hint="default"/>
      </w:rPr>
    </w:lvl>
    <w:lvl w:ilvl="7" w:tplc="04070003" w:tentative="1">
      <w:start w:val="1"/>
      <w:numFmt w:val="bullet"/>
      <w:lvlText w:val="o"/>
      <w:lvlJc w:val="left"/>
      <w:pPr>
        <w:ind w:left="5882" w:hanging="360"/>
      </w:pPr>
      <w:rPr>
        <w:rFonts w:ascii="Courier New" w:hAnsi="Courier New" w:cs="Courier New" w:hint="default"/>
      </w:rPr>
    </w:lvl>
    <w:lvl w:ilvl="8" w:tplc="04070005" w:tentative="1">
      <w:start w:val="1"/>
      <w:numFmt w:val="bullet"/>
      <w:lvlText w:val=""/>
      <w:lvlJc w:val="left"/>
      <w:pPr>
        <w:ind w:left="6602" w:hanging="360"/>
      </w:pPr>
      <w:rPr>
        <w:rFonts w:ascii="Wingdings" w:hAnsi="Wingdings" w:hint="default"/>
      </w:rPr>
    </w:lvl>
  </w:abstractNum>
  <w:abstractNum w:abstractNumId="6" w15:restartNumberingAfterBreak="0">
    <w:nsid w:val="7B3D1DC0"/>
    <w:multiLevelType w:val="hybridMultilevel"/>
    <w:tmpl w:val="F3F6C5A0"/>
    <w:lvl w:ilvl="0" w:tplc="04070001">
      <w:start w:val="1"/>
      <w:numFmt w:val="bullet"/>
      <w:lvlText w:val=""/>
      <w:lvlJc w:val="left"/>
      <w:pPr>
        <w:ind w:left="1202" w:hanging="360"/>
      </w:pPr>
      <w:rPr>
        <w:rFonts w:ascii="Symbol" w:hAnsi="Symbol" w:hint="default"/>
      </w:rPr>
    </w:lvl>
    <w:lvl w:ilvl="1" w:tplc="04070003" w:tentative="1">
      <w:start w:val="1"/>
      <w:numFmt w:val="bullet"/>
      <w:lvlText w:val="o"/>
      <w:lvlJc w:val="left"/>
      <w:pPr>
        <w:ind w:left="1922" w:hanging="360"/>
      </w:pPr>
      <w:rPr>
        <w:rFonts w:ascii="Courier New" w:hAnsi="Courier New" w:cs="Courier New" w:hint="default"/>
      </w:rPr>
    </w:lvl>
    <w:lvl w:ilvl="2" w:tplc="04070005" w:tentative="1">
      <w:start w:val="1"/>
      <w:numFmt w:val="bullet"/>
      <w:lvlText w:val=""/>
      <w:lvlJc w:val="left"/>
      <w:pPr>
        <w:ind w:left="2642" w:hanging="360"/>
      </w:pPr>
      <w:rPr>
        <w:rFonts w:ascii="Wingdings" w:hAnsi="Wingdings" w:hint="default"/>
      </w:rPr>
    </w:lvl>
    <w:lvl w:ilvl="3" w:tplc="04070001" w:tentative="1">
      <w:start w:val="1"/>
      <w:numFmt w:val="bullet"/>
      <w:lvlText w:val=""/>
      <w:lvlJc w:val="left"/>
      <w:pPr>
        <w:ind w:left="3362" w:hanging="360"/>
      </w:pPr>
      <w:rPr>
        <w:rFonts w:ascii="Symbol" w:hAnsi="Symbol" w:hint="default"/>
      </w:rPr>
    </w:lvl>
    <w:lvl w:ilvl="4" w:tplc="04070003" w:tentative="1">
      <w:start w:val="1"/>
      <w:numFmt w:val="bullet"/>
      <w:lvlText w:val="o"/>
      <w:lvlJc w:val="left"/>
      <w:pPr>
        <w:ind w:left="4082" w:hanging="360"/>
      </w:pPr>
      <w:rPr>
        <w:rFonts w:ascii="Courier New" w:hAnsi="Courier New" w:cs="Courier New" w:hint="default"/>
      </w:rPr>
    </w:lvl>
    <w:lvl w:ilvl="5" w:tplc="04070005" w:tentative="1">
      <w:start w:val="1"/>
      <w:numFmt w:val="bullet"/>
      <w:lvlText w:val=""/>
      <w:lvlJc w:val="left"/>
      <w:pPr>
        <w:ind w:left="4802" w:hanging="360"/>
      </w:pPr>
      <w:rPr>
        <w:rFonts w:ascii="Wingdings" w:hAnsi="Wingdings" w:hint="default"/>
      </w:rPr>
    </w:lvl>
    <w:lvl w:ilvl="6" w:tplc="04070001" w:tentative="1">
      <w:start w:val="1"/>
      <w:numFmt w:val="bullet"/>
      <w:lvlText w:val=""/>
      <w:lvlJc w:val="left"/>
      <w:pPr>
        <w:ind w:left="5522" w:hanging="360"/>
      </w:pPr>
      <w:rPr>
        <w:rFonts w:ascii="Symbol" w:hAnsi="Symbol" w:hint="default"/>
      </w:rPr>
    </w:lvl>
    <w:lvl w:ilvl="7" w:tplc="04070003" w:tentative="1">
      <w:start w:val="1"/>
      <w:numFmt w:val="bullet"/>
      <w:lvlText w:val="o"/>
      <w:lvlJc w:val="left"/>
      <w:pPr>
        <w:ind w:left="6242" w:hanging="360"/>
      </w:pPr>
      <w:rPr>
        <w:rFonts w:ascii="Courier New" w:hAnsi="Courier New" w:cs="Courier New" w:hint="default"/>
      </w:rPr>
    </w:lvl>
    <w:lvl w:ilvl="8" w:tplc="04070005" w:tentative="1">
      <w:start w:val="1"/>
      <w:numFmt w:val="bullet"/>
      <w:lvlText w:val=""/>
      <w:lvlJc w:val="left"/>
      <w:pPr>
        <w:ind w:left="6962" w:hanging="360"/>
      </w:pPr>
      <w:rPr>
        <w:rFonts w:ascii="Wingdings" w:hAnsi="Wingdings" w:hint="default"/>
      </w:rPr>
    </w:lvl>
  </w:abstractNum>
  <w:num w:numId="1" w16cid:durableId="1416239992">
    <w:abstractNumId w:val="6"/>
  </w:num>
  <w:num w:numId="2" w16cid:durableId="115759516">
    <w:abstractNumId w:val="5"/>
  </w:num>
  <w:num w:numId="3" w16cid:durableId="1033768937">
    <w:abstractNumId w:val="1"/>
  </w:num>
  <w:num w:numId="4" w16cid:durableId="1485511644">
    <w:abstractNumId w:val="3"/>
  </w:num>
  <w:num w:numId="5" w16cid:durableId="526798438">
    <w:abstractNumId w:val="2"/>
  </w:num>
  <w:num w:numId="6" w16cid:durableId="18891897">
    <w:abstractNumId w:val="0"/>
  </w:num>
  <w:num w:numId="7" w16cid:durableId="14690557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0CC"/>
    <w:rsid w:val="001C62D1"/>
    <w:rsid w:val="003E5664"/>
    <w:rsid w:val="004E55BD"/>
    <w:rsid w:val="007B590F"/>
    <w:rsid w:val="00903ED1"/>
    <w:rsid w:val="009E1335"/>
    <w:rsid w:val="00B06742"/>
    <w:rsid w:val="00B20002"/>
    <w:rsid w:val="00BD40F7"/>
    <w:rsid w:val="00BD6DB3"/>
    <w:rsid w:val="00C13A73"/>
    <w:rsid w:val="00DE40CC"/>
    <w:rsid w:val="00FB55B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74FEE"/>
  <w15:chartTrackingRefBased/>
  <w15:docId w15:val="{F099C144-22F3-470E-9040-A3341295C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heme="minorHAnsi" w:hAnsi="Aptos" w:cs="Arial"/>
        <w:kern w:val="2"/>
        <w:sz w:val="24"/>
        <w:szCs w:val="24"/>
        <w:lang w:val="en-GB" w:eastAsia="en-US" w:bidi="ar-SA"/>
        <w14:ligatures w14:val="standardContextual"/>
      </w:rPr>
    </w:rPrDefault>
    <w:pPrDefault>
      <w:pPr>
        <w:spacing w:after="40" w:line="28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40C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DE40C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E40CC"/>
    <w:pPr>
      <w:keepNext/>
      <w:keepLines/>
      <w:spacing w:before="160" w:after="80"/>
      <w:outlineLvl w:val="2"/>
    </w:pPr>
    <w:rPr>
      <w:rFonts w:asciiTheme="minorHAnsi" w:eastAsiaTheme="majorEastAsia" w:hAnsiTheme="minorHAnsi"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E40CC"/>
    <w:pPr>
      <w:keepNext/>
      <w:keepLines/>
      <w:spacing w:before="8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DE40CC"/>
    <w:pPr>
      <w:keepNext/>
      <w:keepLines/>
      <w:spacing w:before="8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DE40C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E40C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E40C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E40C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40C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DE40C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E40CC"/>
    <w:rPr>
      <w:rFonts w:asciiTheme="minorHAnsi" w:eastAsiaTheme="majorEastAsia" w:hAnsiTheme="minorHAnsi"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E40CC"/>
    <w:rPr>
      <w:rFonts w:asciiTheme="minorHAnsi" w:eastAsiaTheme="majorEastAsia" w:hAnsiTheme="minorHAnsi" w:cstheme="majorBidi"/>
      <w:i/>
      <w:iCs/>
      <w:color w:val="2E74B5" w:themeColor="accent1" w:themeShade="BF"/>
    </w:rPr>
  </w:style>
  <w:style w:type="character" w:customStyle="1" w:styleId="Heading5Char">
    <w:name w:val="Heading 5 Char"/>
    <w:basedOn w:val="DefaultParagraphFont"/>
    <w:link w:val="Heading5"/>
    <w:uiPriority w:val="9"/>
    <w:semiHidden/>
    <w:rsid w:val="00DE40CC"/>
    <w:rPr>
      <w:rFonts w:asciiTheme="minorHAnsi" w:eastAsiaTheme="majorEastAsia" w:hAnsiTheme="minorHAnsi" w:cstheme="majorBidi"/>
      <w:color w:val="2E74B5" w:themeColor="accent1" w:themeShade="BF"/>
    </w:rPr>
  </w:style>
  <w:style w:type="character" w:customStyle="1" w:styleId="Heading6Char">
    <w:name w:val="Heading 6 Char"/>
    <w:basedOn w:val="DefaultParagraphFont"/>
    <w:link w:val="Heading6"/>
    <w:uiPriority w:val="9"/>
    <w:semiHidden/>
    <w:rsid w:val="00DE40C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E40C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E40C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E40C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E40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40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40C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40C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E40C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E40CC"/>
    <w:rPr>
      <w:i/>
      <w:iCs/>
      <w:color w:val="404040" w:themeColor="text1" w:themeTint="BF"/>
    </w:rPr>
  </w:style>
  <w:style w:type="paragraph" w:styleId="ListParagraph">
    <w:name w:val="List Paragraph"/>
    <w:basedOn w:val="Normal"/>
    <w:uiPriority w:val="34"/>
    <w:qFormat/>
    <w:rsid w:val="00DE40CC"/>
    <w:pPr>
      <w:ind w:left="720"/>
      <w:contextualSpacing/>
    </w:pPr>
  </w:style>
  <w:style w:type="character" w:styleId="IntenseEmphasis">
    <w:name w:val="Intense Emphasis"/>
    <w:basedOn w:val="DefaultParagraphFont"/>
    <w:uiPriority w:val="21"/>
    <w:qFormat/>
    <w:rsid w:val="00DE40CC"/>
    <w:rPr>
      <w:i/>
      <w:iCs/>
      <w:color w:val="2E74B5" w:themeColor="accent1" w:themeShade="BF"/>
    </w:rPr>
  </w:style>
  <w:style w:type="paragraph" w:styleId="IntenseQuote">
    <w:name w:val="Intense Quote"/>
    <w:basedOn w:val="Normal"/>
    <w:next w:val="Normal"/>
    <w:link w:val="IntenseQuoteChar"/>
    <w:uiPriority w:val="30"/>
    <w:qFormat/>
    <w:rsid w:val="00DE40C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E40CC"/>
    <w:rPr>
      <w:i/>
      <w:iCs/>
      <w:color w:val="2E74B5" w:themeColor="accent1" w:themeShade="BF"/>
    </w:rPr>
  </w:style>
  <w:style w:type="character" w:styleId="IntenseReference">
    <w:name w:val="Intense Reference"/>
    <w:basedOn w:val="DefaultParagraphFont"/>
    <w:uiPriority w:val="32"/>
    <w:qFormat/>
    <w:rsid w:val="00DE40C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897</Words>
  <Characters>5655</Characters>
  <Application>Microsoft Office Word</Application>
  <DocSecurity>0</DocSecurity>
  <Lines>47</Lines>
  <Paragraphs>13</Paragraphs>
  <ScaleCrop>false</ScaleCrop>
  <Company/>
  <LinksUpToDate>false</LinksUpToDate>
  <CharactersWithSpaces>6539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Dino Constantinou</dc:creator>
  <cp:keywords/>
  <dc:description/>
  <cp:lastModifiedBy>Dino Constantinou</cp:lastModifiedBy>
  <cp:revision>2</cp:revision>
  <cp:lastPrinted>2026-04-29T16:40:00Z</cp:lastPrinted>
  <dcterms:created xsi:type="dcterms:W3CDTF">2026-04-30T13:25:00Z</dcterms:created>
  <dcterms:modified xsi:type="dcterms:W3CDTF">2026-04-30T13:25:00Z</dcterms:modified>
</cp:coreProperties>
</file>