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CC24C" w14:textId="61012205" w:rsidR="006077AB" w:rsidRPr="005F3B42" w:rsidRDefault="00B53EF5">
      <w:pPr>
        <w:spacing w:after="40"/>
        <w:rPr>
          <w:color w:val="000000" w:themeColor="text1"/>
          <w:sz w:val="24"/>
          <w:szCs w:val="24"/>
          <w:lang w:val="en-US"/>
        </w:rPr>
      </w:pPr>
      <w:r w:rsidRPr="005F3B42">
        <w:rPr>
          <w:color w:val="000000" w:themeColor="text1"/>
          <w:sz w:val="28"/>
          <w:szCs w:val="28"/>
          <w:lang w:val="en-US"/>
        </w:rPr>
        <w:t>EPC Agreement v5.1 &amp; OEM Direct Warranty Undertakings</w:t>
      </w:r>
    </w:p>
    <w:p w14:paraId="090D248D" w14:textId="0177F281" w:rsidR="00B53EF5" w:rsidRPr="00E667B6" w:rsidRDefault="00B53EF5" w:rsidP="00B53EF5">
      <w:pPr>
        <w:spacing w:after="40"/>
        <w:rPr>
          <w:color w:val="000000" w:themeColor="text1"/>
          <w:lang w:val="en-US"/>
        </w:rPr>
      </w:pPr>
      <w:r w:rsidRPr="00E667B6">
        <w:rPr>
          <w:color w:val="000000" w:themeColor="text1"/>
          <w:lang w:val="en-US"/>
        </w:rPr>
        <w:t xml:space="preserve">Galascope Ltd / Lighthief Cyprus </w:t>
      </w:r>
      <w:proofErr w:type="gramStart"/>
      <w:r w:rsidRPr="00E667B6">
        <w:rPr>
          <w:color w:val="000000" w:themeColor="text1"/>
          <w:lang w:val="en-US"/>
        </w:rPr>
        <w:t>Ltd</w:t>
      </w:r>
      <w:r w:rsidRPr="00B53EF5">
        <w:rPr>
          <w:color w:val="000000" w:themeColor="text1"/>
          <w:lang w:val="en-US"/>
        </w:rPr>
        <w:t>,</w:t>
      </w:r>
      <w:r w:rsidRPr="00E667B6">
        <w:rPr>
          <w:color w:val="000000" w:themeColor="text1"/>
          <w:lang w:val="en-US"/>
        </w:rPr>
        <w:t xml:space="preserve">  May</w:t>
      </w:r>
      <w:proofErr w:type="gramEnd"/>
      <w:r w:rsidRPr="00E667B6">
        <w:rPr>
          <w:color w:val="000000" w:themeColor="text1"/>
          <w:lang w:val="en-US"/>
        </w:rPr>
        <w:t xml:space="preserve"> 2026</w:t>
      </w:r>
    </w:p>
    <w:p w14:paraId="42EBFD41" w14:textId="719EFA0E" w:rsidR="006077AB" w:rsidRPr="00E667B6" w:rsidRDefault="00B53EF5" w:rsidP="00E667B6">
      <w:pPr>
        <w:spacing w:before="30" w:after="40"/>
        <w:rPr>
          <w:lang w:val="en-US"/>
        </w:rPr>
      </w:pPr>
      <w:r w:rsidRPr="00E667B6">
        <w:rPr>
          <w:lang w:val="en-US"/>
        </w:rPr>
        <w:t>For the avoidance of doubt, this note focuses only on the outstanding issues. Many points raised in earlier rounds have been satisfactorily resolved and are not repeated here.</w:t>
      </w:r>
    </w:p>
    <w:p w14:paraId="563143E8" w14:textId="4E0BC586" w:rsidR="006077AB" w:rsidRPr="00E667B6" w:rsidRDefault="00B53EF5" w:rsidP="00E667B6">
      <w:pPr>
        <w:pBdr>
          <w:bottom w:val="single" w:sz="4" w:space="4" w:color="333333"/>
        </w:pBdr>
        <w:spacing w:before="240" w:after="60"/>
        <w:rPr>
          <w:lang w:val="en-US"/>
        </w:rPr>
      </w:pPr>
      <w:r w:rsidRPr="00E667B6">
        <w:rPr>
          <w:b/>
          <w:bCs/>
          <w:sz w:val="28"/>
          <w:szCs w:val="28"/>
          <w:lang w:val="en-US"/>
        </w:rPr>
        <w:t>PART 1 — EPC AGREEMENT v5.1</w:t>
      </w:r>
    </w:p>
    <w:p w14:paraId="0653A7D2" w14:textId="2141D6C8" w:rsidR="006077AB" w:rsidRPr="00E667B6" w:rsidRDefault="00E667B6">
      <w:pPr>
        <w:spacing w:before="200" w:after="60"/>
        <w:rPr>
          <w:lang w:val="en-US"/>
        </w:rPr>
      </w:pPr>
      <w:r>
        <w:rPr>
          <w:b/>
          <w:bCs/>
          <w:sz w:val="22"/>
          <w:szCs w:val="22"/>
          <w:lang w:val="en-US"/>
        </w:rPr>
        <w:t>1</w:t>
      </w:r>
      <w:r w:rsidR="00B53EF5" w:rsidRPr="00E667B6">
        <w:rPr>
          <w:b/>
          <w:bCs/>
          <w:sz w:val="22"/>
          <w:szCs w:val="22"/>
          <w:lang w:val="en-US"/>
        </w:rPr>
        <w:t>.  Upstream Force Majeure Flow-Through — No Right to Dispute [HIGH RISK]</w:t>
      </w:r>
    </w:p>
    <w:p w14:paraId="5259DCAF" w14:textId="77777777" w:rsidR="006077AB" w:rsidRPr="00E667B6" w:rsidRDefault="00B53EF5">
      <w:pPr>
        <w:spacing w:before="80" w:after="30"/>
        <w:rPr>
          <w:lang w:val="en-US"/>
        </w:rPr>
      </w:pPr>
      <w:r w:rsidRPr="00E667B6">
        <w:rPr>
          <w:b/>
          <w:bCs/>
          <w:color w:val="333333"/>
          <w:lang w:val="en-US"/>
        </w:rPr>
        <w:t>Clause:</w:t>
      </w:r>
    </w:p>
    <w:p w14:paraId="5C7404A8" w14:textId="77777777" w:rsidR="006077AB" w:rsidRPr="00E667B6" w:rsidRDefault="00B53EF5">
      <w:pPr>
        <w:spacing w:before="30" w:after="40"/>
        <w:rPr>
          <w:lang w:val="en-US"/>
        </w:rPr>
      </w:pPr>
      <w:r w:rsidRPr="00E667B6">
        <w:rPr>
          <w:lang w:val="en-US"/>
        </w:rPr>
        <w:t>EPC Section 8.4.7A</w:t>
      </w:r>
    </w:p>
    <w:p w14:paraId="69E38E20" w14:textId="77777777" w:rsidR="006077AB" w:rsidRPr="00E667B6" w:rsidRDefault="00B53EF5">
      <w:pPr>
        <w:spacing w:before="80" w:after="30"/>
        <w:rPr>
          <w:lang w:val="en-US"/>
        </w:rPr>
      </w:pPr>
      <w:r w:rsidRPr="00E667B6">
        <w:rPr>
          <w:b/>
          <w:bCs/>
          <w:color w:val="333333"/>
          <w:lang w:val="en-US"/>
        </w:rPr>
        <w:t>Current drafting:</w:t>
      </w:r>
    </w:p>
    <w:p w14:paraId="59D04D72" w14:textId="77777777" w:rsidR="006077AB" w:rsidRPr="00E667B6" w:rsidRDefault="00B53EF5">
      <w:pPr>
        <w:spacing w:before="30" w:after="40"/>
        <w:rPr>
          <w:lang w:val="en-US"/>
        </w:rPr>
      </w:pPr>
      <w:r w:rsidRPr="00E667B6">
        <w:rPr>
          <w:lang w:val="en-US"/>
        </w:rPr>
        <w:t>"Where the OEM has formally notified the Contractor in writing of a Force Majeure event under the upstream supply contract... the Contractor may declare the same event as Force Majeure under this Agreement, provided the Contractor gives written notice to the Client within seven (7) Business Days of receiving the OEM's notification, including a copy of the OEM's Force Majeure notice. The Target PAC Date shall extend for the same duration as the OEM's Force Majeure period."</w:t>
      </w:r>
    </w:p>
    <w:p w14:paraId="2737F6DE" w14:textId="77777777" w:rsidR="006077AB" w:rsidRPr="00E667B6" w:rsidRDefault="00B53EF5">
      <w:pPr>
        <w:spacing w:before="80" w:after="30"/>
        <w:rPr>
          <w:lang w:val="en-US"/>
        </w:rPr>
      </w:pPr>
      <w:r w:rsidRPr="00E667B6">
        <w:rPr>
          <w:b/>
          <w:bCs/>
          <w:color w:val="333333"/>
          <w:lang w:val="en-US"/>
        </w:rPr>
        <w:t>Problem:</w:t>
      </w:r>
    </w:p>
    <w:p w14:paraId="29065E11" w14:textId="77777777" w:rsidR="006077AB" w:rsidRPr="00E667B6" w:rsidRDefault="00B53EF5">
      <w:pPr>
        <w:spacing w:before="30" w:after="40"/>
        <w:rPr>
          <w:lang w:val="en-US"/>
        </w:rPr>
      </w:pPr>
      <w:r w:rsidRPr="00E667B6">
        <w:rPr>
          <w:lang w:val="en-US"/>
        </w:rPr>
        <w:t>This provision allows the Contractor to pass through an OEM Force Majeure declaration automatically and without question. The condition precedent is simply that the OEM has issued a FM notice — there is no requirement for independent verification and no right for Galascope to dispute whether the event actually qualifies as FM under the EPC definition. In practice, if Linyang declares FM for a production delay that is in fact an ordinary commercial delay (e.g. raw material sourcing difficulties which are expressly excluded from FM under Section 12.1 of the EPC), the Contractor passes this through to Galascope and the Target PAC Date extends with no LD liability. Galascope would have no mechanism to challenge this.</w:t>
      </w:r>
    </w:p>
    <w:p w14:paraId="74538D96" w14:textId="77777777" w:rsidR="006077AB" w:rsidRPr="00E667B6" w:rsidRDefault="00B53EF5">
      <w:pPr>
        <w:spacing w:before="80" w:after="30"/>
        <w:rPr>
          <w:lang w:val="en-US"/>
        </w:rPr>
      </w:pPr>
      <w:r w:rsidRPr="00E667B6">
        <w:rPr>
          <w:b/>
          <w:bCs/>
          <w:color w:val="333333"/>
          <w:lang w:val="en-US"/>
        </w:rPr>
        <w:t>Proposed amendment to Section 8.4.7A — add the following at the end:</w:t>
      </w:r>
    </w:p>
    <w:p w14:paraId="446BA469" w14:textId="77777777" w:rsidR="006077AB" w:rsidRPr="00E667B6" w:rsidRDefault="00B53EF5">
      <w:pPr>
        <w:pBdr>
          <w:left w:val="single" w:sz="8" w:space="8" w:color="555555"/>
        </w:pBdr>
        <w:spacing w:before="30" w:after="40"/>
        <w:ind w:left="400"/>
        <w:rPr>
          <w:lang w:val="en-US"/>
        </w:rPr>
      </w:pPr>
      <w:r w:rsidRPr="00E667B6">
        <w:rPr>
          <w:i/>
          <w:iCs/>
          <w:lang w:val="en-US"/>
        </w:rPr>
        <w:t xml:space="preserve">"(b) Upon receipt of the Contractor's notice under Section 8.4.7A, the Client shall have ten (10) Business Days to notify the Contractor in writing that it disputes whether the OEM's declared event constitutes a Force Majeure event under this Agreement. (c) Where the Client disputes the OEM FM declaration, the Contractor shall use reasonable </w:t>
      </w:r>
      <w:proofErr w:type="spellStart"/>
      <w:r w:rsidRPr="00E667B6">
        <w:rPr>
          <w:i/>
          <w:iCs/>
          <w:lang w:val="en-US"/>
        </w:rPr>
        <w:t>endeavours</w:t>
      </w:r>
      <w:proofErr w:type="spellEnd"/>
      <w:r w:rsidRPr="00E667B6">
        <w:rPr>
          <w:i/>
          <w:iCs/>
          <w:lang w:val="en-US"/>
        </w:rPr>
        <w:t xml:space="preserve"> to challenge the OEM's declaration under the upstream supply agreement and shall provide the Client with reasonable evidence of the OEM's claimed FM event within fourteen (14) days of the Client's dispute notice. (d) Any disputed Upstream FM extension shall be referred to the dispute resolution procedure under Section 15.3 if not resolved within thirty (30) days of the Client's dispute notice. No Target PAC Date extension shall be deemed agreed during the dispute period."</w:t>
      </w:r>
    </w:p>
    <w:p w14:paraId="708F1FCA" w14:textId="77777777" w:rsidR="006077AB" w:rsidRPr="00E667B6" w:rsidRDefault="006077AB">
      <w:pPr>
        <w:pBdr>
          <w:bottom w:val="single" w:sz="2" w:space="4" w:color="CCCCCC"/>
        </w:pBdr>
        <w:spacing w:before="120"/>
        <w:rPr>
          <w:lang w:val="en-US"/>
        </w:rPr>
      </w:pPr>
    </w:p>
    <w:p w14:paraId="3DC38BCF" w14:textId="43678AB5" w:rsidR="006077AB" w:rsidRPr="00E667B6" w:rsidRDefault="00E667B6">
      <w:pPr>
        <w:spacing w:before="200" w:after="60"/>
        <w:rPr>
          <w:lang w:val="en-US"/>
        </w:rPr>
      </w:pPr>
      <w:r>
        <w:rPr>
          <w:b/>
          <w:bCs/>
          <w:sz w:val="22"/>
          <w:szCs w:val="22"/>
          <w:lang w:val="en-US"/>
        </w:rPr>
        <w:t>2</w:t>
      </w:r>
      <w:r w:rsidR="00B53EF5" w:rsidRPr="00E667B6">
        <w:rPr>
          <w:b/>
          <w:bCs/>
          <w:sz w:val="22"/>
          <w:szCs w:val="22"/>
          <w:lang w:val="en-US"/>
        </w:rPr>
        <w:t>.  Indicative / Confirmed Price Mechanism — Information Asymmetry [MEDIUM-HIGH RISK]</w:t>
      </w:r>
    </w:p>
    <w:p w14:paraId="11D74EC2" w14:textId="77777777" w:rsidR="006077AB" w:rsidRPr="00E667B6" w:rsidRDefault="00B53EF5">
      <w:pPr>
        <w:spacing w:before="80" w:after="30"/>
        <w:rPr>
          <w:lang w:val="en-US"/>
        </w:rPr>
      </w:pPr>
      <w:r w:rsidRPr="00E667B6">
        <w:rPr>
          <w:b/>
          <w:bCs/>
          <w:color w:val="333333"/>
          <w:lang w:val="en-US"/>
        </w:rPr>
        <w:t>Clause:</w:t>
      </w:r>
    </w:p>
    <w:p w14:paraId="0BF511B1" w14:textId="77777777" w:rsidR="006077AB" w:rsidRPr="00E667B6" w:rsidRDefault="00B53EF5">
      <w:pPr>
        <w:spacing w:before="30" w:after="40"/>
        <w:rPr>
          <w:lang w:val="en-US"/>
        </w:rPr>
      </w:pPr>
      <w:r w:rsidRPr="00E667B6">
        <w:rPr>
          <w:lang w:val="en-US"/>
        </w:rPr>
        <w:t>EPC Section 6.1(b), (c), (d)</w:t>
      </w:r>
    </w:p>
    <w:p w14:paraId="53B46307" w14:textId="77777777" w:rsidR="006077AB" w:rsidRPr="00E667B6" w:rsidRDefault="00B53EF5">
      <w:pPr>
        <w:spacing w:before="80" w:after="30"/>
        <w:rPr>
          <w:lang w:val="en-US"/>
        </w:rPr>
      </w:pPr>
      <w:r w:rsidRPr="00E667B6">
        <w:rPr>
          <w:b/>
          <w:bCs/>
          <w:color w:val="333333"/>
          <w:lang w:val="en-US"/>
        </w:rPr>
        <w:t>Current drafting:</w:t>
      </w:r>
    </w:p>
    <w:p w14:paraId="4A47F86E" w14:textId="77777777" w:rsidR="006077AB" w:rsidRPr="00E667B6" w:rsidRDefault="00B53EF5">
      <w:pPr>
        <w:spacing w:before="30" w:after="40"/>
        <w:rPr>
          <w:lang w:val="en-US"/>
        </w:rPr>
      </w:pPr>
      <w:r w:rsidRPr="00E667B6">
        <w:rPr>
          <w:lang w:val="en-US"/>
        </w:rPr>
        <w:t>"Within fourteen (14) days following the Client's receipt of Connection Terms, the Contractor shall issue a Confirmed Price Certificate, fixing the final Contract Price... The Confirmed Price shall equal the Indicative Price, save where [lithium carbonate index moves &gt;10% or EUR/CNY moves &gt;8</w:t>
      </w:r>
      <w:proofErr w:type="gramStart"/>
      <w:r w:rsidRPr="00E667B6">
        <w:rPr>
          <w:lang w:val="en-US"/>
        </w:rPr>
        <w:t>%]...</w:t>
      </w:r>
      <w:proofErr w:type="gramEnd"/>
      <w:r w:rsidRPr="00E667B6">
        <w:rPr>
          <w:lang w:val="en-US"/>
        </w:rPr>
        <w:t xml:space="preserve"> Any upward adjustment shall not exceed five percent (5%) of the Indicative Contract Price."</w:t>
      </w:r>
    </w:p>
    <w:p w14:paraId="46127B96" w14:textId="77777777" w:rsidR="006077AB" w:rsidRPr="00E667B6" w:rsidRDefault="00B53EF5">
      <w:pPr>
        <w:spacing w:before="80" w:after="30"/>
        <w:rPr>
          <w:lang w:val="en-US"/>
        </w:rPr>
      </w:pPr>
      <w:r w:rsidRPr="00E667B6">
        <w:rPr>
          <w:b/>
          <w:bCs/>
          <w:color w:val="333333"/>
          <w:lang w:val="en-US"/>
        </w:rPr>
        <w:t>Problem:</w:t>
      </w:r>
    </w:p>
    <w:p w14:paraId="4E1C0B59" w14:textId="77777777" w:rsidR="006077AB" w:rsidRPr="00E667B6" w:rsidRDefault="00B53EF5">
      <w:pPr>
        <w:spacing w:before="30" w:after="40"/>
        <w:rPr>
          <w:lang w:val="en-US"/>
        </w:rPr>
      </w:pPr>
      <w:r w:rsidRPr="00E667B6">
        <w:rPr>
          <w:lang w:val="en-US"/>
        </w:rPr>
        <w:t xml:space="preserve">The Confirmed Price Certificate is issued unilaterally by the Contractor. Galascope has no independent access to the </w:t>
      </w:r>
      <w:proofErr w:type="spellStart"/>
      <w:r w:rsidRPr="00E667B6">
        <w:rPr>
          <w:lang w:val="en-US"/>
        </w:rPr>
        <w:t>Mysteel</w:t>
      </w:r>
      <w:proofErr w:type="spellEnd"/>
      <w:r w:rsidRPr="00E667B6">
        <w:rPr>
          <w:lang w:val="en-US"/>
        </w:rPr>
        <w:t xml:space="preserve"> lithium carbonate index or the EUR/CNY reference rate, and no right under the current drafting to verify or dispute the Contractor's calculation. The walk-away right if adjustment exceeds 5% is available to either party — meaning the Contractor can also walk away at that point, which provides limited comfort to Galascope. Section 6.1(e) says the Contractor cannot pass through its own-delay cost increases, but there is no verification mechanism. Galascope could face a 5% price increase (approximately EUR 172,215) with no ability to check the underlying numbers.</w:t>
      </w:r>
    </w:p>
    <w:p w14:paraId="24EC37B7" w14:textId="77777777" w:rsidR="006077AB" w:rsidRPr="00E667B6" w:rsidRDefault="00B53EF5">
      <w:pPr>
        <w:spacing w:before="80" w:after="30"/>
        <w:rPr>
          <w:lang w:val="en-US"/>
        </w:rPr>
      </w:pPr>
      <w:r w:rsidRPr="00E667B6">
        <w:rPr>
          <w:b/>
          <w:bCs/>
          <w:color w:val="333333"/>
          <w:lang w:val="en-US"/>
        </w:rPr>
        <w:t>Proposed amendments to Section 6.1:</w:t>
      </w:r>
    </w:p>
    <w:p w14:paraId="15222DEA" w14:textId="77777777" w:rsidR="006077AB" w:rsidRPr="00E667B6" w:rsidRDefault="00B53EF5">
      <w:pPr>
        <w:pBdr>
          <w:left w:val="single" w:sz="8" w:space="8" w:color="555555"/>
        </w:pBdr>
        <w:spacing w:before="30" w:after="40"/>
        <w:ind w:left="400"/>
        <w:rPr>
          <w:lang w:val="en-US"/>
        </w:rPr>
      </w:pPr>
      <w:r w:rsidRPr="00E667B6">
        <w:rPr>
          <w:i/>
          <w:iCs/>
          <w:lang w:val="en-US"/>
        </w:rPr>
        <w:t>Add new sub-clause (g): "The Confirmed Price Certificate shall set out in full: (</w:t>
      </w:r>
      <w:proofErr w:type="spellStart"/>
      <w:r w:rsidRPr="00E667B6">
        <w:rPr>
          <w:i/>
          <w:iCs/>
          <w:lang w:val="en-US"/>
        </w:rPr>
        <w:t>i</w:t>
      </w:r>
      <w:proofErr w:type="spellEnd"/>
      <w:r w:rsidRPr="00E667B6">
        <w:rPr>
          <w:i/>
          <w:iCs/>
          <w:lang w:val="en-US"/>
        </w:rPr>
        <w:t xml:space="preserve">) the current lithium carbonate index value as published by </w:t>
      </w:r>
      <w:proofErr w:type="spellStart"/>
      <w:r w:rsidRPr="00E667B6">
        <w:rPr>
          <w:i/>
          <w:iCs/>
          <w:lang w:val="en-US"/>
        </w:rPr>
        <w:t>Mysteel</w:t>
      </w:r>
      <w:proofErr w:type="spellEnd"/>
      <w:r w:rsidRPr="00E667B6">
        <w:rPr>
          <w:i/>
          <w:iCs/>
          <w:lang w:val="en-US"/>
        </w:rPr>
        <w:t>; (ii) the current EUR/CNY spot rate as at the date of the Certificate; (iii) the calculation methodology applied; and (iv) the resulting price adjustment (if any). The Client shall have fourteen (14) days from receipt of the Confirmed Price Certificate to notify the Contractor of any dispute. If disputed and not agreed within a further ten (10) Business Days, either Party may refer the matter to an independent expert for determination, whose decision shall be final and binding. Costs of the expert shall be borne by the Party whose position is further from the expert's determination."</w:t>
      </w:r>
    </w:p>
    <w:p w14:paraId="5B4839F4" w14:textId="77777777" w:rsidR="006077AB" w:rsidRPr="00E667B6" w:rsidRDefault="006077AB">
      <w:pPr>
        <w:pBdr>
          <w:bottom w:val="single" w:sz="2" w:space="4" w:color="CCCCCC"/>
        </w:pBdr>
        <w:spacing w:before="120"/>
        <w:rPr>
          <w:lang w:val="en-US"/>
        </w:rPr>
      </w:pPr>
    </w:p>
    <w:p w14:paraId="7CE43E92" w14:textId="3FB86D31" w:rsidR="006077AB" w:rsidRPr="00E667B6" w:rsidRDefault="00E667B6">
      <w:pPr>
        <w:spacing w:before="200" w:after="60"/>
        <w:rPr>
          <w:lang w:val="en-US"/>
        </w:rPr>
      </w:pPr>
      <w:r>
        <w:rPr>
          <w:b/>
          <w:bCs/>
          <w:sz w:val="22"/>
          <w:szCs w:val="22"/>
          <w:lang w:val="en-US"/>
        </w:rPr>
        <w:t>3</w:t>
      </w:r>
      <w:r w:rsidR="00B53EF5" w:rsidRPr="00E667B6">
        <w:rPr>
          <w:b/>
          <w:bCs/>
          <w:sz w:val="22"/>
          <w:szCs w:val="22"/>
          <w:lang w:val="en-US"/>
        </w:rPr>
        <w:t xml:space="preserve">.  Defects Liability Period — Only 3 Months </w:t>
      </w:r>
    </w:p>
    <w:p w14:paraId="5B416DAF" w14:textId="77777777" w:rsidR="006077AB" w:rsidRPr="00E667B6" w:rsidRDefault="00B53EF5">
      <w:pPr>
        <w:spacing w:before="80" w:after="30"/>
        <w:rPr>
          <w:lang w:val="en-US"/>
        </w:rPr>
      </w:pPr>
      <w:r w:rsidRPr="00E667B6">
        <w:rPr>
          <w:b/>
          <w:bCs/>
          <w:color w:val="333333"/>
          <w:lang w:val="en-US"/>
        </w:rPr>
        <w:t>Clause:</w:t>
      </w:r>
    </w:p>
    <w:p w14:paraId="7819BC25" w14:textId="77777777" w:rsidR="006077AB" w:rsidRPr="00E667B6" w:rsidRDefault="00B53EF5">
      <w:pPr>
        <w:spacing w:before="30" w:after="40"/>
        <w:rPr>
          <w:lang w:val="en-US"/>
        </w:rPr>
      </w:pPr>
      <w:r w:rsidRPr="00E667B6">
        <w:rPr>
          <w:lang w:val="en-US"/>
        </w:rPr>
        <w:t>EPC Section 3.1 (definition of Defects Liability Period), Section 7.4, Section 9.2</w:t>
      </w:r>
    </w:p>
    <w:p w14:paraId="0E53D506" w14:textId="77777777" w:rsidR="006077AB" w:rsidRPr="00E667B6" w:rsidRDefault="00B53EF5">
      <w:pPr>
        <w:spacing w:before="80" w:after="30"/>
        <w:rPr>
          <w:lang w:val="en-US"/>
        </w:rPr>
      </w:pPr>
      <w:r w:rsidRPr="00E667B6">
        <w:rPr>
          <w:b/>
          <w:bCs/>
          <w:color w:val="333333"/>
          <w:lang w:val="en-US"/>
        </w:rPr>
        <w:t>Current drafting:</w:t>
      </w:r>
    </w:p>
    <w:p w14:paraId="41200B24" w14:textId="77777777" w:rsidR="006077AB" w:rsidRPr="00E667B6" w:rsidRDefault="00B53EF5">
      <w:pPr>
        <w:spacing w:before="30" w:after="40"/>
        <w:rPr>
          <w:lang w:val="en-US"/>
        </w:rPr>
      </w:pPr>
      <w:r w:rsidRPr="00E667B6">
        <w:rPr>
          <w:lang w:val="en-US"/>
        </w:rPr>
        <w:t>"'Defects Liability Period' means the period of three (3) months commencing from the date of PAC..." Retention is released at the end of the DLP per Section 7.4(b).</w:t>
      </w:r>
    </w:p>
    <w:p w14:paraId="05583441" w14:textId="77777777" w:rsidR="006077AB" w:rsidRPr="00E667B6" w:rsidRDefault="00B53EF5">
      <w:pPr>
        <w:spacing w:before="80" w:after="30"/>
        <w:rPr>
          <w:lang w:val="en-US"/>
        </w:rPr>
      </w:pPr>
      <w:r w:rsidRPr="00E667B6">
        <w:rPr>
          <w:b/>
          <w:bCs/>
          <w:color w:val="333333"/>
          <w:lang w:val="en-US"/>
        </w:rPr>
        <w:t>Problem:</w:t>
      </w:r>
    </w:p>
    <w:p w14:paraId="2EDBD817" w14:textId="77777777" w:rsidR="00E667B6" w:rsidRDefault="00B53EF5">
      <w:pPr>
        <w:spacing w:before="30" w:after="40"/>
        <w:rPr>
          <w:lang w:val="en-US"/>
        </w:rPr>
      </w:pPr>
      <w:r w:rsidRPr="00E667B6">
        <w:rPr>
          <w:lang w:val="en-US"/>
        </w:rPr>
        <w:t xml:space="preserve">Three months is short for a BESS system of this scale installed in Cyprus. Seasonal thermal cycling, grid dispatch patterns, and commissioning loads mean that certain defects — particularly in cooling systems, BMS calibration, and cell degradation — </w:t>
      </w:r>
      <w:r w:rsidR="00E667B6">
        <w:rPr>
          <w:lang w:val="en-US"/>
        </w:rPr>
        <w:t>may</w:t>
      </w:r>
      <w:r w:rsidRPr="00E667B6">
        <w:rPr>
          <w:lang w:val="en-US"/>
        </w:rPr>
        <w:t xml:space="preserve"> not manifest within 3 months of commissioning. </w:t>
      </w:r>
    </w:p>
    <w:p w14:paraId="23D962BA" w14:textId="189F4EE7" w:rsidR="006077AB" w:rsidRPr="00E667B6" w:rsidRDefault="00B53EF5">
      <w:pPr>
        <w:spacing w:before="30" w:after="40"/>
        <w:rPr>
          <w:lang w:val="en-US"/>
        </w:rPr>
      </w:pPr>
      <w:r w:rsidRPr="00E667B6">
        <w:rPr>
          <w:lang w:val="en-US"/>
        </w:rPr>
        <w:t xml:space="preserve">Once Retention is released at 3 months, there is no financial holdback to </w:t>
      </w:r>
      <w:r w:rsidR="00E667B6" w:rsidRPr="00E667B6">
        <w:rPr>
          <w:lang w:val="en-US"/>
        </w:rPr>
        <w:t>incentivize</w:t>
      </w:r>
      <w:r w:rsidRPr="00E667B6">
        <w:rPr>
          <w:lang w:val="en-US"/>
        </w:rPr>
        <w:t xml:space="preserve"> prompt defect rectification during the remaining 57 months of the 5-year warranty period. The 5-year warranty continues but without the Contractor having any financial skin in the game after month 3. Industry standard for BESS EPC in Europe is 6 to 12 months DLP.</w:t>
      </w:r>
    </w:p>
    <w:p w14:paraId="65AD4D7D" w14:textId="77777777" w:rsidR="006077AB" w:rsidRPr="00E667B6" w:rsidRDefault="00B53EF5">
      <w:pPr>
        <w:spacing w:before="80" w:after="30"/>
        <w:rPr>
          <w:lang w:val="en-US"/>
        </w:rPr>
      </w:pPr>
      <w:r w:rsidRPr="00E667B6">
        <w:rPr>
          <w:b/>
          <w:bCs/>
          <w:color w:val="333333"/>
          <w:lang w:val="en-US"/>
        </w:rPr>
        <w:t>Proposed amendment — Section 3.1 definition and Sections 7.4 / 9.2:</w:t>
      </w:r>
    </w:p>
    <w:p w14:paraId="44829F08" w14:textId="77777777" w:rsidR="006077AB" w:rsidRPr="00E667B6" w:rsidRDefault="00B53EF5">
      <w:pPr>
        <w:pBdr>
          <w:left w:val="single" w:sz="8" w:space="8" w:color="555555"/>
        </w:pBdr>
        <w:spacing w:before="30" w:after="40"/>
        <w:ind w:left="400"/>
        <w:rPr>
          <w:lang w:val="en-US"/>
        </w:rPr>
      </w:pPr>
      <w:r w:rsidRPr="00E667B6">
        <w:rPr>
          <w:i/>
          <w:iCs/>
          <w:lang w:val="en-US"/>
        </w:rPr>
        <w:t>Change "three (3) months" to "six (6) months" in the definition of Defects Liability Period and in all cross-references in Sections 7.4 and 9.2. Consequential amendment to Schedule A Part 3 Key Dates: DLP End to read "6 months post-PAC (approx. July 2027)" and Retention Release to match.</w:t>
      </w:r>
    </w:p>
    <w:p w14:paraId="621BE1F3" w14:textId="77777777" w:rsidR="006077AB" w:rsidRPr="00E667B6" w:rsidRDefault="006077AB">
      <w:pPr>
        <w:pBdr>
          <w:bottom w:val="single" w:sz="2" w:space="4" w:color="CCCCCC"/>
        </w:pBdr>
        <w:spacing w:before="120"/>
        <w:rPr>
          <w:lang w:val="en-US"/>
        </w:rPr>
      </w:pPr>
    </w:p>
    <w:p w14:paraId="62B824A1" w14:textId="1D564774" w:rsidR="006077AB" w:rsidRPr="00E667B6" w:rsidRDefault="00E667B6">
      <w:pPr>
        <w:spacing w:before="200" w:after="60"/>
        <w:rPr>
          <w:lang w:val="en-US"/>
        </w:rPr>
      </w:pPr>
      <w:r>
        <w:rPr>
          <w:b/>
          <w:bCs/>
          <w:sz w:val="22"/>
          <w:szCs w:val="22"/>
          <w:lang w:val="en-US"/>
        </w:rPr>
        <w:t>4</w:t>
      </w:r>
      <w:r w:rsidR="00B53EF5" w:rsidRPr="00E667B6">
        <w:rPr>
          <w:b/>
          <w:bCs/>
          <w:sz w:val="22"/>
          <w:szCs w:val="22"/>
          <w:lang w:val="en-US"/>
        </w:rPr>
        <w:t xml:space="preserve">.  </w:t>
      </w:r>
      <w:proofErr w:type="spellStart"/>
      <w:r w:rsidR="00B53EF5" w:rsidRPr="00E667B6">
        <w:rPr>
          <w:b/>
          <w:bCs/>
          <w:sz w:val="22"/>
          <w:szCs w:val="22"/>
          <w:lang w:val="en-US"/>
        </w:rPr>
        <w:t>APG</w:t>
      </w:r>
      <w:proofErr w:type="spellEnd"/>
      <w:r w:rsidR="00B53EF5" w:rsidRPr="00E667B6">
        <w:rPr>
          <w:b/>
          <w:bCs/>
          <w:sz w:val="22"/>
          <w:szCs w:val="22"/>
          <w:lang w:val="en-US"/>
        </w:rPr>
        <w:t xml:space="preserve"> Expires Before PAC — Uncovered Window </w:t>
      </w:r>
    </w:p>
    <w:p w14:paraId="4D623045" w14:textId="77777777" w:rsidR="006077AB" w:rsidRPr="00E667B6" w:rsidRDefault="00B53EF5">
      <w:pPr>
        <w:spacing w:before="80" w:after="30"/>
        <w:rPr>
          <w:lang w:val="en-US"/>
        </w:rPr>
      </w:pPr>
      <w:r w:rsidRPr="00E667B6">
        <w:rPr>
          <w:b/>
          <w:bCs/>
          <w:color w:val="333333"/>
          <w:lang w:val="en-US"/>
        </w:rPr>
        <w:t>Clause:</w:t>
      </w:r>
    </w:p>
    <w:p w14:paraId="4AE2A39A" w14:textId="77777777" w:rsidR="006077AB" w:rsidRPr="00E667B6" w:rsidRDefault="00B53EF5">
      <w:pPr>
        <w:spacing w:before="30" w:after="40"/>
        <w:rPr>
          <w:lang w:val="en-US"/>
        </w:rPr>
      </w:pPr>
      <w:r w:rsidRPr="00E667B6">
        <w:rPr>
          <w:lang w:val="en-US"/>
        </w:rPr>
        <w:t>EPC Section 10.9(d)</w:t>
      </w:r>
    </w:p>
    <w:p w14:paraId="73AB314B" w14:textId="77777777" w:rsidR="006077AB" w:rsidRPr="00E667B6" w:rsidRDefault="00B53EF5">
      <w:pPr>
        <w:spacing w:before="80" w:after="30"/>
        <w:rPr>
          <w:lang w:val="en-US"/>
        </w:rPr>
      </w:pPr>
      <w:r w:rsidRPr="00E667B6">
        <w:rPr>
          <w:b/>
          <w:bCs/>
          <w:color w:val="333333"/>
          <w:lang w:val="en-US"/>
        </w:rPr>
        <w:t>Current drafting:</w:t>
      </w:r>
    </w:p>
    <w:p w14:paraId="098F0F19" w14:textId="77777777" w:rsidR="006077AB" w:rsidRPr="00E667B6" w:rsidRDefault="00B53EF5">
      <w:pPr>
        <w:spacing w:before="30" w:after="40"/>
        <w:rPr>
          <w:lang w:val="en-US"/>
        </w:rPr>
      </w:pPr>
      <w:r w:rsidRPr="00E667B6">
        <w:rPr>
          <w:lang w:val="en-US"/>
        </w:rPr>
        <w:t xml:space="preserve">"The </w:t>
      </w:r>
      <w:proofErr w:type="spellStart"/>
      <w:r w:rsidRPr="00E667B6">
        <w:rPr>
          <w:lang w:val="en-US"/>
        </w:rPr>
        <w:t>APG</w:t>
      </w:r>
      <w:proofErr w:type="spellEnd"/>
      <w:r w:rsidRPr="00E667B6">
        <w:rPr>
          <w:lang w:val="en-US"/>
        </w:rPr>
        <w:t xml:space="preserve"> shall remain valid until equipment delivery to Site plus thirty (30) days."</w:t>
      </w:r>
    </w:p>
    <w:p w14:paraId="5042E781" w14:textId="77777777" w:rsidR="006077AB" w:rsidRPr="00E667B6" w:rsidRDefault="00B53EF5">
      <w:pPr>
        <w:spacing w:before="80" w:after="30"/>
        <w:rPr>
          <w:lang w:val="en-US"/>
        </w:rPr>
      </w:pPr>
      <w:r w:rsidRPr="00E667B6">
        <w:rPr>
          <w:b/>
          <w:bCs/>
          <w:color w:val="333333"/>
          <w:lang w:val="en-US"/>
        </w:rPr>
        <w:t>Problem:</w:t>
      </w:r>
    </w:p>
    <w:p w14:paraId="31B82D43" w14:textId="77777777" w:rsidR="006077AB" w:rsidRPr="00E667B6" w:rsidRDefault="00B53EF5">
      <w:pPr>
        <w:spacing w:before="30" w:after="40"/>
        <w:rPr>
          <w:lang w:val="en-US"/>
        </w:rPr>
      </w:pPr>
      <w:r w:rsidRPr="00E667B6">
        <w:rPr>
          <w:lang w:val="en-US"/>
        </w:rPr>
        <w:t xml:space="preserve">By the time the </w:t>
      </w:r>
      <w:proofErr w:type="spellStart"/>
      <w:r w:rsidRPr="00E667B6">
        <w:rPr>
          <w:lang w:val="en-US"/>
        </w:rPr>
        <w:t>APG</w:t>
      </w:r>
      <w:proofErr w:type="spellEnd"/>
      <w:r w:rsidRPr="00E667B6">
        <w:rPr>
          <w:lang w:val="en-US"/>
        </w:rPr>
        <w:t xml:space="preserve"> expires (30 days after delivery), Galascope will have paid 85% of Component A (30% advance + 55% pre-shipment) before or at delivery. Equipment has arrived but has not been commissioned. If the Contractor becomes insolvent or abandons works between delivery and PAC — during the </w:t>
      </w:r>
      <w:proofErr w:type="gramStart"/>
      <w:r w:rsidRPr="00E667B6">
        <w:rPr>
          <w:lang w:val="en-US"/>
        </w:rPr>
        <w:t>4-6 week</w:t>
      </w:r>
      <w:proofErr w:type="gramEnd"/>
      <w:r w:rsidRPr="00E667B6">
        <w:rPr>
          <w:lang w:val="en-US"/>
        </w:rPr>
        <w:t xml:space="preserve"> installation and commissioning period — the </w:t>
      </w:r>
      <w:proofErr w:type="spellStart"/>
      <w:r w:rsidRPr="00E667B6">
        <w:rPr>
          <w:lang w:val="en-US"/>
        </w:rPr>
        <w:t>APG</w:t>
      </w:r>
      <w:proofErr w:type="spellEnd"/>
      <w:r w:rsidRPr="00E667B6">
        <w:rPr>
          <w:lang w:val="en-US"/>
        </w:rPr>
        <w:t xml:space="preserve"> has already expired. </w:t>
      </w:r>
      <w:proofErr w:type="spellStart"/>
      <w:r w:rsidRPr="00E667B6">
        <w:rPr>
          <w:lang w:val="en-US"/>
        </w:rPr>
        <w:t>Galascope's</w:t>
      </w:r>
      <w:proofErr w:type="spellEnd"/>
      <w:r w:rsidRPr="00E667B6">
        <w:rPr>
          <w:lang w:val="en-US"/>
        </w:rPr>
        <w:t xml:space="preserve"> only remaining security is the 5% Performance Bond (approximately EUR 92,436 for Park 1 / EUR 48,723 for Park 2), which does not cover the full exposure. The 10% PAC payment and 5% Retention that remain unpaid (15% of contract price, approximately EUR 516,645 total across both parks) are </w:t>
      </w:r>
      <w:proofErr w:type="spellStart"/>
      <w:r w:rsidRPr="00E667B6">
        <w:rPr>
          <w:lang w:val="en-US"/>
        </w:rPr>
        <w:t>Galascope's</w:t>
      </w:r>
      <w:proofErr w:type="spellEnd"/>
      <w:r w:rsidRPr="00E667B6">
        <w:rPr>
          <w:lang w:val="en-US"/>
        </w:rPr>
        <w:t xml:space="preserve">, but the bigger concern is that the delivered equipment on site belongs to the Contractor until PAC per Section 7.5(b). Galascope needs the </w:t>
      </w:r>
      <w:proofErr w:type="spellStart"/>
      <w:r w:rsidRPr="00E667B6">
        <w:rPr>
          <w:lang w:val="en-US"/>
        </w:rPr>
        <w:t>APG</w:t>
      </w:r>
      <w:proofErr w:type="spellEnd"/>
      <w:r w:rsidRPr="00E667B6">
        <w:rPr>
          <w:lang w:val="en-US"/>
        </w:rPr>
        <w:t xml:space="preserve"> to remain in place until PAC, not just until delivery.</w:t>
      </w:r>
    </w:p>
    <w:p w14:paraId="01AD1E50" w14:textId="77777777" w:rsidR="006077AB" w:rsidRPr="00E667B6" w:rsidRDefault="00B53EF5">
      <w:pPr>
        <w:spacing w:before="80" w:after="30"/>
        <w:rPr>
          <w:lang w:val="en-US"/>
        </w:rPr>
      </w:pPr>
      <w:r w:rsidRPr="00E667B6">
        <w:rPr>
          <w:b/>
          <w:bCs/>
          <w:color w:val="333333"/>
          <w:lang w:val="en-US"/>
        </w:rPr>
        <w:t>Proposed amendment to Section 10.9(d):</w:t>
      </w:r>
    </w:p>
    <w:p w14:paraId="0DD2B079" w14:textId="77777777" w:rsidR="00E667B6" w:rsidRPr="00E667B6" w:rsidRDefault="00E667B6" w:rsidP="00E667B6">
      <w:pPr>
        <w:pStyle w:val="ListParagraph"/>
        <w:numPr>
          <w:ilvl w:val="0"/>
          <w:numId w:val="3"/>
        </w:numPr>
        <w:pBdr>
          <w:left w:val="single" w:sz="8" w:space="8" w:color="555555"/>
        </w:pBdr>
        <w:spacing w:before="30" w:after="40"/>
        <w:rPr>
          <w:lang w:val="en-US"/>
        </w:rPr>
      </w:pPr>
      <w:r w:rsidRPr="00E667B6">
        <w:rPr>
          <w:i/>
          <w:iCs/>
          <w:lang w:val="en-US"/>
        </w:rPr>
        <w:t xml:space="preserve">"The </w:t>
      </w:r>
      <w:proofErr w:type="spellStart"/>
      <w:r w:rsidRPr="00E667B6">
        <w:rPr>
          <w:i/>
          <w:iCs/>
          <w:lang w:val="en-US"/>
        </w:rPr>
        <w:t>APG</w:t>
      </w:r>
      <w:proofErr w:type="spellEnd"/>
      <w:r w:rsidRPr="00E667B6">
        <w:rPr>
          <w:i/>
          <w:iCs/>
          <w:lang w:val="en-US"/>
        </w:rPr>
        <w:t xml:space="preserve"> shall remain valid until the earlier of: (</w:t>
      </w:r>
      <w:proofErr w:type="spellStart"/>
      <w:r w:rsidRPr="00E667B6">
        <w:rPr>
          <w:i/>
          <w:iCs/>
          <w:lang w:val="en-US"/>
        </w:rPr>
        <w:t>i</w:t>
      </w:r>
      <w:proofErr w:type="spellEnd"/>
      <w:r w:rsidRPr="00E667B6">
        <w:rPr>
          <w:i/>
          <w:iCs/>
          <w:lang w:val="en-US"/>
        </w:rPr>
        <w:t xml:space="preserve">) issuance of PAC; or (ii) twelve (12) months after equipment delivery to Site. Upon issuance of PAC, the </w:t>
      </w:r>
      <w:proofErr w:type="spellStart"/>
      <w:r w:rsidRPr="00E667B6">
        <w:rPr>
          <w:i/>
          <w:iCs/>
          <w:lang w:val="en-US"/>
        </w:rPr>
        <w:t>APG</w:t>
      </w:r>
      <w:proofErr w:type="spellEnd"/>
      <w:r w:rsidRPr="00E667B6">
        <w:rPr>
          <w:i/>
          <w:iCs/>
          <w:lang w:val="en-US"/>
        </w:rPr>
        <w:t xml:space="preserve"> shall be released automatically."</w:t>
      </w:r>
    </w:p>
    <w:p w14:paraId="66F23EE1" w14:textId="087F19CA" w:rsidR="00E667B6" w:rsidRPr="00E667B6" w:rsidRDefault="00E667B6" w:rsidP="00E667B6">
      <w:pPr>
        <w:pStyle w:val="ListParagraph"/>
        <w:numPr>
          <w:ilvl w:val="0"/>
          <w:numId w:val="3"/>
        </w:numPr>
        <w:pBdr>
          <w:left w:val="single" w:sz="8" w:space="8" w:color="555555"/>
        </w:pBdr>
        <w:spacing w:before="30" w:after="40"/>
        <w:rPr>
          <w:i/>
          <w:iCs/>
          <w:lang w:val="en-US"/>
        </w:rPr>
      </w:pPr>
      <w:proofErr w:type="spellStart"/>
      <w:r w:rsidRPr="00E667B6">
        <w:rPr>
          <w:i/>
          <w:iCs/>
          <w:lang w:val="en-US"/>
        </w:rPr>
        <w:t>APG</w:t>
      </w:r>
      <w:proofErr w:type="spellEnd"/>
      <w:r w:rsidRPr="00E667B6">
        <w:rPr>
          <w:i/>
          <w:iCs/>
          <w:lang w:val="en-US"/>
        </w:rPr>
        <w:t xml:space="preserve"> wording must be made available to client to ensure it provides appropriate cover</w:t>
      </w:r>
    </w:p>
    <w:p w14:paraId="23DC9714" w14:textId="77777777" w:rsidR="00E667B6" w:rsidRPr="00E667B6" w:rsidRDefault="00E667B6" w:rsidP="00E667B6">
      <w:pPr>
        <w:pBdr>
          <w:bottom w:val="single" w:sz="2" w:space="4" w:color="CCCCCC"/>
        </w:pBdr>
        <w:spacing w:before="120"/>
        <w:rPr>
          <w:lang w:val="en-US"/>
        </w:rPr>
      </w:pPr>
    </w:p>
    <w:p w14:paraId="7C7460F5" w14:textId="2BC2FE94" w:rsidR="006077AB" w:rsidRPr="00E667B6" w:rsidRDefault="00D64985">
      <w:pPr>
        <w:spacing w:before="200" w:after="60"/>
        <w:rPr>
          <w:lang w:val="en-US"/>
        </w:rPr>
      </w:pPr>
      <w:r>
        <w:rPr>
          <w:b/>
          <w:bCs/>
          <w:sz w:val="22"/>
          <w:szCs w:val="22"/>
          <w:lang w:val="en-US"/>
        </w:rPr>
        <w:t>5</w:t>
      </w:r>
      <w:r w:rsidR="00B53EF5" w:rsidRPr="00E667B6">
        <w:rPr>
          <w:b/>
          <w:bCs/>
          <w:sz w:val="22"/>
          <w:szCs w:val="22"/>
          <w:lang w:val="en-US"/>
        </w:rPr>
        <w:t xml:space="preserve">.  EMS Subscription Addendum Not Provided </w:t>
      </w:r>
    </w:p>
    <w:p w14:paraId="17B89F87" w14:textId="77777777" w:rsidR="006077AB" w:rsidRPr="00E667B6" w:rsidRDefault="00B53EF5">
      <w:pPr>
        <w:spacing w:before="80" w:after="30"/>
        <w:rPr>
          <w:lang w:val="en-US"/>
        </w:rPr>
      </w:pPr>
      <w:r w:rsidRPr="00E667B6">
        <w:rPr>
          <w:b/>
          <w:bCs/>
          <w:color w:val="333333"/>
          <w:lang w:val="en-US"/>
        </w:rPr>
        <w:t>Clause:</w:t>
      </w:r>
    </w:p>
    <w:p w14:paraId="20CCAFB9" w14:textId="77777777" w:rsidR="006077AB" w:rsidRPr="00E667B6" w:rsidRDefault="00B53EF5">
      <w:pPr>
        <w:spacing w:before="30" w:after="40"/>
        <w:rPr>
          <w:lang w:val="en-US"/>
        </w:rPr>
      </w:pPr>
      <w:r w:rsidRPr="00E667B6">
        <w:rPr>
          <w:lang w:val="en-US"/>
        </w:rPr>
        <w:t>EPC Schedule A, Part 6 (Companion Documents)</w:t>
      </w:r>
    </w:p>
    <w:p w14:paraId="677E1017" w14:textId="77777777" w:rsidR="006077AB" w:rsidRPr="00E667B6" w:rsidRDefault="00B53EF5">
      <w:pPr>
        <w:spacing w:before="80" w:after="30"/>
        <w:rPr>
          <w:lang w:val="en-US"/>
        </w:rPr>
      </w:pPr>
      <w:r w:rsidRPr="00E667B6">
        <w:rPr>
          <w:b/>
          <w:bCs/>
          <w:color w:val="333333"/>
          <w:lang w:val="en-US"/>
        </w:rPr>
        <w:t>Current drafting:</w:t>
      </w:r>
    </w:p>
    <w:p w14:paraId="6A3C31EC" w14:textId="77777777" w:rsidR="006077AB" w:rsidRPr="00E667B6" w:rsidRDefault="00B53EF5">
      <w:pPr>
        <w:spacing w:before="30" w:after="40"/>
        <w:rPr>
          <w:lang w:val="en-US"/>
        </w:rPr>
      </w:pPr>
      <w:r w:rsidRPr="00E667B6">
        <w:rPr>
          <w:lang w:val="en-US"/>
        </w:rPr>
        <w:t xml:space="preserve">"EMS Subscription Addendum — </w:t>
      </w:r>
      <w:proofErr w:type="spellStart"/>
      <w:r w:rsidRPr="00E667B6">
        <w:rPr>
          <w:lang w:val="en-US"/>
        </w:rPr>
        <w:t>DISPERON</w:t>
      </w:r>
      <w:proofErr w:type="spellEnd"/>
      <w:r w:rsidRPr="00E667B6">
        <w:rPr>
          <w:lang w:val="en-US"/>
        </w:rPr>
        <w:t xml:space="preserve"> (EUR 400/MWh/yr from PAC)" is listed as a companion document to be executed simultaneously, but no such document has been provided.</w:t>
      </w:r>
    </w:p>
    <w:p w14:paraId="22541655" w14:textId="77777777" w:rsidR="006077AB" w:rsidRPr="00E667B6" w:rsidRDefault="00B53EF5">
      <w:pPr>
        <w:spacing w:before="80" w:after="30"/>
        <w:rPr>
          <w:lang w:val="en-US"/>
        </w:rPr>
      </w:pPr>
      <w:r w:rsidRPr="00E667B6">
        <w:rPr>
          <w:b/>
          <w:bCs/>
          <w:color w:val="333333"/>
          <w:lang w:val="en-US"/>
        </w:rPr>
        <w:t>Problem:</w:t>
      </w:r>
    </w:p>
    <w:p w14:paraId="0EE98E6D" w14:textId="77777777" w:rsidR="006077AB" w:rsidRPr="00E667B6" w:rsidRDefault="00B53EF5">
      <w:pPr>
        <w:spacing w:before="30" w:after="40"/>
        <w:rPr>
          <w:lang w:val="en-US"/>
        </w:rPr>
      </w:pPr>
      <w:r w:rsidRPr="00E667B6">
        <w:rPr>
          <w:lang w:val="en-US"/>
        </w:rPr>
        <w:t xml:space="preserve">The </w:t>
      </w:r>
      <w:proofErr w:type="spellStart"/>
      <w:r w:rsidRPr="00E667B6">
        <w:rPr>
          <w:lang w:val="en-US"/>
        </w:rPr>
        <w:t>LTSA</w:t>
      </w:r>
      <w:proofErr w:type="spellEnd"/>
      <w:r w:rsidRPr="00E667B6">
        <w:rPr>
          <w:lang w:val="en-US"/>
        </w:rPr>
        <w:t xml:space="preserve"> Schedule 2 shows the EMS/SCADA subscription range as EUR 661 to EUR 3,181/MWh/year depending on park size and group allocation. The EUR 400/MWh/year figure in Schedule A is at the low end of that range and has not been confirmed in a signed document. On a 30 MWh combined system, the difference between EUR 400/MWh/yr (EUR 12,000/yr) and EUR 3,181/MWh/yr (EUR 95,430/yr) over 15 years is approximately EUR 1.25 million. This is a material cost that cannot be left unconfirmed. The </w:t>
      </w:r>
      <w:proofErr w:type="spellStart"/>
      <w:r w:rsidRPr="00E667B6">
        <w:rPr>
          <w:lang w:val="en-US"/>
        </w:rPr>
        <w:t>LTSA</w:t>
      </w:r>
      <w:proofErr w:type="spellEnd"/>
      <w:r w:rsidRPr="00E667B6">
        <w:rPr>
          <w:lang w:val="en-US"/>
        </w:rPr>
        <w:t xml:space="preserve"> Schedule 2 also notes that "post-subscription, the system degrades to local-only EMS operation — no cloud access, SCADA Global, or external data feeds", meaning discontinuing the subscription has serious operational consequences.</w:t>
      </w:r>
    </w:p>
    <w:p w14:paraId="3109B361" w14:textId="77777777" w:rsidR="006077AB" w:rsidRPr="00E667B6" w:rsidRDefault="00B53EF5">
      <w:pPr>
        <w:spacing w:before="80" w:after="30"/>
        <w:rPr>
          <w:lang w:val="en-US"/>
        </w:rPr>
      </w:pPr>
      <w:r w:rsidRPr="00E667B6">
        <w:rPr>
          <w:b/>
          <w:bCs/>
          <w:color w:val="333333"/>
          <w:lang w:val="en-US"/>
        </w:rPr>
        <w:lastRenderedPageBreak/>
        <w:t>Required action (pre-condition to signing):</w:t>
      </w:r>
    </w:p>
    <w:p w14:paraId="5C336A87" w14:textId="77777777" w:rsidR="006077AB" w:rsidRPr="00E667B6" w:rsidRDefault="00B53EF5">
      <w:pPr>
        <w:pBdr>
          <w:left w:val="single" w:sz="8" w:space="8" w:color="555555"/>
        </w:pBdr>
        <w:spacing w:before="30" w:after="40"/>
        <w:ind w:left="400"/>
        <w:rPr>
          <w:lang w:val="en-US"/>
        </w:rPr>
      </w:pPr>
      <w:r w:rsidRPr="00E667B6">
        <w:rPr>
          <w:i/>
          <w:iCs/>
          <w:lang w:val="en-US"/>
        </w:rPr>
        <w:t xml:space="preserve">The EMS Subscription Addendum must be </w:t>
      </w:r>
      <w:proofErr w:type="spellStart"/>
      <w:r w:rsidRPr="00E667B6">
        <w:rPr>
          <w:i/>
          <w:iCs/>
          <w:lang w:val="en-US"/>
        </w:rPr>
        <w:t>finalised</w:t>
      </w:r>
      <w:proofErr w:type="spellEnd"/>
      <w:r w:rsidRPr="00E667B6">
        <w:rPr>
          <w:i/>
          <w:iCs/>
          <w:lang w:val="en-US"/>
        </w:rPr>
        <w:t xml:space="preserve">, agreed in its commercial terms, and executed simultaneously with the EPC and </w:t>
      </w:r>
      <w:proofErr w:type="spellStart"/>
      <w:r w:rsidRPr="00E667B6">
        <w:rPr>
          <w:i/>
          <w:iCs/>
          <w:lang w:val="en-US"/>
        </w:rPr>
        <w:t>LTSA</w:t>
      </w:r>
      <w:proofErr w:type="spellEnd"/>
      <w:r w:rsidRPr="00E667B6">
        <w:rPr>
          <w:i/>
          <w:iCs/>
          <w:lang w:val="en-US"/>
        </w:rPr>
        <w:t>. The EUR 400/MWh/yr rate should be confirmed in writing in the Addendum and locked for a minimum period (suggest 5 years from PAC with CPI-only escalation thereafter). Do not sign without this document.</w:t>
      </w:r>
    </w:p>
    <w:p w14:paraId="3B8A9229" w14:textId="77777777" w:rsidR="006077AB" w:rsidRPr="00E667B6" w:rsidRDefault="006077AB">
      <w:pPr>
        <w:pBdr>
          <w:bottom w:val="single" w:sz="2" w:space="4" w:color="CCCCCC"/>
        </w:pBdr>
        <w:spacing w:before="120"/>
        <w:rPr>
          <w:lang w:val="en-US"/>
        </w:rPr>
      </w:pPr>
    </w:p>
    <w:p w14:paraId="4E1615EC" w14:textId="25C656A2" w:rsidR="006077AB" w:rsidRPr="00E667B6" w:rsidRDefault="00D64985">
      <w:pPr>
        <w:spacing w:before="200" w:after="60"/>
        <w:rPr>
          <w:lang w:val="en-US"/>
        </w:rPr>
      </w:pPr>
      <w:r>
        <w:rPr>
          <w:b/>
          <w:bCs/>
          <w:sz w:val="22"/>
          <w:szCs w:val="22"/>
          <w:lang w:val="en-US"/>
        </w:rPr>
        <w:t>6</w:t>
      </w:r>
      <w:r w:rsidR="00B53EF5" w:rsidRPr="00E667B6">
        <w:rPr>
          <w:b/>
          <w:bCs/>
          <w:sz w:val="22"/>
          <w:szCs w:val="22"/>
          <w:lang w:val="en-US"/>
        </w:rPr>
        <w:t xml:space="preserve">.  Planning Permits — No Timeline or Consequence Mechanism  </w:t>
      </w:r>
    </w:p>
    <w:p w14:paraId="4053CF35" w14:textId="77777777" w:rsidR="006077AB" w:rsidRPr="00E667B6" w:rsidRDefault="00B53EF5">
      <w:pPr>
        <w:spacing w:before="80" w:after="30"/>
        <w:rPr>
          <w:lang w:val="en-US"/>
        </w:rPr>
      </w:pPr>
      <w:r w:rsidRPr="00E667B6">
        <w:rPr>
          <w:b/>
          <w:bCs/>
          <w:color w:val="333333"/>
          <w:lang w:val="en-US"/>
        </w:rPr>
        <w:t>Clause:</w:t>
      </w:r>
    </w:p>
    <w:p w14:paraId="6A41013D" w14:textId="77777777" w:rsidR="006077AB" w:rsidRPr="00E667B6" w:rsidRDefault="00B53EF5">
      <w:pPr>
        <w:spacing w:before="30" w:after="40"/>
        <w:rPr>
          <w:lang w:val="en-US"/>
        </w:rPr>
      </w:pPr>
      <w:r w:rsidRPr="00E667B6">
        <w:rPr>
          <w:lang w:val="en-US"/>
        </w:rPr>
        <w:t>EPC Section 5A.1(b) and Section 19.11(a)</w:t>
      </w:r>
    </w:p>
    <w:p w14:paraId="5AD96AF5" w14:textId="77777777" w:rsidR="006077AB" w:rsidRPr="00E667B6" w:rsidRDefault="00B53EF5">
      <w:pPr>
        <w:spacing w:before="80" w:after="30"/>
        <w:rPr>
          <w:lang w:val="en-US"/>
        </w:rPr>
      </w:pPr>
      <w:r w:rsidRPr="00E667B6">
        <w:rPr>
          <w:b/>
          <w:bCs/>
          <w:color w:val="333333"/>
          <w:lang w:val="en-US"/>
        </w:rPr>
        <w:t>Current drafting:</w:t>
      </w:r>
    </w:p>
    <w:p w14:paraId="61E92520" w14:textId="77777777" w:rsidR="006077AB" w:rsidRPr="00E667B6" w:rsidRDefault="00B53EF5">
      <w:pPr>
        <w:spacing w:before="30" w:after="40"/>
        <w:rPr>
          <w:lang w:val="en-US"/>
        </w:rPr>
      </w:pPr>
      <w:r w:rsidRPr="00E667B6">
        <w:rPr>
          <w:lang w:val="en-US"/>
        </w:rPr>
        <w:t>Section 5A.1(b): "The Client shall obtain planning permissions, building permits, and landowner consents." Section 19.11(a): "Client: Planning permits, landowner consents, environmental permits."</w:t>
      </w:r>
    </w:p>
    <w:p w14:paraId="48421A96" w14:textId="77777777" w:rsidR="006077AB" w:rsidRPr="00E667B6" w:rsidRDefault="00B53EF5">
      <w:pPr>
        <w:spacing w:before="80" w:after="30"/>
        <w:rPr>
          <w:lang w:val="en-US"/>
        </w:rPr>
      </w:pPr>
      <w:r w:rsidRPr="00E667B6">
        <w:rPr>
          <w:b/>
          <w:bCs/>
          <w:color w:val="333333"/>
          <w:lang w:val="en-US"/>
        </w:rPr>
        <w:t>Problem:</w:t>
      </w:r>
    </w:p>
    <w:p w14:paraId="2B02BDCA" w14:textId="77777777" w:rsidR="006077AB" w:rsidRPr="00E667B6" w:rsidRDefault="00B53EF5">
      <w:pPr>
        <w:spacing w:before="30" w:after="40"/>
        <w:rPr>
          <w:lang w:val="en-US"/>
        </w:rPr>
      </w:pPr>
      <w:r w:rsidRPr="00E667B6">
        <w:rPr>
          <w:lang w:val="en-US"/>
        </w:rPr>
        <w:t>The Client is responsible for planning permissions but there is no timeline obligation, no clarity on what happens if planning is delayed, and no express time extension provision for planning delay. If Cyprus planning authority takes longer than expected (which is not uncommon), the Target PAC Date of 31 January 2027 could be missed through no fault of the Contractor. The Contractor would have a legitimate basis to claim a time extension and cost reimbursement under Section 5A.4(a), potentially converting a Contractor delay into a Client-caused delay. The Connection Terms condition precedent (Section 1A) does not cover planning permits — Connection Terms relate to EAC/DSO grid connection only.</w:t>
      </w:r>
    </w:p>
    <w:p w14:paraId="2337CB4C" w14:textId="77777777" w:rsidR="006077AB" w:rsidRPr="00E667B6" w:rsidRDefault="00B53EF5">
      <w:pPr>
        <w:spacing w:before="80" w:after="30"/>
        <w:rPr>
          <w:lang w:val="en-US"/>
        </w:rPr>
      </w:pPr>
      <w:r w:rsidRPr="00E667B6">
        <w:rPr>
          <w:b/>
          <w:bCs/>
          <w:color w:val="333333"/>
          <w:lang w:val="en-US"/>
        </w:rPr>
        <w:t>Proposed amendment — add new Section 5A.1(f):</w:t>
      </w:r>
    </w:p>
    <w:p w14:paraId="2E7EDF14" w14:textId="77777777" w:rsidR="006077AB" w:rsidRPr="00E667B6" w:rsidRDefault="00B53EF5">
      <w:pPr>
        <w:pBdr>
          <w:left w:val="single" w:sz="8" w:space="8" w:color="555555"/>
        </w:pBdr>
        <w:spacing w:before="30" w:after="40"/>
        <w:ind w:left="400"/>
        <w:rPr>
          <w:lang w:val="en-US"/>
        </w:rPr>
      </w:pPr>
      <w:r w:rsidRPr="00E667B6">
        <w:rPr>
          <w:i/>
          <w:iCs/>
          <w:lang w:val="en-US"/>
        </w:rPr>
        <w:t xml:space="preserve">"The Client shall use reasonable </w:t>
      </w:r>
      <w:proofErr w:type="spellStart"/>
      <w:r w:rsidRPr="00E667B6">
        <w:rPr>
          <w:i/>
          <w:iCs/>
          <w:lang w:val="en-US"/>
        </w:rPr>
        <w:t>endeavours</w:t>
      </w:r>
      <w:proofErr w:type="spellEnd"/>
      <w:r w:rsidRPr="00E667B6">
        <w:rPr>
          <w:i/>
          <w:iCs/>
          <w:lang w:val="en-US"/>
        </w:rPr>
        <w:t xml:space="preserve"> to obtain planning permissions and landowner consents within [60] days of the Effective Date. Where planning authority delay beyond the Client's reasonable control causes a delay to the Target PAC Date, the Target PAC Date shall be extended day-for-day and the Contractor shall not be entitled to additional cost reimbursement beyond reasonable and documented standby costs directly caused by the planning delay. The Client shall notify the Contractor promptly upon becoming aware of any planning delay."</w:t>
      </w:r>
    </w:p>
    <w:p w14:paraId="5440CC25" w14:textId="77777777" w:rsidR="006077AB" w:rsidRPr="00E667B6" w:rsidRDefault="006077AB">
      <w:pPr>
        <w:pBdr>
          <w:bottom w:val="single" w:sz="2" w:space="4" w:color="CCCCCC"/>
        </w:pBdr>
        <w:spacing w:before="120"/>
        <w:rPr>
          <w:lang w:val="en-US"/>
        </w:rPr>
      </w:pPr>
    </w:p>
    <w:p w14:paraId="54E48507" w14:textId="77777777" w:rsidR="006077AB" w:rsidRPr="00E667B6" w:rsidRDefault="00B53EF5">
      <w:pPr>
        <w:pBdr>
          <w:bottom w:val="single" w:sz="4" w:space="4" w:color="333333"/>
        </w:pBdr>
        <w:spacing w:before="240" w:after="60"/>
        <w:rPr>
          <w:lang w:val="en-US"/>
        </w:rPr>
      </w:pPr>
      <w:r w:rsidRPr="00E667B6">
        <w:rPr>
          <w:b/>
          <w:bCs/>
          <w:sz w:val="28"/>
          <w:szCs w:val="28"/>
          <w:lang w:val="en-US"/>
        </w:rPr>
        <w:t>PART 2 — OEM DIRECT WARRANTY UNDERTAKINGS (DWU-1 and DWU-2)</w:t>
      </w:r>
    </w:p>
    <w:p w14:paraId="5DD0325C" w14:textId="77777777" w:rsidR="006077AB" w:rsidRPr="00E667B6" w:rsidRDefault="006077AB">
      <w:pPr>
        <w:spacing w:before="60" w:after="60"/>
        <w:rPr>
          <w:lang w:val="en-US"/>
        </w:rPr>
      </w:pPr>
    </w:p>
    <w:p w14:paraId="1728E4F1" w14:textId="77777777" w:rsidR="006077AB" w:rsidRPr="00E667B6" w:rsidRDefault="00B53EF5">
      <w:pPr>
        <w:spacing w:before="30" w:after="40"/>
        <w:rPr>
          <w:lang w:val="en-US"/>
        </w:rPr>
      </w:pPr>
      <w:r w:rsidRPr="00E667B6">
        <w:rPr>
          <w:lang w:val="en-US"/>
        </w:rPr>
        <w:t>DWU-1 covers Galascope 1 (20 MWh, Famagusta). DWU-2 covers Galascope 2 (10 MWh, Famagusta). Both documents are identical in substance — all comments below apply equally to both. Clause references are the same in each document.</w:t>
      </w:r>
    </w:p>
    <w:p w14:paraId="16E3AC26" w14:textId="77777777" w:rsidR="006077AB" w:rsidRPr="00E667B6" w:rsidRDefault="006077AB">
      <w:pPr>
        <w:spacing w:before="60" w:after="60"/>
        <w:rPr>
          <w:lang w:val="en-US"/>
        </w:rPr>
      </w:pPr>
    </w:p>
    <w:p w14:paraId="374FE2EE" w14:textId="3A6AA02C" w:rsidR="006077AB" w:rsidRPr="00E667B6" w:rsidRDefault="00D64985">
      <w:pPr>
        <w:spacing w:before="200" w:after="60"/>
        <w:rPr>
          <w:lang w:val="en-US"/>
        </w:rPr>
      </w:pPr>
      <w:r>
        <w:rPr>
          <w:b/>
          <w:bCs/>
          <w:sz w:val="22"/>
          <w:szCs w:val="22"/>
          <w:lang w:val="en-US"/>
        </w:rPr>
        <w:t>7</w:t>
      </w:r>
      <w:r w:rsidR="00B53EF5" w:rsidRPr="00E667B6">
        <w:rPr>
          <w:b/>
          <w:bCs/>
          <w:sz w:val="22"/>
          <w:szCs w:val="22"/>
          <w:lang w:val="en-US"/>
        </w:rPr>
        <w:t xml:space="preserve">.  DWUs Are Unsigned by Linyang — No Legal </w:t>
      </w:r>
      <w:proofErr w:type="gramStart"/>
      <w:r w:rsidR="00B53EF5" w:rsidRPr="00E667B6">
        <w:rPr>
          <w:b/>
          <w:bCs/>
          <w:sz w:val="22"/>
          <w:szCs w:val="22"/>
          <w:lang w:val="en-US"/>
        </w:rPr>
        <w:t>Effect  [</w:t>
      </w:r>
      <w:proofErr w:type="gramEnd"/>
      <w:r w:rsidR="00B53EF5" w:rsidRPr="00E667B6">
        <w:rPr>
          <w:b/>
          <w:bCs/>
          <w:sz w:val="22"/>
          <w:szCs w:val="22"/>
          <w:lang w:val="en-US"/>
        </w:rPr>
        <w:t>HIGH RISK / PRE-CONDITION]</w:t>
      </w:r>
    </w:p>
    <w:p w14:paraId="0EC195FC" w14:textId="77777777" w:rsidR="006077AB" w:rsidRPr="00E667B6" w:rsidRDefault="00B53EF5">
      <w:pPr>
        <w:spacing w:before="80" w:after="30"/>
        <w:rPr>
          <w:lang w:val="en-US"/>
        </w:rPr>
      </w:pPr>
      <w:r w:rsidRPr="00E667B6">
        <w:rPr>
          <w:b/>
          <w:bCs/>
          <w:color w:val="333333"/>
          <w:lang w:val="en-US"/>
        </w:rPr>
        <w:t>Clause:</w:t>
      </w:r>
    </w:p>
    <w:p w14:paraId="33A3B000" w14:textId="77777777" w:rsidR="006077AB" w:rsidRPr="00E667B6" w:rsidRDefault="00B53EF5">
      <w:pPr>
        <w:spacing w:before="30" w:after="40"/>
        <w:rPr>
          <w:lang w:val="en-US"/>
        </w:rPr>
      </w:pPr>
      <w:r w:rsidRPr="00E667B6">
        <w:rPr>
          <w:lang w:val="en-US"/>
        </w:rPr>
        <w:t>DWU-1 and DWU-2, Signature Block</w:t>
      </w:r>
    </w:p>
    <w:p w14:paraId="29A3C678" w14:textId="77777777" w:rsidR="006077AB" w:rsidRPr="00E667B6" w:rsidRDefault="00B53EF5">
      <w:pPr>
        <w:spacing w:before="80" w:after="30"/>
        <w:rPr>
          <w:lang w:val="en-US"/>
        </w:rPr>
      </w:pPr>
      <w:r w:rsidRPr="00E667B6">
        <w:rPr>
          <w:b/>
          <w:bCs/>
          <w:color w:val="333333"/>
          <w:lang w:val="en-US"/>
        </w:rPr>
        <w:t>Current position:</w:t>
      </w:r>
    </w:p>
    <w:p w14:paraId="0B01B49A" w14:textId="77777777" w:rsidR="006077AB" w:rsidRPr="00E667B6" w:rsidRDefault="00B53EF5">
      <w:pPr>
        <w:spacing w:before="30" w:after="40"/>
        <w:rPr>
          <w:lang w:val="en-US"/>
        </w:rPr>
      </w:pPr>
      <w:r w:rsidRPr="00E667B6">
        <w:rPr>
          <w:lang w:val="en-US"/>
        </w:rPr>
        <w:t xml:space="preserve">Both DWUs are unsigned. The signature block for Jiangsu Linyang Energy Storage Technology Co., Ltd (name, title, signature, date, company seal) is entirely blank. </w:t>
      </w:r>
      <w:proofErr w:type="spellStart"/>
      <w:r w:rsidRPr="00E667B6">
        <w:rPr>
          <w:lang w:val="en-US"/>
        </w:rPr>
        <w:t>Lighthief's</w:t>
      </w:r>
      <w:proofErr w:type="spellEnd"/>
      <w:r w:rsidRPr="00E667B6">
        <w:rPr>
          <w:lang w:val="en-US"/>
        </w:rPr>
        <w:t xml:space="preserve"> director Alexander Papacosta has signed the acknowledgement block. </w:t>
      </w:r>
      <w:proofErr w:type="spellStart"/>
      <w:r w:rsidRPr="00E667B6">
        <w:rPr>
          <w:lang w:val="en-US"/>
        </w:rPr>
        <w:t>Galascope's</w:t>
      </w:r>
      <w:proofErr w:type="spellEnd"/>
      <w:r w:rsidRPr="00E667B6">
        <w:rPr>
          <w:lang w:val="en-US"/>
        </w:rPr>
        <w:t xml:space="preserve"> block is also blank. An unsigned document is not legally binding on Linyang.</w:t>
      </w:r>
    </w:p>
    <w:p w14:paraId="5B7A249A" w14:textId="77777777" w:rsidR="006077AB" w:rsidRPr="00E667B6" w:rsidRDefault="00B53EF5">
      <w:pPr>
        <w:spacing w:before="80" w:after="30"/>
        <w:rPr>
          <w:lang w:val="en-US"/>
        </w:rPr>
      </w:pPr>
      <w:r w:rsidRPr="00E667B6">
        <w:rPr>
          <w:b/>
          <w:bCs/>
          <w:color w:val="333333"/>
          <w:lang w:val="en-US"/>
        </w:rPr>
        <w:t>Risk:</w:t>
      </w:r>
    </w:p>
    <w:p w14:paraId="77DB0BAC" w14:textId="77777777" w:rsidR="006077AB" w:rsidRPr="00E667B6" w:rsidRDefault="00B53EF5">
      <w:pPr>
        <w:spacing w:before="30" w:after="40"/>
        <w:rPr>
          <w:lang w:val="en-US"/>
        </w:rPr>
      </w:pPr>
      <w:r w:rsidRPr="00E667B6">
        <w:rPr>
          <w:lang w:val="en-US"/>
        </w:rPr>
        <w:t xml:space="preserve">Until Linyang signs and affixes its company seal, the DWUs have no legal effect. If the EPC and </w:t>
      </w:r>
      <w:proofErr w:type="spellStart"/>
      <w:r w:rsidRPr="00E667B6">
        <w:rPr>
          <w:lang w:val="en-US"/>
        </w:rPr>
        <w:t>LTSA</w:t>
      </w:r>
      <w:proofErr w:type="spellEnd"/>
      <w:r w:rsidRPr="00E667B6">
        <w:rPr>
          <w:lang w:val="en-US"/>
        </w:rPr>
        <w:t xml:space="preserve"> are signed before the DWUs are executed by Linyang, Galascope loses its primary negotiating leverage (the advance payment trigger) and has no direct recourse against Linyang in any scenario, including Lighthief insolvency.</w:t>
      </w:r>
    </w:p>
    <w:p w14:paraId="295BBC9F" w14:textId="77777777" w:rsidR="006077AB" w:rsidRPr="00E667B6" w:rsidRDefault="00B53EF5">
      <w:pPr>
        <w:spacing w:before="80" w:after="30"/>
        <w:rPr>
          <w:lang w:val="en-US"/>
        </w:rPr>
      </w:pPr>
      <w:r w:rsidRPr="00E667B6">
        <w:rPr>
          <w:b/>
          <w:bCs/>
          <w:color w:val="333333"/>
          <w:lang w:val="en-US"/>
        </w:rPr>
        <w:t>Required action (absolute pre-condition to signing):</w:t>
      </w:r>
    </w:p>
    <w:p w14:paraId="3F5FF268" w14:textId="77777777" w:rsidR="006077AB" w:rsidRPr="00E667B6" w:rsidRDefault="00B53EF5">
      <w:pPr>
        <w:pBdr>
          <w:left w:val="single" w:sz="8" w:space="8" w:color="555555"/>
        </w:pBdr>
        <w:spacing w:before="30" w:after="40"/>
        <w:ind w:left="400"/>
        <w:rPr>
          <w:lang w:val="en-US"/>
        </w:rPr>
      </w:pPr>
      <w:r w:rsidRPr="00E667B6">
        <w:rPr>
          <w:i/>
          <w:iCs/>
          <w:lang w:val="en-US"/>
        </w:rPr>
        <w:t xml:space="preserve">Neither DWU may be accepted until it is signed by an </w:t>
      </w:r>
      <w:proofErr w:type="spellStart"/>
      <w:r w:rsidRPr="00E667B6">
        <w:rPr>
          <w:i/>
          <w:iCs/>
          <w:lang w:val="en-US"/>
        </w:rPr>
        <w:t>authorised</w:t>
      </w:r>
      <w:proofErr w:type="spellEnd"/>
      <w:r w:rsidRPr="00E667B6">
        <w:rPr>
          <w:i/>
          <w:iCs/>
          <w:lang w:val="en-US"/>
        </w:rPr>
        <w:t xml:space="preserve"> officer of Jiangsu Linyang Energy Storage Technology Co., Ltd and bears the company seal (which is legally required for Chinese company documents to be binding). Confirm: (a) the signatory's authority (board resolution or power of attorney); (b) the company seal is affixed; and (c) the date is inserted. Do not release the advance payment or execute the EPC until both DWUs are fully executed by Linyang.</w:t>
      </w:r>
    </w:p>
    <w:p w14:paraId="5EE36708" w14:textId="77777777" w:rsidR="006077AB" w:rsidRPr="00E667B6" w:rsidRDefault="006077AB">
      <w:pPr>
        <w:pBdr>
          <w:bottom w:val="single" w:sz="2" w:space="4" w:color="CCCCCC"/>
        </w:pBdr>
        <w:spacing w:before="120"/>
        <w:rPr>
          <w:lang w:val="en-US"/>
        </w:rPr>
      </w:pPr>
    </w:p>
    <w:p w14:paraId="48C9099C" w14:textId="77777777" w:rsidR="00D64985" w:rsidRDefault="00D64985">
      <w:pPr>
        <w:rPr>
          <w:b/>
          <w:bCs/>
          <w:sz w:val="22"/>
          <w:szCs w:val="22"/>
          <w:lang w:val="en-US"/>
        </w:rPr>
      </w:pPr>
      <w:r>
        <w:rPr>
          <w:b/>
          <w:bCs/>
          <w:sz w:val="22"/>
          <w:szCs w:val="22"/>
          <w:lang w:val="en-US"/>
        </w:rPr>
        <w:br w:type="page"/>
      </w:r>
    </w:p>
    <w:p w14:paraId="54F48349" w14:textId="217F2976" w:rsidR="006077AB" w:rsidRPr="00E667B6" w:rsidRDefault="00D64985">
      <w:pPr>
        <w:spacing w:before="200" w:after="60"/>
        <w:rPr>
          <w:lang w:val="en-US"/>
        </w:rPr>
      </w:pPr>
      <w:r>
        <w:rPr>
          <w:b/>
          <w:bCs/>
          <w:sz w:val="22"/>
          <w:szCs w:val="22"/>
          <w:lang w:val="en-US"/>
        </w:rPr>
        <w:lastRenderedPageBreak/>
        <w:t>8</w:t>
      </w:r>
      <w:r w:rsidR="00B53EF5" w:rsidRPr="00E667B6">
        <w:rPr>
          <w:b/>
          <w:bCs/>
          <w:sz w:val="22"/>
          <w:szCs w:val="22"/>
          <w:lang w:val="en-US"/>
        </w:rPr>
        <w:t xml:space="preserve">.  Direct Enforcement Right Is Conditional — Not a True Direct </w:t>
      </w:r>
      <w:proofErr w:type="gramStart"/>
      <w:r w:rsidR="00B53EF5" w:rsidRPr="00E667B6">
        <w:rPr>
          <w:b/>
          <w:bCs/>
          <w:sz w:val="22"/>
          <w:szCs w:val="22"/>
          <w:lang w:val="en-US"/>
        </w:rPr>
        <w:t>Warranty  [</w:t>
      </w:r>
      <w:proofErr w:type="gramEnd"/>
      <w:r w:rsidR="00B53EF5" w:rsidRPr="00E667B6">
        <w:rPr>
          <w:b/>
          <w:bCs/>
          <w:sz w:val="22"/>
          <w:szCs w:val="22"/>
          <w:lang w:val="en-US"/>
        </w:rPr>
        <w:t>MEDIUM-HIGH RISK]</w:t>
      </w:r>
    </w:p>
    <w:p w14:paraId="435D5824" w14:textId="77777777" w:rsidR="006077AB" w:rsidRPr="00E667B6" w:rsidRDefault="00B53EF5">
      <w:pPr>
        <w:spacing w:before="80" w:after="30"/>
        <w:rPr>
          <w:lang w:val="en-US"/>
        </w:rPr>
      </w:pPr>
      <w:r w:rsidRPr="00E667B6">
        <w:rPr>
          <w:b/>
          <w:bCs/>
          <w:color w:val="333333"/>
          <w:lang w:val="en-US"/>
        </w:rPr>
        <w:t>Clause:</w:t>
      </w:r>
    </w:p>
    <w:p w14:paraId="6F0B4800" w14:textId="77777777" w:rsidR="006077AB" w:rsidRPr="00E667B6" w:rsidRDefault="00B53EF5">
      <w:pPr>
        <w:spacing w:before="30" w:after="40"/>
        <w:rPr>
          <w:lang w:val="en-US"/>
        </w:rPr>
      </w:pPr>
      <w:r w:rsidRPr="00E667B6">
        <w:rPr>
          <w:lang w:val="en-US"/>
        </w:rPr>
        <w:t>DWU-1 and DWU-2, Section 4.1</w:t>
      </w:r>
    </w:p>
    <w:p w14:paraId="1ED6098F" w14:textId="77777777" w:rsidR="006077AB" w:rsidRPr="00E667B6" w:rsidRDefault="00B53EF5">
      <w:pPr>
        <w:spacing w:before="80" w:after="30"/>
        <w:rPr>
          <w:lang w:val="en-US"/>
        </w:rPr>
      </w:pPr>
      <w:r w:rsidRPr="00E667B6">
        <w:rPr>
          <w:b/>
          <w:bCs/>
          <w:color w:val="333333"/>
          <w:lang w:val="en-US"/>
        </w:rPr>
        <w:t>Current drafting:</w:t>
      </w:r>
    </w:p>
    <w:p w14:paraId="1439799C" w14:textId="77777777" w:rsidR="006077AB" w:rsidRPr="00E667B6" w:rsidRDefault="00B53EF5">
      <w:pPr>
        <w:spacing w:before="30" w:after="40"/>
        <w:rPr>
          <w:lang w:val="en-US"/>
        </w:rPr>
      </w:pPr>
      <w:r w:rsidRPr="00E667B6">
        <w:rPr>
          <w:lang w:val="en-US"/>
        </w:rPr>
        <w:t>"If the Distributor (Lighthief Cyprus Ltd) is unable to fulfil its warranty obligations to the End-Customer for any reason, including but not limited to: (a) insolvency, liquidation, or dissolution of the Distributor; (b) cessation of the Distributor's business operations; (c) termination of the Distribution Agreement between Linyang and the Distributor; (d) failure or refusal by the Distributor to process a valid warranty claim within thirty (30) days of notification; then the End-Customer may enforce the warranty directly against Linyang..."</w:t>
      </w:r>
    </w:p>
    <w:p w14:paraId="7BFB1429" w14:textId="77777777" w:rsidR="006077AB" w:rsidRPr="00E667B6" w:rsidRDefault="00B53EF5">
      <w:pPr>
        <w:spacing w:before="80" w:after="30"/>
        <w:rPr>
          <w:lang w:val="en-US"/>
        </w:rPr>
      </w:pPr>
      <w:r w:rsidRPr="00E667B6">
        <w:rPr>
          <w:b/>
          <w:bCs/>
          <w:color w:val="333333"/>
          <w:lang w:val="en-US"/>
        </w:rPr>
        <w:t>Problem:</w:t>
      </w:r>
    </w:p>
    <w:p w14:paraId="6A415577" w14:textId="6C32617C" w:rsidR="006077AB" w:rsidRPr="00E667B6" w:rsidRDefault="00B53EF5">
      <w:pPr>
        <w:spacing w:before="30" w:after="40"/>
        <w:rPr>
          <w:lang w:val="en-US"/>
        </w:rPr>
      </w:pPr>
      <w:r w:rsidRPr="00E667B6">
        <w:rPr>
          <w:lang w:val="en-US"/>
        </w:rPr>
        <w:t xml:space="preserve">Galascope can only go directly to Linyang if one of four conditions is met. If Lighthief is solvent but simply disputes a warranty claim, denies it, or handles it slowly (under 30 days), Galascope cannot bypass Lighthief and must pursue the claim through Lighthief under the EPC. The 30-day trigger in Section 4.1(d) is helpful but it requires Galascope to wait 30 days of non-response before escalating — this </w:t>
      </w:r>
      <w:r w:rsidR="00D64985">
        <w:rPr>
          <w:lang w:val="en-US"/>
        </w:rPr>
        <w:t xml:space="preserve">will be a </w:t>
      </w:r>
      <w:r w:rsidRPr="00E667B6">
        <w:rPr>
          <w:lang w:val="en-US"/>
        </w:rPr>
        <w:t>delay</w:t>
      </w:r>
      <w:r w:rsidR="00D64985">
        <w:rPr>
          <w:lang w:val="en-US"/>
        </w:rPr>
        <w:t xml:space="preserve"> to</w:t>
      </w:r>
      <w:r w:rsidRPr="00E667B6">
        <w:rPr>
          <w:lang w:val="en-US"/>
        </w:rPr>
        <w:t xml:space="preserve"> legitimate claims. More importantly, there is no direct enforcement right for the scenario where Lighthief disputes a claim in bad faith but responds within 30 days. In that case Galascope is limited to EPC remedies against Lighthief, with Linyang providing only facilitation.</w:t>
      </w:r>
    </w:p>
    <w:p w14:paraId="677897B6" w14:textId="77777777" w:rsidR="006077AB" w:rsidRPr="00E667B6" w:rsidRDefault="00B53EF5">
      <w:pPr>
        <w:spacing w:before="80" w:after="30"/>
        <w:rPr>
          <w:lang w:val="en-US"/>
        </w:rPr>
      </w:pPr>
      <w:r w:rsidRPr="00E667B6">
        <w:rPr>
          <w:b/>
          <w:bCs/>
          <w:color w:val="333333"/>
          <w:lang w:val="en-US"/>
        </w:rPr>
        <w:t>Proposed amendment to DWU Section 4.1 — add new sub-clause (e):</w:t>
      </w:r>
    </w:p>
    <w:p w14:paraId="18610706" w14:textId="77777777" w:rsidR="006077AB" w:rsidRPr="00E667B6" w:rsidRDefault="00B53EF5">
      <w:pPr>
        <w:pBdr>
          <w:left w:val="single" w:sz="8" w:space="8" w:color="555555"/>
        </w:pBdr>
        <w:spacing w:before="30" w:after="40"/>
        <w:ind w:left="400"/>
        <w:rPr>
          <w:lang w:val="en-US"/>
        </w:rPr>
      </w:pPr>
      <w:r w:rsidRPr="00E667B6">
        <w:rPr>
          <w:i/>
          <w:iCs/>
          <w:lang w:val="en-US"/>
        </w:rPr>
        <w:t>"(e) the Distributor has disputed the warranty claim in writing and the dispute has not been resolved within sixty (60) days of the End-Customer's original warranty notification, notwithstanding the End-Customer's good faith attempts to resolve the matter; in which case the End-Customer may submit the claim directly to Linyang with a copy of the Distributor's written dispute and evidence of the underlying defect."</w:t>
      </w:r>
    </w:p>
    <w:p w14:paraId="5D5725DA" w14:textId="77777777" w:rsidR="006077AB" w:rsidRPr="00E667B6" w:rsidRDefault="006077AB">
      <w:pPr>
        <w:pBdr>
          <w:bottom w:val="single" w:sz="2" w:space="4" w:color="CCCCCC"/>
        </w:pBdr>
        <w:spacing w:before="120"/>
        <w:rPr>
          <w:lang w:val="en-US"/>
        </w:rPr>
      </w:pPr>
    </w:p>
    <w:p w14:paraId="735410A2" w14:textId="7D800092" w:rsidR="006077AB" w:rsidRPr="00E667B6" w:rsidRDefault="00D64985">
      <w:pPr>
        <w:spacing w:before="200" w:after="60"/>
        <w:rPr>
          <w:lang w:val="en-US"/>
        </w:rPr>
      </w:pPr>
      <w:r>
        <w:rPr>
          <w:b/>
          <w:bCs/>
          <w:sz w:val="22"/>
          <w:szCs w:val="22"/>
          <w:lang w:val="en-US"/>
        </w:rPr>
        <w:t>9</w:t>
      </w:r>
      <w:r w:rsidR="00B53EF5" w:rsidRPr="00E667B6">
        <w:rPr>
          <w:b/>
          <w:bCs/>
          <w:sz w:val="22"/>
          <w:szCs w:val="22"/>
          <w:lang w:val="en-US"/>
        </w:rPr>
        <w:t xml:space="preserve">.  Warranty Start Date Mismatch Between DWU and </w:t>
      </w:r>
      <w:proofErr w:type="gramStart"/>
      <w:r w:rsidR="00B53EF5" w:rsidRPr="00E667B6">
        <w:rPr>
          <w:b/>
          <w:bCs/>
          <w:sz w:val="22"/>
          <w:szCs w:val="22"/>
          <w:lang w:val="en-US"/>
        </w:rPr>
        <w:t>EPC  [</w:t>
      </w:r>
      <w:proofErr w:type="gramEnd"/>
      <w:r w:rsidR="00B53EF5" w:rsidRPr="00E667B6">
        <w:rPr>
          <w:b/>
          <w:bCs/>
          <w:sz w:val="22"/>
          <w:szCs w:val="22"/>
          <w:lang w:val="en-US"/>
        </w:rPr>
        <w:t>MEDIUM RISK]</w:t>
      </w:r>
    </w:p>
    <w:p w14:paraId="7B0EFB07" w14:textId="77777777" w:rsidR="006077AB" w:rsidRPr="00E667B6" w:rsidRDefault="00B53EF5">
      <w:pPr>
        <w:spacing w:before="80" w:after="30"/>
        <w:rPr>
          <w:lang w:val="en-US"/>
        </w:rPr>
      </w:pPr>
      <w:r w:rsidRPr="00E667B6">
        <w:rPr>
          <w:b/>
          <w:bCs/>
          <w:color w:val="333333"/>
          <w:lang w:val="en-US"/>
        </w:rPr>
        <w:t>Clause:</w:t>
      </w:r>
    </w:p>
    <w:p w14:paraId="08C13634" w14:textId="77777777" w:rsidR="006077AB" w:rsidRPr="00E667B6" w:rsidRDefault="00B53EF5">
      <w:pPr>
        <w:spacing w:before="30" w:after="40"/>
        <w:rPr>
          <w:lang w:val="en-US"/>
        </w:rPr>
      </w:pPr>
      <w:r w:rsidRPr="00E667B6">
        <w:rPr>
          <w:lang w:val="en-US"/>
        </w:rPr>
        <w:t xml:space="preserve">DWU-1 and DWU-2, Section </w:t>
      </w:r>
      <w:proofErr w:type="gramStart"/>
      <w:r w:rsidRPr="00E667B6">
        <w:rPr>
          <w:lang w:val="en-US"/>
        </w:rPr>
        <w:t>1.1  vs</w:t>
      </w:r>
      <w:proofErr w:type="gramEnd"/>
      <w:r w:rsidRPr="00E667B6">
        <w:rPr>
          <w:lang w:val="en-US"/>
        </w:rPr>
        <w:t xml:space="preserve">  EPC Section 3.1 (definition of Warranty Start Date)</w:t>
      </w:r>
    </w:p>
    <w:p w14:paraId="774929B3" w14:textId="77777777" w:rsidR="006077AB" w:rsidRPr="00E667B6" w:rsidRDefault="00B53EF5">
      <w:pPr>
        <w:spacing w:before="80" w:after="30"/>
        <w:rPr>
          <w:lang w:val="en-US"/>
        </w:rPr>
      </w:pPr>
      <w:r w:rsidRPr="00E667B6">
        <w:rPr>
          <w:b/>
          <w:bCs/>
          <w:color w:val="333333"/>
          <w:lang w:val="en-US"/>
        </w:rPr>
        <w:t>Current drafting:</w:t>
      </w:r>
    </w:p>
    <w:p w14:paraId="4CD1BCCD" w14:textId="77777777" w:rsidR="006077AB" w:rsidRPr="00E667B6" w:rsidRDefault="00B53EF5">
      <w:pPr>
        <w:spacing w:before="30" w:after="40"/>
        <w:rPr>
          <w:lang w:val="en-US"/>
        </w:rPr>
      </w:pPr>
      <w:r w:rsidRPr="00E667B6">
        <w:rPr>
          <w:lang w:val="en-US"/>
        </w:rPr>
        <w:t xml:space="preserve">DWU Section 1.1: "...five (5) years from the Warranty Start Date (the earlier of commissioning (PAC) or six (6) months after shipment from </w:t>
      </w:r>
      <w:proofErr w:type="spellStart"/>
      <w:r w:rsidRPr="00E667B6">
        <w:rPr>
          <w:lang w:val="en-US"/>
        </w:rPr>
        <w:t>Linyang's</w:t>
      </w:r>
      <w:proofErr w:type="spellEnd"/>
      <w:r w:rsidRPr="00E667B6">
        <w:rPr>
          <w:lang w:val="en-US"/>
        </w:rPr>
        <w:t xml:space="preserve"> factory)." EPC Section 3.1: "'Warranty Start Date' means: (a) the date of PAC; or (b) if PAC is delayed beyond six (6) months from equipment delivery to Site, the date six (6) months after delivery — but only where such delay is not caused by the Contractor. Where PAC is delayed by causes attributable to the Contractor, the Warranty Start Date shall be the actual date of PAC."</w:t>
      </w:r>
    </w:p>
    <w:p w14:paraId="2544D938" w14:textId="77777777" w:rsidR="006077AB" w:rsidRPr="00E667B6" w:rsidRDefault="00B53EF5">
      <w:pPr>
        <w:spacing w:before="80" w:after="30"/>
        <w:rPr>
          <w:lang w:val="en-US"/>
        </w:rPr>
      </w:pPr>
      <w:r w:rsidRPr="00E667B6">
        <w:rPr>
          <w:b/>
          <w:bCs/>
          <w:color w:val="333333"/>
          <w:lang w:val="en-US"/>
        </w:rPr>
        <w:t>Problem:</w:t>
      </w:r>
    </w:p>
    <w:p w14:paraId="5D4DFD87" w14:textId="77777777" w:rsidR="006077AB" w:rsidRPr="00E667B6" w:rsidRDefault="00B53EF5">
      <w:pPr>
        <w:spacing w:before="30" w:after="40"/>
        <w:rPr>
          <w:lang w:val="en-US"/>
        </w:rPr>
      </w:pPr>
      <w:r w:rsidRPr="00E667B6">
        <w:rPr>
          <w:lang w:val="en-US"/>
        </w:rPr>
        <w:t xml:space="preserve">The definitions are inconsistent. Under the EPC, if Lighthief causes a delay, the Warranty Start Date remains at actual PAC — protecting </w:t>
      </w:r>
      <w:proofErr w:type="spellStart"/>
      <w:r w:rsidRPr="00E667B6">
        <w:rPr>
          <w:lang w:val="en-US"/>
        </w:rPr>
        <w:t>Galascope's</w:t>
      </w:r>
      <w:proofErr w:type="spellEnd"/>
      <w:r w:rsidRPr="00E667B6">
        <w:rPr>
          <w:lang w:val="en-US"/>
        </w:rPr>
        <w:t xml:space="preserve"> full 5-year warranty period. Under the DWU, </w:t>
      </w:r>
      <w:proofErr w:type="spellStart"/>
      <w:r w:rsidRPr="00E667B6">
        <w:rPr>
          <w:lang w:val="en-US"/>
        </w:rPr>
        <w:t>Linyang's</w:t>
      </w:r>
      <w:proofErr w:type="spellEnd"/>
      <w:r w:rsidRPr="00E667B6">
        <w:rPr>
          <w:lang w:val="en-US"/>
        </w:rPr>
        <w:t xml:space="preserve"> warranty starts at the earlier of PAC or 6 months after shipment, regardless of who caused the delay. If commissioning is delayed by </w:t>
      </w:r>
      <w:proofErr w:type="spellStart"/>
      <w:r w:rsidRPr="00E667B6">
        <w:rPr>
          <w:lang w:val="en-US"/>
        </w:rPr>
        <w:t>Lighthief's</w:t>
      </w:r>
      <w:proofErr w:type="spellEnd"/>
      <w:r w:rsidRPr="00E667B6">
        <w:rPr>
          <w:lang w:val="en-US"/>
        </w:rPr>
        <w:t xml:space="preserve"> fault for, say, 8 months after shipment, </w:t>
      </w:r>
      <w:proofErr w:type="spellStart"/>
      <w:r w:rsidRPr="00E667B6">
        <w:rPr>
          <w:lang w:val="en-US"/>
        </w:rPr>
        <w:t>Linyang's</w:t>
      </w:r>
      <w:proofErr w:type="spellEnd"/>
      <w:r w:rsidRPr="00E667B6">
        <w:rPr>
          <w:lang w:val="en-US"/>
        </w:rPr>
        <w:t xml:space="preserve"> warranty under the DWU started running 2 months before PAC. Galascope therefore gets a 5-year warranty from Lighthief under the EPC but only a </w:t>
      </w:r>
      <w:proofErr w:type="gramStart"/>
      <w:r w:rsidRPr="00E667B6">
        <w:rPr>
          <w:lang w:val="en-US"/>
        </w:rPr>
        <w:t>4 year</w:t>
      </w:r>
      <w:proofErr w:type="gramEnd"/>
      <w:r w:rsidRPr="00E667B6">
        <w:rPr>
          <w:lang w:val="en-US"/>
        </w:rPr>
        <w:t xml:space="preserve"> </w:t>
      </w:r>
      <w:proofErr w:type="gramStart"/>
      <w:r w:rsidRPr="00E667B6">
        <w:rPr>
          <w:lang w:val="en-US"/>
        </w:rPr>
        <w:t>10 month</w:t>
      </w:r>
      <w:proofErr w:type="gramEnd"/>
      <w:r w:rsidRPr="00E667B6">
        <w:rPr>
          <w:lang w:val="en-US"/>
        </w:rPr>
        <w:t xml:space="preserve"> warranty from Linyang under the DWU — in the scenario where they need the DWU most (Lighthief insolvency during a delay), the DWU warranty is shorter.</w:t>
      </w:r>
    </w:p>
    <w:p w14:paraId="14040920" w14:textId="77777777" w:rsidR="006077AB" w:rsidRPr="00E667B6" w:rsidRDefault="00B53EF5">
      <w:pPr>
        <w:spacing w:before="80" w:after="30"/>
        <w:rPr>
          <w:lang w:val="en-US"/>
        </w:rPr>
      </w:pPr>
      <w:r w:rsidRPr="00E667B6">
        <w:rPr>
          <w:b/>
          <w:bCs/>
          <w:color w:val="333333"/>
          <w:lang w:val="en-US"/>
        </w:rPr>
        <w:t>Proposed amendment to DWU Section 1.1:</w:t>
      </w:r>
    </w:p>
    <w:p w14:paraId="79DEC55F" w14:textId="77777777" w:rsidR="006077AB" w:rsidRPr="00E667B6" w:rsidRDefault="00B53EF5">
      <w:pPr>
        <w:pBdr>
          <w:left w:val="single" w:sz="8" w:space="8" w:color="555555"/>
        </w:pBdr>
        <w:spacing w:before="30" w:after="40"/>
        <w:ind w:left="400"/>
        <w:rPr>
          <w:lang w:val="en-US"/>
        </w:rPr>
      </w:pPr>
      <w:r w:rsidRPr="00E667B6">
        <w:rPr>
          <w:i/>
          <w:iCs/>
          <w:lang w:val="en-US"/>
        </w:rPr>
        <w:t>"...five (5) years from the Warranty Start Date. The Warranty Start Date shall be the date of PAC. Where PAC has not occurred within six (6) months of equipment delivery to the Project Site due to causes attributable to the End-Customer, the Warranty Start Date shall be the date six (6) months after delivery. Where PAC is delayed due to causes attributable to the Distributor, the Warranty Start Date shall be the actual date of PAC."</w:t>
      </w:r>
    </w:p>
    <w:p w14:paraId="7246C8EA" w14:textId="77777777" w:rsidR="006077AB" w:rsidRPr="00E667B6" w:rsidRDefault="006077AB">
      <w:pPr>
        <w:pBdr>
          <w:bottom w:val="single" w:sz="2" w:space="4" w:color="CCCCCC"/>
        </w:pBdr>
        <w:spacing w:before="120"/>
        <w:rPr>
          <w:lang w:val="en-US"/>
        </w:rPr>
      </w:pPr>
    </w:p>
    <w:p w14:paraId="2096BF82" w14:textId="47B7404A" w:rsidR="006077AB" w:rsidRPr="00E667B6" w:rsidRDefault="00B53EF5">
      <w:pPr>
        <w:spacing w:before="200" w:after="60"/>
        <w:rPr>
          <w:lang w:val="en-US"/>
        </w:rPr>
      </w:pPr>
      <w:r w:rsidRPr="00E667B6">
        <w:rPr>
          <w:b/>
          <w:bCs/>
          <w:sz w:val="22"/>
          <w:szCs w:val="22"/>
          <w:lang w:val="en-US"/>
        </w:rPr>
        <w:t>1</w:t>
      </w:r>
      <w:r w:rsidR="00D64985">
        <w:rPr>
          <w:b/>
          <w:bCs/>
          <w:sz w:val="22"/>
          <w:szCs w:val="22"/>
          <w:lang w:val="en-US"/>
        </w:rPr>
        <w:t>0</w:t>
      </w:r>
      <w:r w:rsidRPr="00E667B6">
        <w:rPr>
          <w:b/>
          <w:bCs/>
          <w:sz w:val="22"/>
          <w:szCs w:val="22"/>
          <w:lang w:val="en-US"/>
        </w:rPr>
        <w:t>.  Linyang Remedy Is Parts Only — No Installation Costs in Direct Claim Scenario [MEDIUM RISK]</w:t>
      </w:r>
    </w:p>
    <w:p w14:paraId="523D9380" w14:textId="77777777" w:rsidR="006077AB" w:rsidRPr="00E667B6" w:rsidRDefault="00B53EF5">
      <w:pPr>
        <w:spacing w:before="80" w:after="30"/>
        <w:rPr>
          <w:lang w:val="en-US"/>
        </w:rPr>
      </w:pPr>
      <w:r w:rsidRPr="00E667B6">
        <w:rPr>
          <w:b/>
          <w:bCs/>
          <w:color w:val="333333"/>
          <w:lang w:val="en-US"/>
        </w:rPr>
        <w:t>Clause:</w:t>
      </w:r>
    </w:p>
    <w:p w14:paraId="1F5074F6" w14:textId="77777777" w:rsidR="006077AB" w:rsidRPr="00E667B6" w:rsidRDefault="00B53EF5">
      <w:pPr>
        <w:spacing w:before="30" w:after="40"/>
        <w:rPr>
          <w:lang w:val="en-US"/>
        </w:rPr>
      </w:pPr>
      <w:r w:rsidRPr="00E667B6">
        <w:rPr>
          <w:lang w:val="en-US"/>
        </w:rPr>
        <w:t>DWU-1 and DWU-2, Section 3.2</w:t>
      </w:r>
    </w:p>
    <w:p w14:paraId="6CA3C493" w14:textId="77777777" w:rsidR="006077AB" w:rsidRPr="00E667B6" w:rsidRDefault="00B53EF5">
      <w:pPr>
        <w:spacing w:before="80" w:after="30"/>
        <w:rPr>
          <w:lang w:val="en-US"/>
        </w:rPr>
      </w:pPr>
      <w:r w:rsidRPr="00E667B6">
        <w:rPr>
          <w:b/>
          <w:bCs/>
          <w:color w:val="333333"/>
          <w:lang w:val="en-US"/>
        </w:rPr>
        <w:t>Current drafting:</w:t>
      </w:r>
    </w:p>
    <w:p w14:paraId="61B938FB" w14:textId="77777777" w:rsidR="006077AB" w:rsidRPr="00E667B6" w:rsidRDefault="00B53EF5">
      <w:pPr>
        <w:spacing w:before="30" w:after="40"/>
        <w:rPr>
          <w:lang w:val="en-US"/>
        </w:rPr>
      </w:pPr>
      <w:r w:rsidRPr="00E667B6">
        <w:rPr>
          <w:lang w:val="en-US"/>
        </w:rPr>
        <w:t xml:space="preserve">"Remedy: If Products fail to meet the above thresholds, Linyang shall supply replacement modules (FOB or CIF Limassol as applicable) at </w:t>
      </w:r>
      <w:proofErr w:type="spellStart"/>
      <w:r w:rsidRPr="00E667B6">
        <w:rPr>
          <w:lang w:val="en-US"/>
        </w:rPr>
        <w:t>Linyang's</w:t>
      </w:r>
      <w:proofErr w:type="spellEnd"/>
      <w:r w:rsidRPr="00E667B6">
        <w:rPr>
          <w:lang w:val="en-US"/>
        </w:rPr>
        <w:t xml:space="preserve"> cost to restore performance above the guaranteed threshold."</w:t>
      </w:r>
    </w:p>
    <w:p w14:paraId="19CBDF82" w14:textId="77777777" w:rsidR="006077AB" w:rsidRPr="00E667B6" w:rsidRDefault="00B53EF5">
      <w:pPr>
        <w:spacing w:before="80" w:after="30"/>
        <w:rPr>
          <w:lang w:val="en-US"/>
        </w:rPr>
      </w:pPr>
      <w:r w:rsidRPr="00E667B6">
        <w:rPr>
          <w:b/>
          <w:bCs/>
          <w:color w:val="333333"/>
          <w:lang w:val="en-US"/>
        </w:rPr>
        <w:t>Problem:</w:t>
      </w:r>
    </w:p>
    <w:p w14:paraId="3D4A4E66" w14:textId="77777777" w:rsidR="006077AB" w:rsidRPr="00E667B6" w:rsidRDefault="00B53EF5">
      <w:pPr>
        <w:spacing w:before="30" w:after="40"/>
        <w:rPr>
          <w:lang w:val="en-US"/>
        </w:rPr>
      </w:pPr>
      <w:proofErr w:type="spellStart"/>
      <w:r w:rsidRPr="00E667B6">
        <w:rPr>
          <w:lang w:val="en-US"/>
        </w:rPr>
        <w:t>Linyang's</w:t>
      </w:r>
      <w:proofErr w:type="spellEnd"/>
      <w:r w:rsidRPr="00E667B6">
        <w:rPr>
          <w:lang w:val="en-US"/>
        </w:rPr>
        <w:t xml:space="preserve"> remedy under the DWU is limited to supplying replacement parts (FOB or CIF Limassol). It does not cover on-site installation </w:t>
      </w:r>
      <w:proofErr w:type="spellStart"/>
      <w:r w:rsidRPr="00E667B6">
        <w:rPr>
          <w:lang w:val="en-US"/>
        </w:rPr>
        <w:t>labour</w:t>
      </w:r>
      <w:proofErr w:type="spellEnd"/>
      <w:r w:rsidRPr="00E667B6">
        <w:rPr>
          <w:lang w:val="en-US"/>
        </w:rPr>
        <w:t xml:space="preserve">, commissioning, or logistics from the port to the site. Under normal operation, Lighthief bears these costs under the EPC (Section 10.6(d)). However, if Galascope is enforcing the DWU directly against Linyang — which only happens </w:t>
      </w:r>
      <w:r w:rsidRPr="00E667B6">
        <w:rPr>
          <w:lang w:val="en-US"/>
        </w:rPr>
        <w:lastRenderedPageBreak/>
        <w:t>when Lighthief has failed or is insolvent — there is no Lighthief to perform the installation. Galascope would receive replacement cells or modules at the port but would need to arrange and fund installation, commissioning and testing itself. For a 5 MWh battery container this is a material additional cost.</w:t>
      </w:r>
    </w:p>
    <w:p w14:paraId="66AE8687" w14:textId="77777777" w:rsidR="006077AB" w:rsidRPr="00E667B6" w:rsidRDefault="00B53EF5">
      <w:pPr>
        <w:spacing w:before="80" w:after="30"/>
        <w:rPr>
          <w:lang w:val="en-US"/>
        </w:rPr>
      </w:pPr>
      <w:r w:rsidRPr="00E667B6">
        <w:rPr>
          <w:b/>
          <w:bCs/>
          <w:color w:val="333333"/>
          <w:lang w:val="en-US"/>
        </w:rPr>
        <w:t>Proposed amendment to DWU Section 3.2:</w:t>
      </w:r>
    </w:p>
    <w:p w14:paraId="506BE353" w14:textId="77777777" w:rsidR="006077AB" w:rsidRPr="00E667B6" w:rsidRDefault="00B53EF5">
      <w:pPr>
        <w:pBdr>
          <w:left w:val="single" w:sz="8" w:space="8" w:color="555555"/>
        </w:pBdr>
        <w:spacing w:before="30" w:after="40"/>
        <w:ind w:left="400"/>
        <w:rPr>
          <w:lang w:val="en-US"/>
        </w:rPr>
      </w:pPr>
      <w:r w:rsidRPr="00E667B6">
        <w:rPr>
          <w:i/>
          <w:iCs/>
          <w:lang w:val="en-US"/>
        </w:rPr>
        <w:t xml:space="preserve">"Remedy: If Products fail to meet the above thresholds, Linyang shall supply replacement modules CIF Limassol (Incoterms 2020) at </w:t>
      </w:r>
      <w:proofErr w:type="spellStart"/>
      <w:r w:rsidRPr="00E667B6">
        <w:rPr>
          <w:i/>
          <w:iCs/>
          <w:lang w:val="en-US"/>
        </w:rPr>
        <w:t>Linyang's</w:t>
      </w:r>
      <w:proofErr w:type="spellEnd"/>
      <w:r w:rsidRPr="00E667B6">
        <w:rPr>
          <w:i/>
          <w:iCs/>
          <w:lang w:val="en-US"/>
        </w:rPr>
        <w:t xml:space="preserve"> cost to restore performance above the guaranteed threshold. Where the End-Customer is enforcing this Undertaking directly against Linyang in circumstances where the Distributor is unable to perform (per Section 4.1), Linyang shall also reimburse the End-Customer for reasonable and documented third-party installation and commissioning costs incurred to install the replacement modules, up to a maximum of [</w:t>
      </w:r>
      <w:proofErr w:type="gramStart"/>
      <w:r w:rsidRPr="00E667B6">
        <w:rPr>
          <w:i/>
          <w:iCs/>
          <w:lang w:val="en-US"/>
        </w:rPr>
        <w:t>●]%</w:t>
      </w:r>
      <w:proofErr w:type="gramEnd"/>
      <w:r w:rsidRPr="00E667B6">
        <w:rPr>
          <w:i/>
          <w:iCs/>
          <w:lang w:val="en-US"/>
        </w:rPr>
        <w:t xml:space="preserve"> of the replacement module value."</w:t>
      </w:r>
    </w:p>
    <w:p w14:paraId="55FCD1C6" w14:textId="77777777" w:rsidR="006077AB" w:rsidRPr="00E667B6" w:rsidRDefault="00B53EF5">
      <w:pPr>
        <w:spacing w:before="30" w:after="40"/>
        <w:rPr>
          <w:lang w:val="en-US"/>
        </w:rPr>
      </w:pPr>
      <w:r w:rsidRPr="00E667B6">
        <w:rPr>
          <w:lang w:val="en-US"/>
        </w:rPr>
        <w:t>Note: the specific cap percentage should be agreed in negotiation — a reasonable starting position is 15% of replacement module value.</w:t>
      </w:r>
    </w:p>
    <w:p w14:paraId="023D6E8C" w14:textId="77777777" w:rsidR="006077AB" w:rsidRPr="00E667B6" w:rsidRDefault="006077AB">
      <w:pPr>
        <w:pBdr>
          <w:bottom w:val="single" w:sz="2" w:space="4" w:color="CCCCCC"/>
        </w:pBdr>
        <w:spacing w:before="120"/>
        <w:rPr>
          <w:lang w:val="en-US"/>
        </w:rPr>
      </w:pPr>
    </w:p>
    <w:p w14:paraId="21566294" w14:textId="5C2A26FB" w:rsidR="00E667B6" w:rsidRPr="00D64985" w:rsidRDefault="00D64985" w:rsidP="00D64985">
      <w:pPr>
        <w:spacing w:before="200" w:after="60"/>
        <w:rPr>
          <w:lang w:val="en-US"/>
        </w:rPr>
      </w:pPr>
      <w:r>
        <w:rPr>
          <w:b/>
          <w:bCs/>
          <w:sz w:val="22"/>
          <w:szCs w:val="22"/>
          <w:lang w:val="en-US"/>
        </w:rPr>
        <w:t>1</w:t>
      </w:r>
      <w:r w:rsidR="00E667B6" w:rsidRPr="00D64985">
        <w:rPr>
          <w:b/>
          <w:bCs/>
          <w:sz w:val="22"/>
          <w:szCs w:val="22"/>
          <w:lang w:val="en-US"/>
        </w:rPr>
        <w:t xml:space="preserve">1.  </w:t>
      </w:r>
      <w:r>
        <w:rPr>
          <w:b/>
          <w:bCs/>
          <w:sz w:val="22"/>
          <w:szCs w:val="22"/>
          <w:lang w:val="en-US"/>
        </w:rPr>
        <w:t>Payment Terms</w:t>
      </w:r>
    </w:p>
    <w:p w14:paraId="0A109B8A" w14:textId="77777777" w:rsidR="00E667B6" w:rsidRDefault="00E667B6" w:rsidP="00E667B6">
      <w:pPr>
        <w:pStyle w:val="ListParagraph"/>
        <w:numPr>
          <w:ilvl w:val="0"/>
          <w:numId w:val="2"/>
        </w:numPr>
        <w:spacing w:before="80" w:after="30"/>
      </w:pPr>
      <w:proofErr w:type="spellStart"/>
      <w:r w:rsidRPr="00E667B6">
        <w:rPr>
          <w:b/>
          <w:bCs/>
          <w:color w:val="333333"/>
        </w:rPr>
        <w:t>Clause</w:t>
      </w:r>
      <w:proofErr w:type="spellEnd"/>
      <w:r w:rsidRPr="00E667B6">
        <w:rPr>
          <w:b/>
          <w:bCs/>
          <w:color w:val="333333"/>
        </w:rPr>
        <w:t>:</w:t>
      </w:r>
    </w:p>
    <w:p w14:paraId="3A2BB375" w14:textId="11B21141" w:rsidR="00E667B6" w:rsidRDefault="00E667B6" w:rsidP="00E667B6">
      <w:pPr>
        <w:pStyle w:val="ListParagraph"/>
        <w:numPr>
          <w:ilvl w:val="0"/>
          <w:numId w:val="2"/>
        </w:numPr>
        <w:spacing w:before="30" w:after="40"/>
      </w:pPr>
      <w:r>
        <w:t xml:space="preserve">EPC </w:t>
      </w:r>
      <w:proofErr w:type="spellStart"/>
      <w:r>
        <w:t>Section</w:t>
      </w:r>
      <w:proofErr w:type="spellEnd"/>
      <w:r>
        <w:t xml:space="preserve"> </w:t>
      </w:r>
      <w:r w:rsidR="00D64985">
        <w:t>7.1</w:t>
      </w:r>
    </w:p>
    <w:p w14:paraId="39905D6E" w14:textId="4818DAB5" w:rsidR="00E667B6" w:rsidRPr="009131FF" w:rsidRDefault="00E667B6" w:rsidP="00E667B6">
      <w:pPr>
        <w:pStyle w:val="ListParagraph"/>
        <w:numPr>
          <w:ilvl w:val="0"/>
          <w:numId w:val="2"/>
        </w:numPr>
        <w:spacing w:before="80" w:after="30"/>
      </w:pPr>
      <w:r w:rsidRPr="00E667B6">
        <w:rPr>
          <w:b/>
          <w:bCs/>
          <w:color w:val="333333"/>
        </w:rPr>
        <w:t xml:space="preserve">Current </w:t>
      </w:r>
      <w:proofErr w:type="spellStart"/>
      <w:r w:rsidRPr="00E667B6">
        <w:rPr>
          <w:b/>
          <w:bCs/>
          <w:color w:val="333333"/>
        </w:rPr>
        <w:t>drafting</w:t>
      </w:r>
      <w:proofErr w:type="spellEnd"/>
    </w:p>
    <w:p w14:paraId="0233D679" w14:textId="77777777" w:rsidR="009131FF" w:rsidRDefault="009131FF" w:rsidP="009131FF">
      <w:pPr>
        <w:spacing w:before="80" w:after="30"/>
      </w:pPr>
    </w:p>
    <w:p w14:paraId="152DBDEC" w14:textId="60759B47" w:rsidR="009131FF" w:rsidRPr="009131FF" w:rsidRDefault="009131FF" w:rsidP="009131FF">
      <w:pPr>
        <w:spacing w:before="80" w:after="30"/>
        <w:rPr>
          <w:b/>
          <w:bCs/>
        </w:rPr>
      </w:pPr>
      <w:r w:rsidRPr="009131FF">
        <w:rPr>
          <w:b/>
          <w:bCs/>
        </w:rPr>
        <w:t>12.</w:t>
      </w:r>
      <w:r>
        <w:rPr>
          <w:b/>
          <w:bCs/>
        </w:rPr>
        <w:t xml:space="preserve"> Limitation </w:t>
      </w:r>
      <w:proofErr w:type="spellStart"/>
      <w:r>
        <w:rPr>
          <w:b/>
          <w:bCs/>
        </w:rPr>
        <w:t>of</w:t>
      </w:r>
      <w:proofErr w:type="spellEnd"/>
      <w:r>
        <w:rPr>
          <w:b/>
          <w:bCs/>
        </w:rPr>
        <w:t xml:space="preserve"> </w:t>
      </w:r>
      <w:proofErr w:type="spellStart"/>
      <w:r>
        <w:rPr>
          <w:b/>
          <w:bCs/>
        </w:rPr>
        <w:t>Liability</w:t>
      </w:r>
      <w:proofErr w:type="spellEnd"/>
      <w:r w:rsidRPr="009131FF">
        <w:rPr>
          <w:b/>
          <w:bCs/>
        </w:rPr>
        <w:t xml:space="preserve"> </w:t>
      </w:r>
    </w:p>
    <w:p w14:paraId="618A17FA" w14:textId="77777777" w:rsidR="009131FF" w:rsidRDefault="009131FF" w:rsidP="009131FF">
      <w:pPr>
        <w:pStyle w:val="ListParagraph"/>
        <w:numPr>
          <w:ilvl w:val="0"/>
          <w:numId w:val="2"/>
        </w:numPr>
        <w:spacing w:before="80" w:after="30"/>
      </w:pPr>
      <w:proofErr w:type="spellStart"/>
      <w:r w:rsidRPr="00E667B6">
        <w:rPr>
          <w:b/>
          <w:bCs/>
          <w:color w:val="333333"/>
        </w:rPr>
        <w:t>Clause</w:t>
      </w:r>
      <w:proofErr w:type="spellEnd"/>
      <w:r w:rsidRPr="00E667B6">
        <w:rPr>
          <w:b/>
          <w:bCs/>
          <w:color w:val="333333"/>
        </w:rPr>
        <w:t>:</w:t>
      </w:r>
    </w:p>
    <w:p w14:paraId="42C17EF0" w14:textId="1AD2D94C" w:rsidR="009131FF" w:rsidRPr="009131FF" w:rsidRDefault="009131FF" w:rsidP="009131FF">
      <w:pPr>
        <w:spacing w:before="80" w:after="30"/>
        <w:ind w:firstLine="240"/>
        <w:rPr>
          <w:lang w:val="en-US"/>
        </w:rPr>
      </w:pPr>
      <w:r>
        <w:rPr>
          <w:lang w:val="en-US"/>
        </w:rPr>
        <w:t xml:space="preserve">EPC Section </w:t>
      </w:r>
      <w:r w:rsidRPr="009131FF">
        <w:rPr>
          <w:lang w:val="en-US"/>
        </w:rPr>
        <w:t xml:space="preserve">13. </w:t>
      </w:r>
    </w:p>
    <w:p w14:paraId="29C4B998" w14:textId="77777777" w:rsidR="009131FF" w:rsidRPr="009131FF" w:rsidRDefault="009131FF" w:rsidP="009131FF">
      <w:pPr>
        <w:pStyle w:val="ListParagraph"/>
        <w:numPr>
          <w:ilvl w:val="0"/>
          <w:numId w:val="2"/>
        </w:numPr>
        <w:spacing w:before="80"/>
        <w:ind w:left="238" w:hanging="238"/>
      </w:pPr>
      <w:r w:rsidRPr="00E667B6">
        <w:rPr>
          <w:b/>
          <w:bCs/>
          <w:color w:val="333333"/>
        </w:rPr>
        <w:t xml:space="preserve">Current </w:t>
      </w:r>
      <w:proofErr w:type="spellStart"/>
      <w:r w:rsidRPr="00E667B6">
        <w:rPr>
          <w:b/>
          <w:bCs/>
          <w:color w:val="333333"/>
        </w:rPr>
        <w:t>drafting</w:t>
      </w:r>
      <w:proofErr w:type="spellEnd"/>
    </w:p>
    <w:p w14:paraId="142F8B44" w14:textId="77777777" w:rsidR="009131FF" w:rsidRPr="009131FF" w:rsidRDefault="009131FF" w:rsidP="009131FF">
      <w:pPr>
        <w:spacing w:before="80" w:after="30"/>
        <w:ind w:left="240"/>
        <w:rPr>
          <w:lang w:val="en-US"/>
        </w:rPr>
      </w:pPr>
      <w:r w:rsidRPr="009131FF">
        <w:rPr>
          <w:lang w:val="en-US"/>
        </w:rPr>
        <w:t>13.1 Neither Party shall be liable for indirect or consequential damages, including loss of profits, loss of revenue, or loss of business.</w:t>
      </w:r>
    </w:p>
    <w:p w14:paraId="7EFE6D84" w14:textId="77777777" w:rsidR="009131FF" w:rsidRPr="009131FF" w:rsidRDefault="009131FF" w:rsidP="009131FF">
      <w:pPr>
        <w:spacing w:before="80" w:after="30"/>
        <w:ind w:left="240"/>
        <w:rPr>
          <w:lang w:val="en-US"/>
        </w:rPr>
      </w:pPr>
      <w:r w:rsidRPr="009131FF">
        <w:rPr>
          <w:lang w:val="en-US"/>
        </w:rPr>
        <w:t>13.2 The Contractor’s total aggregate liability under this Agreement shall be subject to the following tiers, each calculated as a percentage of the Contract Price:</w:t>
      </w:r>
    </w:p>
    <w:p w14:paraId="01BC5B8A" w14:textId="77777777" w:rsidR="009131FF" w:rsidRPr="009131FF" w:rsidRDefault="009131FF" w:rsidP="009131FF">
      <w:pPr>
        <w:spacing w:before="80" w:after="30"/>
        <w:ind w:left="240"/>
        <w:rPr>
          <w:lang w:val="en-US"/>
        </w:rPr>
      </w:pPr>
      <w:r w:rsidRPr="009131FF">
        <w:rPr>
          <w:lang w:val="en-US"/>
        </w:rPr>
        <w:t xml:space="preserve">(a) Warranty claims (defects in materials, workmanship, or </w:t>
      </w:r>
      <w:r w:rsidRPr="009131FF">
        <w:rPr>
          <w:highlight w:val="yellow"/>
          <w:lang w:val="en-US"/>
        </w:rPr>
        <w:t>OEM equipment): ten percent (10%)</w:t>
      </w:r>
      <w:r w:rsidRPr="009131FF">
        <w:rPr>
          <w:lang w:val="en-US"/>
        </w:rPr>
        <w:t xml:space="preserve"> of the Contract Price;</w:t>
      </w:r>
    </w:p>
    <w:p w14:paraId="321076E7" w14:textId="194D7EAE" w:rsidR="009131FF" w:rsidRPr="009131FF" w:rsidRDefault="009131FF" w:rsidP="009131FF">
      <w:pPr>
        <w:spacing w:before="80" w:after="30"/>
        <w:ind w:left="240"/>
        <w:rPr>
          <w:lang w:val="en-US"/>
        </w:rPr>
      </w:pPr>
      <w:r w:rsidRPr="009131FF">
        <w:rPr>
          <w:lang w:val="en-US"/>
        </w:rPr>
        <w:t>(b) All other contractual breaches (excluding warranty, fraud, wi</w:t>
      </w:r>
      <w:r>
        <w:rPr>
          <w:lang w:val="en-US"/>
        </w:rPr>
        <w:t>l</w:t>
      </w:r>
      <w:r w:rsidRPr="009131FF">
        <w:rPr>
          <w:lang w:val="en-US"/>
        </w:rPr>
        <w:t>lful misconduct, and manufacturing defects): fifty percent (50%) of the Contract Price;</w:t>
      </w:r>
    </w:p>
    <w:p w14:paraId="53A24593" w14:textId="49DF70FA" w:rsidR="009131FF" w:rsidRDefault="009131FF" w:rsidP="009131FF">
      <w:pPr>
        <w:spacing w:before="80" w:after="30"/>
        <w:ind w:left="240"/>
        <w:rPr>
          <w:lang w:val="en-US"/>
        </w:rPr>
      </w:pPr>
      <w:r w:rsidRPr="009131FF">
        <w:rPr>
          <w:lang w:val="en-US"/>
        </w:rPr>
        <w:t xml:space="preserve">(c) Fraud, </w:t>
      </w:r>
      <w:r w:rsidRPr="009131FF">
        <w:rPr>
          <w:lang w:val="en-US"/>
        </w:rPr>
        <w:t>willful</w:t>
      </w:r>
      <w:r w:rsidRPr="009131FF">
        <w:rPr>
          <w:lang w:val="en-US"/>
        </w:rPr>
        <w:t xml:space="preserve"> misconduct, and manufacturing defects in </w:t>
      </w:r>
      <w:r w:rsidRPr="009131FF">
        <w:rPr>
          <w:highlight w:val="yellow"/>
          <w:lang w:val="en-US"/>
        </w:rPr>
        <w:t>OEM equipment: uncapped</w:t>
      </w:r>
      <w:r w:rsidRPr="009131FF">
        <w:rPr>
          <w:lang w:val="en-US"/>
        </w:rPr>
        <w:t>.</w:t>
      </w:r>
    </w:p>
    <w:p w14:paraId="53789FD4" w14:textId="278AA66F" w:rsidR="009131FF" w:rsidRDefault="00E667B6" w:rsidP="009131FF">
      <w:pPr>
        <w:pStyle w:val="ListParagraph"/>
        <w:numPr>
          <w:ilvl w:val="0"/>
          <w:numId w:val="2"/>
        </w:numPr>
        <w:spacing w:before="80" w:after="30"/>
      </w:pPr>
      <w:r w:rsidRPr="00E667B6">
        <w:rPr>
          <w:b/>
          <w:bCs/>
          <w:color w:val="333333"/>
        </w:rPr>
        <w:t>Problem:</w:t>
      </w:r>
    </w:p>
    <w:p w14:paraId="609D6C48" w14:textId="05B307DE" w:rsidR="009131FF" w:rsidRDefault="009131FF" w:rsidP="009131FF">
      <w:pPr>
        <w:pStyle w:val="ListParagraph"/>
        <w:numPr>
          <w:ilvl w:val="0"/>
          <w:numId w:val="4"/>
        </w:numPr>
        <w:spacing w:before="80" w:after="30"/>
        <w:rPr>
          <w:lang w:val="en-GB"/>
        </w:rPr>
      </w:pPr>
      <w:r w:rsidRPr="009131FF">
        <w:rPr>
          <w:lang w:val="en-GB"/>
        </w:rPr>
        <w:t>Con</w:t>
      </w:r>
      <w:r>
        <w:rPr>
          <w:lang w:val="en-GB"/>
        </w:rPr>
        <w:t>tradi</w:t>
      </w:r>
      <w:r w:rsidRPr="009131FF">
        <w:rPr>
          <w:lang w:val="en-GB"/>
        </w:rPr>
        <w:t>cting statements</w:t>
      </w:r>
      <w:r>
        <w:rPr>
          <w:lang w:val="en-GB"/>
        </w:rPr>
        <w:t xml:space="preserve"> on Liability of </w:t>
      </w:r>
      <w:r w:rsidR="003C1119">
        <w:rPr>
          <w:lang w:val="en-GB"/>
        </w:rPr>
        <w:t xml:space="preserve">Contractor and </w:t>
      </w:r>
      <w:r>
        <w:rPr>
          <w:lang w:val="en-GB"/>
        </w:rPr>
        <w:t xml:space="preserve">OEM equipment. </w:t>
      </w:r>
    </w:p>
    <w:p w14:paraId="32BCB3B0" w14:textId="77777777" w:rsidR="00E667B6" w:rsidRPr="00E667B6" w:rsidRDefault="00E667B6" w:rsidP="00E667B6">
      <w:pPr>
        <w:pStyle w:val="ListParagraph"/>
        <w:numPr>
          <w:ilvl w:val="0"/>
          <w:numId w:val="2"/>
        </w:numPr>
        <w:spacing w:before="80" w:after="30"/>
        <w:rPr>
          <w:lang w:val="en-US"/>
        </w:rPr>
      </w:pPr>
      <w:r w:rsidRPr="00E667B6">
        <w:rPr>
          <w:b/>
          <w:bCs/>
          <w:color w:val="333333"/>
          <w:lang w:val="en-US"/>
        </w:rPr>
        <w:t>Proposed amendment to Section 13.2(a):</w:t>
      </w:r>
    </w:p>
    <w:p w14:paraId="3548475D" w14:textId="77777777" w:rsidR="003C1119" w:rsidRDefault="003C1119" w:rsidP="003C1119">
      <w:pPr>
        <w:pStyle w:val="ListParagraph"/>
        <w:numPr>
          <w:ilvl w:val="0"/>
          <w:numId w:val="2"/>
        </w:numPr>
        <w:spacing w:before="80" w:after="30"/>
        <w:rPr>
          <w:lang w:val="en-GB"/>
        </w:rPr>
      </w:pPr>
      <w:r>
        <w:rPr>
          <w:lang w:val="en-GB"/>
        </w:rPr>
        <w:t>13.2.a should state the Contractor’s limitations for all equipment and works not covered by OEM equipment warranty</w:t>
      </w:r>
      <w:r w:rsidRPr="009131FF">
        <w:rPr>
          <w:lang w:val="en-GB"/>
        </w:rPr>
        <w:t xml:space="preserve"> </w:t>
      </w:r>
    </w:p>
    <w:p w14:paraId="30E69839" w14:textId="77777777" w:rsidR="003C1119" w:rsidRPr="009131FF" w:rsidRDefault="003C1119" w:rsidP="003C1119">
      <w:pPr>
        <w:pStyle w:val="ListParagraph"/>
        <w:numPr>
          <w:ilvl w:val="0"/>
          <w:numId w:val="2"/>
        </w:numPr>
        <w:spacing w:before="80" w:after="30"/>
        <w:rPr>
          <w:lang w:val="en-GB"/>
        </w:rPr>
      </w:pPr>
      <w:r>
        <w:rPr>
          <w:lang w:val="en-GB"/>
        </w:rPr>
        <w:t>OEM equipment uncapped</w:t>
      </w:r>
    </w:p>
    <w:p w14:paraId="0EFE5612" w14:textId="77777777" w:rsidR="006077AB" w:rsidRDefault="006077AB">
      <w:pPr>
        <w:spacing w:before="60" w:after="60"/>
        <w:rPr>
          <w:lang w:val="en-US"/>
        </w:rPr>
      </w:pPr>
    </w:p>
    <w:p w14:paraId="272D3941" w14:textId="4820B90E" w:rsidR="003C1119" w:rsidRDefault="003C1119">
      <w:pPr>
        <w:spacing w:before="60" w:after="60"/>
        <w:rPr>
          <w:lang w:val="en-US"/>
        </w:rPr>
      </w:pPr>
      <w:r>
        <w:rPr>
          <w:lang w:val="en-US"/>
        </w:rPr>
        <w:t>Other issues:</w:t>
      </w:r>
    </w:p>
    <w:p w14:paraId="7643FE20" w14:textId="3E8F3161" w:rsidR="003C1119" w:rsidRDefault="003C1119" w:rsidP="003C1119">
      <w:pPr>
        <w:pStyle w:val="ListParagraph"/>
        <w:numPr>
          <w:ilvl w:val="0"/>
          <w:numId w:val="5"/>
        </w:numPr>
        <w:spacing w:before="60" w:after="60"/>
        <w:rPr>
          <w:lang w:val="en-US"/>
        </w:rPr>
      </w:pPr>
      <w:r>
        <w:rPr>
          <w:lang w:val="en-US"/>
        </w:rPr>
        <w:t xml:space="preserve">Need to see the wording of the </w:t>
      </w:r>
      <w:proofErr w:type="spellStart"/>
      <w:r>
        <w:rPr>
          <w:lang w:val="en-US"/>
        </w:rPr>
        <w:t>APG</w:t>
      </w:r>
      <w:proofErr w:type="spellEnd"/>
      <w:r>
        <w:rPr>
          <w:lang w:val="en-US"/>
        </w:rPr>
        <w:t xml:space="preserve"> and Performance bond</w:t>
      </w:r>
    </w:p>
    <w:p w14:paraId="4A0ABBB3" w14:textId="77777777" w:rsidR="005F3B42" w:rsidRDefault="005F3B42" w:rsidP="005F3B42">
      <w:pPr>
        <w:pStyle w:val="ListParagraph"/>
        <w:numPr>
          <w:ilvl w:val="0"/>
          <w:numId w:val="5"/>
        </w:numPr>
        <w:spacing w:before="60" w:after="60"/>
        <w:rPr>
          <w:lang w:val="en-US"/>
        </w:rPr>
      </w:pPr>
      <w:r>
        <w:rPr>
          <w:lang w:val="en-US"/>
        </w:rPr>
        <w:t xml:space="preserve">Unclear about the validity of the </w:t>
      </w:r>
      <w:proofErr w:type="spellStart"/>
      <w:r>
        <w:rPr>
          <w:lang w:val="en-US"/>
        </w:rPr>
        <w:t>APG</w:t>
      </w:r>
      <w:proofErr w:type="spellEnd"/>
      <w:r>
        <w:rPr>
          <w:lang w:val="en-US"/>
        </w:rPr>
        <w:t xml:space="preserve"> if it is provided by the OEM but we make no payments to the OEM (only to the </w:t>
      </w:r>
      <w:proofErr w:type="gramStart"/>
      <w:r>
        <w:rPr>
          <w:lang w:val="en-US"/>
        </w:rPr>
        <w:t>Contractor)…</w:t>
      </w:r>
      <w:proofErr w:type="gramEnd"/>
      <w:r>
        <w:rPr>
          <w:lang w:val="en-US"/>
        </w:rPr>
        <w:t xml:space="preserve"> legality needs to be confirmed. </w:t>
      </w:r>
    </w:p>
    <w:p w14:paraId="07B1E6CD" w14:textId="250D74D0" w:rsidR="005F3B42" w:rsidRPr="005F3B42" w:rsidRDefault="005F3B42" w:rsidP="005F3B42">
      <w:pPr>
        <w:pStyle w:val="ListParagraph"/>
        <w:numPr>
          <w:ilvl w:val="0"/>
          <w:numId w:val="5"/>
        </w:numPr>
        <w:spacing w:before="60" w:after="60"/>
        <w:rPr>
          <w:lang w:val="en-US"/>
        </w:rPr>
      </w:pPr>
      <w:r>
        <w:rPr>
          <w:lang w:val="en-US"/>
        </w:rPr>
        <w:t>Similar to 2. for the Performance Bond</w:t>
      </w:r>
    </w:p>
    <w:p w14:paraId="6A7473BE" w14:textId="5A07CA7C" w:rsidR="003C1119" w:rsidRDefault="003C1119" w:rsidP="003C1119">
      <w:pPr>
        <w:pStyle w:val="ListParagraph"/>
        <w:numPr>
          <w:ilvl w:val="0"/>
          <w:numId w:val="5"/>
        </w:numPr>
        <w:spacing w:before="60" w:after="60"/>
        <w:rPr>
          <w:lang w:val="en-US"/>
        </w:rPr>
      </w:pPr>
      <w:r>
        <w:rPr>
          <w:lang w:val="en-US"/>
        </w:rPr>
        <w:t xml:space="preserve">Section 7.5 Title &amp; Risk Transfer – must be before the end of the </w:t>
      </w:r>
      <w:proofErr w:type="spellStart"/>
      <w:r>
        <w:rPr>
          <w:lang w:val="en-US"/>
        </w:rPr>
        <w:t>APG</w:t>
      </w:r>
      <w:proofErr w:type="spellEnd"/>
      <w:r>
        <w:rPr>
          <w:lang w:val="en-US"/>
        </w:rPr>
        <w:t>.</w:t>
      </w:r>
    </w:p>
    <w:p w14:paraId="45307184" w14:textId="0CD2107C" w:rsidR="003C1119" w:rsidRDefault="003C1119" w:rsidP="003C1119">
      <w:pPr>
        <w:pStyle w:val="ListParagraph"/>
        <w:numPr>
          <w:ilvl w:val="0"/>
          <w:numId w:val="5"/>
        </w:numPr>
        <w:spacing w:before="60" w:after="60"/>
        <w:rPr>
          <w:lang w:val="en-US"/>
        </w:rPr>
      </w:pPr>
      <w:r>
        <w:rPr>
          <w:lang w:val="en-US"/>
        </w:rPr>
        <w:t>EPC contract should assign responsibility to the Contractor for the BESS installations to comply with the Licensing rules published by the Ministry of Interior</w:t>
      </w:r>
    </w:p>
    <w:p w14:paraId="33EEFBB1" w14:textId="77777777" w:rsidR="003C1119" w:rsidRPr="003C1119" w:rsidRDefault="003C1119" w:rsidP="003C1119">
      <w:pPr>
        <w:pStyle w:val="ListParagraph"/>
        <w:numPr>
          <w:ilvl w:val="0"/>
          <w:numId w:val="5"/>
        </w:numPr>
        <w:spacing w:before="60" w:after="60"/>
        <w:rPr>
          <w:lang w:val="en-US"/>
        </w:rPr>
      </w:pPr>
    </w:p>
    <w:sectPr w:rsidR="003C1119" w:rsidRPr="003C1119" w:rsidSect="00E667B6">
      <w:pgSz w:w="11906" w:h="16838"/>
      <w:pgMar w:top="737" w:right="680" w:bottom="680" w:left="90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4E2C53"/>
    <w:multiLevelType w:val="hybridMultilevel"/>
    <w:tmpl w:val="3B9C4ABC"/>
    <w:lvl w:ilvl="0" w:tplc="7A4C31E2">
      <w:start w:val="1"/>
      <w:numFmt w:val="bullet"/>
      <w:lvlText w:val="●"/>
      <w:lvlJc w:val="left"/>
      <w:pPr>
        <w:ind w:left="720" w:hanging="360"/>
      </w:pPr>
    </w:lvl>
    <w:lvl w:ilvl="1" w:tplc="FF505652">
      <w:start w:val="1"/>
      <w:numFmt w:val="bullet"/>
      <w:lvlText w:val="○"/>
      <w:lvlJc w:val="left"/>
      <w:pPr>
        <w:ind w:left="1440" w:hanging="360"/>
      </w:pPr>
    </w:lvl>
    <w:lvl w:ilvl="2" w:tplc="E3C8EB6E">
      <w:start w:val="1"/>
      <w:numFmt w:val="bullet"/>
      <w:lvlText w:val="■"/>
      <w:lvlJc w:val="left"/>
      <w:pPr>
        <w:ind w:left="2160" w:hanging="360"/>
      </w:pPr>
    </w:lvl>
    <w:lvl w:ilvl="3" w:tplc="81B2FB7A">
      <w:start w:val="1"/>
      <w:numFmt w:val="bullet"/>
      <w:lvlText w:val="●"/>
      <w:lvlJc w:val="left"/>
      <w:pPr>
        <w:ind w:left="2880" w:hanging="360"/>
      </w:pPr>
    </w:lvl>
    <w:lvl w:ilvl="4" w:tplc="27D0B8F4">
      <w:start w:val="1"/>
      <w:numFmt w:val="bullet"/>
      <w:lvlText w:val="○"/>
      <w:lvlJc w:val="left"/>
      <w:pPr>
        <w:ind w:left="3600" w:hanging="360"/>
      </w:pPr>
    </w:lvl>
    <w:lvl w:ilvl="5" w:tplc="026EA1FA">
      <w:start w:val="1"/>
      <w:numFmt w:val="bullet"/>
      <w:lvlText w:val="■"/>
      <w:lvlJc w:val="left"/>
      <w:pPr>
        <w:ind w:left="4320" w:hanging="360"/>
      </w:pPr>
    </w:lvl>
    <w:lvl w:ilvl="6" w:tplc="8F8C6F60">
      <w:start w:val="1"/>
      <w:numFmt w:val="bullet"/>
      <w:lvlText w:val="●"/>
      <w:lvlJc w:val="left"/>
      <w:pPr>
        <w:ind w:left="5040" w:hanging="360"/>
      </w:pPr>
    </w:lvl>
    <w:lvl w:ilvl="7" w:tplc="192ADE5A">
      <w:start w:val="1"/>
      <w:numFmt w:val="bullet"/>
      <w:lvlText w:val="●"/>
      <w:lvlJc w:val="left"/>
      <w:pPr>
        <w:ind w:left="5760" w:hanging="360"/>
      </w:pPr>
    </w:lvl>
    <w:lvl w:ilvl="8" w:tplc="BF500066">
      <w:start w:val="1"/>
      <w:numFmt w:val="bullet"/>
      <w:lvlText w:val="●"/>
      <w:lvlJc w:val="left"/>
      <w:pPr>
        <w:ind w:left="6480" w:hanging="360"/>
      </w:pPr>
    </w:lvl>
  </w:abstractNum>
  <w:abstractNum w:abstractNumId="1" w15:restartNumberingAfterBreak="0">
    <w:nsid w:val="2961278A"/>
    <w:multiLevelType w:val="hybridMultilevel"/>
    <w:tmpl w:val="F4D4FB7A"/>
    <w:lvl w:ilvl="0" w:tplc="206E7676">
      <w:start w:val="1"/>
      <w:numFmt w:val="lowerLetter"/>
      <w:lvlText w:val="%1)"/>
      <w:lvlJc w:val="left"/>
      <w:pPr>
        <w:ind w:left="760" w:hanging="360"/>
      </w:pPr>
      <w:rPr>
        <w:rFonts w:hint="default"/>
      </w:rPr>
    </w:lvl>
    <w:lvl w:ilvl="1" w:tplc="04070019" w:tentative="1">
      <w:start w:val="1"/>
      <w:numFmt w:val="lowerLetter"/>
      <w:lvlText w:val="%2."/>
      <w:lvlJc w:val="left"/>
      <w:pPr>
        <w:ind w:left="1480" w:hanging="360"/>
      </w:pPr>
    </w:lvl>
    <w:lvl w:ilvl="2" w:tplc="0407001B" w:tentative="1">
      <w:start w:val="1"/>
      <w:numFmt w:val="lowerRoman"/>
      <w:lvlText w:val="%3."/>
      <w:lvlJc w:val="right"/>
      <w:pPr>
        <w:ind w:left="2200" w:hanging="180"/>
      </w:pPr>
    </w:lvl>
    <w:lvl w:ilvl="3" w:tplc="0407000F" w:tentative="1">
      <w:start w:val="1"/>
      <w:numFmt w:val="decimal"/>
      <w:lvlText w:val="%4."/>
      <w:lvlJc w:val="left"/>
      <w:pPr>
        <w:ind w:left="2920" w:hanging="360"/>
      </w:pPr>
    </w:lvl>
    <w:lvl w:ilvl="4" w:tplc="04070019" w:tentative="1">
      <w:start w:val="1"/>
      <w:numFmt w:val="lowerLetter"/>
      <w:lvlText w:val="%5."/>
      <w:lvlJc w:val="left"/>
      <w:pPr>
        <w:ind w:left="3640" w:hanging="360"/>
      </w:pPr>
    </w:lvl>
    <w:lvl w:ilvl="5" w:tplc="0407001B" w:tentative="1">
      <w:start w:val="1"/>
      <w:numFmt w:val="lowerRoman"/>
      <w:lvlText w:val="%6."/>
      <w:lvlJc w:val="right"/>
      <w:pPr>
        <w:ind w:left="4360" w:hanging="180"/>
      </w:pPr>
    </w:lvl>
    <w:lvl w:ilvl="6" w:tplc="0407000F" w:tentative="1">
      <w:start w:val="1"/>
      <w:numFmt w:val="decimal"/>
      <w:lvlText w:val="%7."/>
      <w:lvlJc w:val="left"/>
      <w:pPr>
        <w:ind w:left="5080" w:hanging="360"/>
      </w:pPr>
    </w:lvl>
    <w:lvl w:ilvl="7" w:tplc="04070019" w:tentative="1">
      <w:start w:val="1"/>
      <w:numFmt w:val="lowerLetter"/>
      <w:lvlText w:val="%8."/>
      <w:lvlJc w:val="left"/>
      <w:pPr>
        <w:ind w:left="5800" w:hanging="360"/>
      </w:pPr>
    </w:lvl>
    <w:lvl w:ilvl="8" w:tplc="0407001B" w:tentative="1">
      <w:start w:val="1"/>
      <w:numFmt w:val="lowerRoman"/>
      <w:lvlText w:val="%9."/>
      <w:lvlJc w:val="right"/>
      <w:pPr>
        <w:ind w:left="6520" w:hanging="180"/>
      </w:pPr>
    </w:lvl>
  </w:abstractNum>
  <w:abstractNum w:abstractNumId="2" w15:restartNumberingAfterBreak="0">
    <w:nsid w:val="3B8354EF"/>
    <w:multiLevelType w:val="hybridMultilevel"/>
    <w:tmpl w:val="E1866DA8"/>
    <w:lvl w:ilvl="0" w:tplc="A5B23926">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3" w15:restartNumberingAfterBreak="0">
    <w:nsid w:val="648101F2"/>
    <w:multiLevelType w:val="hybridMultilevel"/>
    <w:tmpl w:val="93CC67B6"/>
    <w:lvl w:ilvl="0" w:tplc="27C66198">
      <w:start w:val="1"/>
      <w:numFmt w:val="bullet"/>
      <w:lvlText w:val="-"/>
      <w:lvlJc w:val="left"/>
      <w:pPr>
        <w:ind w:left="240" w:hanging="240"/>
      </w:pPr>
    </w:lvl>
    <w:lvl w:ilvl="1" w:tplc="9EE8C43E">
      <w:numFmt w:val="decimal"/>
      <w:lvlText w:val=""/>
      <w:lvlJc w:val="left"/>
    </w:lvl>
    <w:lvl w:ilvl="2" w:tplc="2214AA7C">
      <w:numFmt w:val="decimal"/>
      <w:lvlText w:val=""/>
      <w:lvlJc w:val="left"/>
    </w:lvl>
    <w:lvl w:ilvl="3" w:tplc="CB2A8666">
      <w:numFmt w:val="decimal"/>
      <w:lvlText w:val=""/>
      <w:lvlJc w:val="left"/>
    </w:lvl>
    <w:lvl w:ilvl="4" w:tplc="6D526554">
      <w:numFmt w:val="decimal"/>
      <w:lvlText w:val=""/>
      <w:lvlJc w:val="left"/>
    </w:lvl>
    <w:lvl w:ilvl="5" w:tplc="BA82A1AC">
      <w:numFmt w:val="decimal"/>
      <w:lvlText w:val=""/>
      <w:lvlJc w:val="left"/>
    </w:lvl>
    <w:lvl w:ilvl="6" w:tplc="DFD8E980">
      <w:numFmt w:val="decimal"/>
      <w:lvlText w:val=""/>
      <w:lvlJc w:val="left"/>
    </w:lvl>
    <w:lvl w:ilvl="7" w:tplc="66F89E28">
      <w:numFmt w:val="decimal"/>
      <w:lvlText w:val=""/>
      <w:lvlJc w:val="left"/>
    </w:lvl>
    <w:lvl w:ilvl="8" w:tplc="CD945630">
      <w:numFmt w:val="decimal"/>
      <w:lvlText w:val=""/>
      <w:lvlJc w:val="left"/>
    </w:lvl>
  </w:abstractNum>
  <w:abstractNum w:abstractNumId="4" w15:restartNumberingAfterBreak="0">
    <w:nsid w:val="77653B48"/>
    <w:multiLevelType w:val="hybridMultilevel"/>
    <w:tmpl w:val="3120FED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701708035">
    <w:abstractNumId w:val="0"/>
    <w:lvlOverride w:ilvl="0">
      <w:startOverride w:val="1"/>
    </w:lvlOverride>
  </w:num>
  <w:num w:numId="2" w16cid:durableId="917061591">
    <w:abstractNumId w:val="3"/>
    <w:lvlOverride w:ilvl="0">
      <w:startOverride w:val="1"/>
    </w:lvlOverride>
  </w:num>
  <w:num w:numId="3" w16cid:durableId="1803965478">
    <w:abstractNumId w:val="1"/>
  </w:num>
  <w:num w:numId="4" w16cid:durableId="1544904692">
    <w:abstractNumId w:val="2"/>
  </w:num>
  <w:num w:numId="5" w16cid:durableId="9497504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7AB"/>
    <w:rsid w:val="000F37FF"/>
    <w:rsid w:val="00303674"/>
    <w:rsid w:val="003C1119"/>
    <w:rsid w:val="00417401"/>
    <w:rsid w:val="005F3B42"/>
    <w:rsid w:val="006077AB"/>
    <w:rsid w:val="009131FF"/>
    <w:rsid w:val="009C1BE8"/>
    <w:rsid w:val="00B53EF5"/>
    <w:rsid w:val="00D64985"/>
    <w:rsid w:val="00E667B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D126E"/>
  <w15:docId w15:val="{FD491AB7-59E0-264A-9E45-C5D1613E7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de-D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2615</Words>
  <Characters>16476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Dino Constantinou</cp:lastModifiedBy>
  <cp:revision>2</cp:revision>
  <cp:lastPrinted>2026-05-13T08:00:00Z</cp:lastPrinted>
  <dcterms:created xsi:type="dcterms:W3CDTF">2026-05-14T13:17:00Z</dcterms:created>
  <dcterms:modified xsi:type="dcterms:W3CDTF">2026-05-14T13:17:00Z</dcterms:modified>
</cp:coreProperties>
</file>