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BOARD RESOLUTION operating budget and delegation DRAFT</w:t>
      </w:r>
    </w:p>
    <w:p/>
    <w:p>
      <w:pPr>
        <w:spacing w:before="0" w:after="120"/>
      </w:pPr>
      <w:r>
        <w:rPr>
          <w:b/>
          <w:color w:val="C9A432"/>
          <w:sz w:val="28"/>
        </w:rPr>
        <w:t>DRAFT — Written resolution of the directors</w:t>
      </w:r>
    </w:p>
    <w:p>
      <w:pPr>
        <w:spacing w:before="280" w:after="120"/>
      </w:pPr>
      <w:r>
        <w:rPr>
          <w:b/>
          <w:color w:val="C9A432"/>
          <w:sz w:val="24"/>
        </w:rPr>
        <w:t>Lighthief Cyprus Ltd (HE 477423)</w:t>
      </w:r>
    </w:p>
    <w:p>
      <w:pPr>
        <w:spacing w:after="80"/>
      </w:pPr>
      <w:r>
        <w:rPr>
          <w:b/>
          <w:color w:val="000000"/>
          <w:sz w:val="22"/>
        </w:rPr>
        <w:t>Subject:</w:t>
      </w:r>
      <w:r>
        <w:rPr>
          <w:color w:val="000000"/>
          <w:sz w:val="22"/>
        </w:rPr>
        <w:t xml:space="preserve"> Operating budget, delegated financial authority, and expenditure controls</w:t>
      </w:r>
    </w:p>
    <w:p>
      <w:pPr>
        <w:spacing w:after="80"/>
      </w:pPr>
      <w:r>
        <w:rPr>
          <w:b/>
          <w:color w:val="000000"/>
          <w:sz w:val="22"/>
        </w:rPr>
        <w:t>Reference:</w:t>
      </w:r>
      <w:r>
        <w:rPr>
          <w:color w:val="000000"/>
          <w:sz w:val="22"/>
        </w:rPr>
        <w:t xml:space="preserve"> LCY-BR-2026-BUDGET-001</w:t>
      </w:r>
    </w:p>
    <w:p>
      <w:pPr>
        <w:spacing w:after="80"/>
      </w:pPr>
      <w:r>
        <w:rPr>
          <w:b/>
          <w:color w:val="000000"/>
          <w:sz w:val="22"/>
        </w:rPr>
        <w:t>Date:</w:t>
      </w:r>
      <w:r>
        <w:rPr>
          <w:color w:val="000000"/>
          <w:sz w:val="22"/>
        </w:rPr>
        <w:t xml:space="preserve"> `[DD Month 2026]`</w:t>
      </w:r>
    </w:p>
    <w:p>
      <w:pPr>
        <w:spacing w:after="80"/>
      </w:pPr>
      <w:r>
        <w:rPr>
          <w:b/>
          <w:color w:val="000000"/>
          <w:sz w:val="22"/>
        </w:rPr>
        <w:t>Status:</w:t>
      </w:r>
      <w:r>
        <w:rPr>
          <w:color w:val="000000"/>
          <w:sz w:val="22"/>
        </w:rPr>
        <w:t xml:space="preserve"> DRAFT — Cyprus counsel to review before signature</w:t>
      </w:r>
    </w:p>
    <w:p>
      <w:pPr>
        <w:spacing w:before="200" w:after="120"/>
      </w:pPr>
      <w:r>
        <w:rPr>
          <w:b/>
          <w:color w:val="C9A432"/>
          <w:sz w:val="22"/>
        </w:rPr>
        <w:t>NOT LEGAL ADVICE</w:t>
      </w:r>
    </w:p>
    <w:p>
      <w:pPr>
        <w:spacing w:after="80"/>
      </w:pPr>
      <w:r>
        <w:rPr>
          <w:color w:val="000000"/>
          <w:sz w:val="22"/>
        </w:rPr>
        <w:t xml:space="preserve">Template only. Align with </w:t>
      </w:r>
      <w:r>
        <w:rPr>
          <w:b/>
          <w:color w:val="000000"/>
          <w:sz w:val="22"/>
        </w:rPr>
        <w:t>articles</w:t>
      </w:r>
      <w:r>
        <w:rPr>
          <w:color w:val="000000"/>
          <w:sz w:val="22"/>
        </w:rPr>
        <w:t xml:space="preserve">, </w:t>
      </w:r>
      <w:r>
        <w:rPr>
          <w:b/>
          <w:color w:val="000000"/>
          <w:sz w:val="22"/>
        </w:rPr>
        <w:t>SHA</w:t>
      </w:r>
      <w:r>
        <w:rPr>
          <w:color w:val="000000"/>
          <w:sz w:val="22"/>
        </w:rPr>
        <w:t xml:space="preserve">, and </w:t>
      </w:r>
      <w:r>
        <w:rPr>
          <w:b/>
          <w:color w:val="000000"/>
          <w:sz w:val="22"/>
        </w:rPr>
        <w:t>tax / social insurance</w:t>
      </w:r>
      <w:r>
        <w:rPr>
          <w:color w:val="000000"/>
          <w:sz w:val="22"/>
        </w:rPr>
        <w:t xml:space="preserve"> obligations.</w:t>
      </w:r>
    </w:p>
    <w:p>
      <w:pPr>
        <w:spacing w:before="280" w:after="120"/>
      </w:pPr>
      <w:r>
        <w:rPr>
          <w:b/>
          <w:color w:val="C9A432"/>
          <w:sz w:val="24"/>
        </w:rPr>
        <w:t>Resolution</w:t>
      </w:r>
    </w:p>
    <w:p>
      <w:pPr>
        <w:spacing w:after="80"/>
      </w:pPr>
      <w:r>
        <w:rPr>
          <w:color w:val="000000"/>
          <w:sz w:val="22"/>
        </w:rPr>
        <w:t xml:space="preserve">The directors of </w:t>
      </w:r>
      <w:r>
        <w:rPr>
          <w:b/>
          <w:color w:val="000000"/>
          <w:sz w:val="22"/>
        </w:rPr>
        <w:t>Lighthief Cyprus Ltd</w:t>
      </w:r>
      <w:r>
        <w:rPr>
          <w:color w:val="000000"/>
          <w:sz w:val="22"/>
        </w:rPr>
        <w:t xml:space="preserve"> (the </w:t>
      </w:r>
      <w:r>
        <w:rPr>
          <w:b/>
          <w:color w:val="000000"/>
          <w:sz w:val="22"/>
        </w:rPr>
        <w:t>Company</w:t>
      </w:r>
      <w:r>
        <w:rPr>
          <w:color w:val="000000"/>
          <w:sz w:val="22"/>
        </w:rPr>
        <w:t xml:space="preserve">) </w:t>
      </w:r>
      <w:r>
        <w:rPr>
          <w:b/>
          <w:color w:val="000000"/>
          <w:sz w:val="22"/>
        </w:rPr>
        <w:t>RESOLVE</w:t>
      </w:r>
      <w:r>
        <w:rPr>
          <w:color w:val="000000"/>
          <w:sz w:val="22"/>
        </w:rPr>
        <w:t xml:space="preserve"> as follows:</w:t>
      </w:r>
    </w:p>
    <w:p>
      <w:pPr>
        <w:spacing w:before="200" w:after="120"/>
      </w:pPr>
      <w:r>
        <w:rPr>
          <w:b/>
          <w:color w:val="C9A432"/>
          <w:sz w:val="22"/>
        </w:rPr>
        <w:t>1. Approved operating budget</w:t>
      </w:r>
    </w:p>
    <w:p>
      <w:pPr>
        <w:spacing w:after="80"/>
      </w:pPr>
      <w:r>
        <w:rPr>
          <w:color w:val="000000"/>
          <w:sz w:val="22"/>
        </w:rPr>
        <w:t xml:space="preserve">1.1 The board </w:t>
      </w:r>
      <w:r>
        <w:rPr>
          <w:b/>
          <w:color w:val="000000"/>
          <w:sz w:val="22"/>
        </w:rPr>
        <w:t>approves</w:t>
      </w:r>
      <w:r>
        <w:rPr>
          <w:color w:val="000000"/>
          <w:sz w:val="22"/>
        </w:rPr>
        <w:t xml:space="preserve"> the Company’s </w:t>
      </w:r>
      <w:r>
        <w:rPr>
          <w:b/>
          <w:color w:val="000000"/>
          <w:sz w:val="22"/>
        </w:rPr>
        <w:t>operating budget</w:t>
      </w:r>
      <w:r>
        <w:rPr>
          <w:color w:val="000000"/>
          <w:sz w:val="22"/>
        </w:rPr>
        <w:t xml:space="preserve"> for the period </w:t>
      </w:r>
      <w:r>
        <w:rPr>
          <w:b/>
          <w:color w:val="000000"/>
          <w:sz w:val="22"/>
        </w:rPr>
        <w:t>`[start date]`</w:t>
      </w:r>
      <w:r>
        <w:rPr>
          <w:color w:val="000000"/>
          <w:sz w:val="22"/>
        </w:rPr>
        <w:t xml:space="preserve"> to </w:t>
      </w:r>
      <w:r>
        <w:rPr>
          <w:b/>
          <w:color w:val="000000"/>
          <w:sz w:val="22"/>
        </w:rPr>
        <w:t>`[end date]`</w:t>
      </w:r>
      <w:r>
        <w:rPr>
          <w:color w:val="000000"/>
          <w:sz w:val="22"/>
        </w:rPr>
        <w:t xml:space="preserve"> in the form attached as </w:t>
      </w:r>
      <w:r>
        <w:rPr>
          <w:b/>
          <w:color w:val="000000"/>
          <w:sz w:val="22"/>
        </w:rPr>
        <w:t>Annex A</w:t>
      </w:r>
      <w:r>
        <w:rPr>
          <w:color w:val="000000"/>
          <w:sz w:val="22"/>
        </w:rPr>
        <w:t xml:space="preserve"> (or referenced as “Budget v`[n]` dated `[date]` held in `[folder / Google Drive path]`”).</w:t>
      </w:r>
    </w:p>
    <w:p>
      <w:pPr>
        <w:spacing w:after="80"/>
      </w:pPr>
      <w:r>
        <w:rPr>
          <w:color w:val="000000"/>
          <w:sz w:val="22"/>
        </w:rPr>
        <w:t xml:space="preserve">1.2 The budget must include, at minimum, </w:t>
      </w:r>
      <w:r>
        <w:rPr>
          <w:b/>
          <w:color w:val="000000"/>
          <w:sz w:val="22"/>
        </w:rPr>
        <w:t>realistic</w:t>
      </w:r>
      <w:r>
        <w:rPr>
          <w:color w:val="000000"/>
          <w:sz w:val="22"/>
        </w:rPr>
        <w:t xml:space="preserve"> provisions for:</w:t>
      </w:r>
    </w:p>
    <w:p>
      <w:pPr>
        <w:pStyle w:val="ListBullet"/>
        <w:ind w:left="283"/>
      </w:pPr>
      <w:r>
        <w:rPr>
          <w:color w:val="000000"/>
          <w:sz w:val="20"/>
        </w:rPr>
        <w:t>payroll and employer contributions;</w:t>
      </w:r>
    </w:p>
    <w:p>
      <w:pPr>
        <w:pStyle w:val="ListBullet"/>
        <w:ind w:left="283"/>
      </w:pPr>
      <w:r>
        <w:rPr>
          <w:color w:val="000000"/>
          <w:sz w:val="20"/>
        </w:rPr>
        <w:t>rent and utilities;</w:t>
      </w:r>
    </w:p>
    <w:p>
      <w:pPr>
        <w:pStyle w:val="ListBullet"/>
        <w:ind w:left="283"/>
      </w:pPr>
      <w:r>
        <w:rPr>
          <w:color w:val="000000"/>
          <w:sz w:val="20"/>
        </w:rPr>
        <w:t>marketing and business development;</w:t>
      </w:r>
    </w:p>
    <w:p>
      <w:pPr>
        <w:pStyle w:val="ListBullet"/>
        <w:ind w:left="283"/>
      </w:pPr>
      <w:r>
        <w:rPr>
          <w:color w:val="000000"/>
          <w:sz w:val="20"/>
        </w:rPr>
        <w:t>legal and professional fees;</w:t>
      </w:r>
    </w:p>
    <w:p>
      <w:pPr>
        <w:pStyle w:val="ListBullet"/>
        <w:ind w:left="283"/>
      </w:pPr>
      <w:r>
        <w:rPr>
          <w:color w:val="000000"/>
          <w:sz w:val="20"/>
        </w:rPr>
        <w:t>insurance (including D&amp;O if placed);</w:t>
      </w:r>
    </w:p>
    <w:p>
      <w:pPr>
        <w:pStyle w:val="ListBullet"/>
        <w:ind w:left="283"/>
      </w:pPr>
      <w:r>
        <w:rPr>
          <w:color w:val="000000"/>
          <w:sz w:val="20"/>
        </w:rPr>
        <w:t>vehicles, IT, and travel;</w:t>
      </w:r>
    </w:p>
    <w:p>
      <w:pPr>
        <w:pStyle w:val="ListBullet"/>
        <w:ind w:left="283"/>
      </w:pPr>
      <w:r>
        <w:rPr>
          <w:color w:val="000000"/>
          <w:sz w:val="20"/>
        </w:rPr>
        <w:t>project delivery costs aligned with active EPC milestones.</w:t>
      </w:r>
    </w:p>
    <w:p>
      <w:pPr>
        <w:spacing w:after="80"/>
      </w:pPr>
      <w:r>
        <w:rPr>
          <w:color w:val="000000"/>
          <w:sz w:val="22"/>
        </w:rPr>
        <w:t xml:space="preserve">1.3 </w:t>
      </w:r>
      <w:r>
        <w:rPr>
          <w:b/>
          <w:color w:val="000000"/>
          <w:sz w:val="22"/>
        </w:rPr>
        <w:t>Material deviations</w:t>
      </w:r>
      <w:r>
        <w:rPr>
          <w:color w:val="000000"/>
          <w:sz w:val="22"/>
        </w:rPr>
        <w:t xml:space="preserve"> (as defined in clause 4) require an </w:t>
      </w:r>
      <w:r>
        <w:rPr>
          <w:b/>
          <w:color w:val="000000"/>
          <w:sz w:val="22"/>
        </w:rPr>
        <w:t>updated board approval</w:t>
      </w:r>
      <w:r>
        <w:rPr>
          <w:color w:val="000000"/>
          <w:sz w:val="22"/>
        </w:rPr>
        <w:t xml:space="preserve"> before new recurring commitments are entered.</w:t>
      </w:r>
    </w:p>
    <w:p>
      <w:pPr>
        <w:spacing w:before="200" w:after="120"/>
      </w:pPr>
      <w:r>
        <w:rPr>
          <w:b/>
          <w:color w:val="C9A432"/>
          <w:sz w:val="22"/>
        </w:rPr>
        <w:t>2. Delegated authority — day-to-day expenditure</w:t>
      </w:r>
    </w:p>
    <w:p>
      <w:pPr>
        <w:spacing w:after="80"/>
      </w:pPr>
      <w:r>
        <w:rPr>
          <w:color w:val="000000"/>
          <w:sz w:val="22"/>
        </w:rPr>
        <w:t xml:space="preserve">Within the approved budget lines, the following persons may </w:t>
      </w:r>
      <w:r>
        <w:rPr>
          <w:b/>
          <w:color w:val="000000"/>
          <w:sz w:val="22"/>
        </w:rPr>
        <w:t>incur and approve</w:t>
      </w:r>
      <w:r>
        <w:rPr>
          <w:color w:val="000000"/>
          <w:sz w:val="22"/>
        </w:rPr>
        <w:t xml:space="preserve"> expenditure up to the limits below without further board approval: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Role / person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Limit per transaction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Limit per month (same category)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 — `[e.g. managing director Cyprus]`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€`[ 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€`[ ]`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 — `[e.g. finance / operations]`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€`[ ]`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€`[ ]`</w:t>
            </w:r>
          </w:p>
        </w:tc>
      </w:tr>
    </w:tbl>
    <w:p>
      <w:pPr>
        <w:spacing w:before="200" w:after="120"/>
      </w:pPr>
      <w:r>
        <w:rPr>
          <w:b/>
          <w:color w:val="C9A432"/>
          <w:sz w:val="22"/>
        </w:rPr>
        <w:t>3. Payroll and statutory obligations</w:t>
      </w:r>
    </w:p>
    <w:p>
      <w:pPr>
        <w:spacing w:after="80"/>
      </w:pPr>
      <w:r>
        <w:rPr>
          <w:color w:val="000000"/>
          <w:sz w:val="22"/>
        </w:rPr>
        <w:t xml:space="preserve">3.1 Payroll shall be processed </w:t>
      </w:r>
      <w:r>
        <w:rPr>
          <w:b/>
          <w:color w:val="000000"/>
          <w:sz w:val="22"/>
        </w:rPr>
        <w:t>only</w:t>
      </w:r>
      <w:r>
        <w:rPr>
          <w:color w:val="000000"/>
          <w:sz w:val="22"/>
        </w:rPr>
        <w:t xml:space="preserve"> when supported by </w:t>
      </w:r>
      <w:r>
        <w:rPr>
          <w:b/>
          <w:color w:val="000000"/>
          <w:sz w:val="22"/>
        </w:rPr>
        <w:t>approved headcount</w:t>
      </w:r>
      <w:r>
        <w:rPr>
          <w:color w:val="000000"/>
          <w:sz w:val="22"/>
        </w:rPr>
        <w:t xml:space="preserve"> within Annex A (or updated board approval).</w:t>
      </w:r>
    </w:p>
    <w:p>
      <w:pPr>
        <w:spacing w:after="80"/>
      </w:pPr>
      <w:r>
        <w:rPr>
          <w:color w:val="000000"/>
          <w:sz w:val="22"/>
        </w:rPr>
        <w:t xml:space="preserve">3.2 The board expects management to maintain </w:t>
      </w:r>
      <w:r>
        <w:rPr>
          <w:b/>
          <w:color w:val="000000"/>
          <w:sz w:val="22"/>
        </w:rPr>
        <w:t>compliance</w:t>
      </w:r>
      <w:r>
        <w:rPr>
          <w:color w:val="000000"/>
          <w:sz w:val="22"/>
        </w:rPr>
        <w:t xml:space="preserve"> with PAYE, social insurance, and filing deadlines; any </w:t>
      </w:r>
      <w:r>
        <w:rPr>
          <w:b/>
          <w:color w:val="000000"/>
          <w:sz w:val="22"/>
        </w:rPr>
        <w:t>risk of non-payment</w:t>
      </w:r>
      <w:r>
        <w:rPr>
          <w:color w:val="000000"/>
          <w:sz w:val="22"/>
        </w:rPr>
        <w:t xml:space="preserve"> or </w:t>
      </w:r>
      <w:r>
        <w:rPr>
          <w:b/>
          <w:color w:val="000000"/>
          <w:sz w:val="22"/>
        </w:rPr>
        <w:t>insolvency indicators</w:t>
      </w:r>
      <w:r>
        <w:rPr>
          <w:color w:val="000000"/>
          <w:sz w:val="22"/>
        </w:rPr>
        <w:t xml:space="preserve"> must be escalated to the board </w:t>
      </w:r>
      <w:r>
        <w:rPr>
          <w:b/>
          <w:color w:val="000000"/>
          <w:sz w:val="22"/>
        </w:rPr>
        <w:t>immediately</w:t>
      </w:r>
      <w:r>
        <w:rPr>
          <w:color w:val="000000"/>
          <w:sz w:val="22"/>
        </w:rPr>
        <w:t>.</w:t>
      </w:r>
    </w:p>
    <w:p>
      <w:pPr>
        <w:spacing w:before="200" w:after="120"/>
      </w:pPr>
      <w:r>
        <w:rPr>
          <w:b/>
          <w:color w:val="C9A432"/>
          <w:sz w:val="22"/>
        </w:rPr>
        <w:t>4. Material deviation</w:t>
      </w:r>
    </w:p>
    <w:p>
      <w:pPr>
        <w:spacing w:after="80"/>
      </w:pPr>
      <w:r>
        <w:rPr>
          <w:color w:val="000000"/>
          <w:sz w:val="22"/>
        </w:rPr>
        <w:t xml:space="preserve">For purposes of this resolution, a </w:t>
      </w:r>
      <w:r>
        <w:rPr>
          <w:b/>
          <w:color w:val="000000"/>
          <w:sz w:val="22"/>
        </w:rPr>
        <w:t>material deviation</w:t>
      </w:r>
      <w:r>
        <w:rPr>
          <w:color w:val="000000"/>
          <w:sz w:val="22"/>
        </w:rPr>
        <w:t xml:space="preserve"> means any of:</w:t>
      </w:r>
    </w:p>
    <w:p>
      <w:pPr>
        <w:spacing w:after="80"/>
      </w:pPr>
      <w:r>
        <w:rPr>
          <w:color w:val="000000"/>
          <w:sz w:val="22"/>
        </w:rPr>
        <w:t xml:space="preserve">(a) cumulative variance </w:t>
      </w:r>
      <w:r>
        <w:rPr>
          <w:b/>
          <w:color w:val="000000"/>
          <w:sz w:val="22"/>
        </w:rPr>
        <w:t>greater than `[X]%`</w:t>
      </w:r>
      <w:r>
        <w:rPr>
          <w:color w:val="000000"/>
          <w:sz w:val="22"/>
        </w:rPr>
        <w:t xml:space="preserve"> against Annex A on a rolling 90-day view; or</w:t>
      </w:r>
    </w:p>
    <w:p>
      <w:pPr>
        <w:spacing w:after="80"/>
      </w:pPr>
      <w:r>
        <w:rPr>
          <w:color w:val="000000"/>
          <w:sz w:val="22"/>
        </w:rPr>
        <w:t xml:space="preserve">(b) any single new obligation </w:t>
      </w:r>
      <w:r>
        <w:rPr>
          <w:b/>
          <w:color w:val="000000"/>
          <w:sz w:val="22"/>
        </w:rPr>
        <w:t>exceeding €`[ ]`</w:t>
      </w:r>
      <w:r>
        <w:rPr>
          <w:color w:val="000000"/>
          <w:sz w:val="22"/>
        </w:rPr>
        <w:t xml:space="preserve"> not provided for in Annex A; or</w:t>
      </w:r>
    </w:p>
    <w:p>
      <w:pPr>
        <w:spacing w:after="80"/>
      </w:pPr>
      <w:r>
        <w:rPr>
          <w:color w:val="000000"/>
          <w:sz w:val="22"/>
        </w:rPr>
        <w:t xml:space="preserve">(c) any decision that would cause the Company to </w:t>
      </w:r>
      <w:r>
        <w:rPr>
          <w:b/>
          <w:color w:val="000000"/>
          <w:sz w:val="22"/>
        </w:rPr>
        <w:t>defer payroll</w:t>
      </w:r>
      <w:r>
        <w:rPr>
          <w:color w:val="000000"/>
          <w:sz w:val="22"/>
        </w:rPr>
        <w:t xml:space="preserve"> or statutory payments.</w:t>
      </w:r>
    </w:p>
    <w:p>
      <w:pPr>
        <w:spacing w:after="80"/>
      </w:pPr>
      <w:r>
        <w:rPr>
          <w:color w:val="000000"/>
          <w:sz w:val="22"/>
        </w:rPr>
        <w:t xml:space="preserve">Material deviations require </w:t>
      </w:r>
      <w:r>
        <w:rPr>
          <w:b/>
          <w:color w:val="000000"/>
          <w:sz w:val="22"/>
        </w:rPr>
        <w:t>prior board written approval</w:t>
      </w:r>
      <w:r>
        <w:rPr>
          <w:color w:val="000000"/>
          <w:sz w:val="22"/>
        </w:rPr>
        <w:t xml:space="preserve"> (except emergency measures taken to mitigate loss, to be reported to the board within </w:t>
      </w:r>
      <w:r>
        <w:rPr>
          <w:b/>
          <w:color w:val="000000"/>
          <w:sz w:val="22"/>
        </w:rPr>
        <w:t>48 hours</w:t>
      </w:r>
      <w:r>
        <w:rPr>
          <w:color w:val="000000"/>
          <w:sz w:val="22"/>
        </w:rPr>
        <w:t>).</w:t>
      </w:r>
    </w:p>
    <w:p>
      <w:pPr>
        <w:spacing w:before="200" w:after="120"/>
      </w:pPr>
      <w:r>
        <w:rPr>
          <w:b/>
          <w:color w:val="C9A432"/>
          <w:sz w:val="22"/>
        </w:rPr>
        <w:t>5. Interaction with signing resolution</w:t>
      </w:r>
    </w:p>
    <w:p>
      <w:pPr>
        <w:spacing w:after="80"/>
      </w:pPr>
      <w:r>
        <w:rPr>
          <w:color w:val="000000"/>
          <w:sz w:val="22"/>
        </w:rPr>
        <w:t xml:space="preserve">This resolution should be read together with </w:t>
      </w:r>
      <w:r>
        <w:rPr>
          <w:b/>
          <w:color w:val="000000"/>
          <w:sz w:val="22"/>
        </w:rPr>
        <w:t>LCY-BR-2026-SIGN-001</w:t>
      </w:r>
      <w:r>
        <w:rPr>
          <w:color w:val="000000"/>
          <w:sz w:val="22"/>
        </w:rPr>
        <w:t xml:space="preserve"> (signing authority). In case of conflict, the </w:t>
      </w:r>
      <w:r>
        <w:rPr>
          <w:b/>
          <w:color w:val="000000"/>
          <w:sz w:val="22"/>
        </w:rPr>
        <w:t>more restrictive</w:t>
      </w:r>
      <w:r>
        <w:rPr>
          <w:color w:val="000000"/>
          <w:sz w:val="22"/>
        </w:rPr>
        <w:t xml:space="preserve"> control prevails.</w:t>
      </w:r>
    </w:p>
    <w:p>
      <w:pPr>
        <w:spacing w:before="200" w:after="120"/>
      </w:pPr>
      <w:r>
        <w:rPr>
          <w:b/>
          <w:color w:val="C9A432"/>
          <w:sz w:val="22"/>
        </w:rPr>
        <w:t>6. Effect</w:t>
      </w:r>
    </w:p>
    <w:p>
      <w:pPr>
        <w:spacing w:after="80"/>
      </w:pPr>
      <w:r>
        <w:rPr>
          <w:color w:val="000000"/>
          <w:sz w:val="22"/>
        </w:rPr>
        <w:t xml:space="preserve">Effective from the date of the </w:t>
      </w:r>
      <w:r>
        <w:rPr>
          <w:b/>
          <w:color w:val="000000"/>
          <w:sz w:val="22"/>
        </w:rPr>
        <w:t>last signature</w:t>
      </w:r>
      <w:r>
        <w:rPr>
          <w:color w:val="000000"/>
          <w:sz w:val="22"/>
        </w:rPr>
        <w:t xml:space="preserve"> below until superseded.</w:t>
      </w:r>
    </w:p>
    <w:p>
      <w:pPr>
        <w:spacing w:after="80"/>
      </w:pPr>
      <w:r>
        <w:rPr>
          <w:b/>
          <w:color w:val="000000"/>
          <w:sz w:val="22"/>
        </w:rPr>
        <w:t>Signed as a written resolution of the 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16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Director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Director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</w:tbl>
    <w:p>
      <w:pPr>
        <w:spacing w:before="280" w:after="120"/>
      </w:pPr>
      <w:r>
        <w:rPr>
          <w:b/>
          <w:color w:val="C9A432"/>
          <w:sz w:val="24"/>
        </w:rPr>
        <w:t>Annex A — Budget (to attach)</w:t>
      </w:r>
    </w:p>
    <w:p>
      <w:pPr>
        <w:spacing w:after="80"/>
      </w:pPr>
      <w:r>
        <w:rPr>
          <w:b/>
          <w:color w:val="000000"/>
          <w:sz w:val="22"/>
        </w:rPr>
        <w:t>Instruction:</w:t>
      </w:r>
      <w:r>
        <w:rPr>
          <w:color w:val="000000"/>
          <w:sz w:val="22"/>
        </w:rPr>
        <w:t xml:space="preserve"> Attach Excel/PDF budget or insert summary table here after board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Monthly (€)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Payroll (gross + employer SI)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Rent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Marketing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Legal / counsel retainer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Insurance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Vehicles / IT / misc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Total monthly burn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</w:p>
        </w:tc>
      </w:tr>
    </w:tbl>
    <w:p/>
    <w:p>
      <w:pPr>
        <w:jc w:val="center"/>
      </w:pPr>
      <w:r>
        <w:rPr>
          <w:color w:val="404040"/>
          <w:sz w:val="16"/>
        </w:rPr>
        <w:t>Lighthief Cyprus Ltd · HE 477423 · solarfarms.cy · office@lighthief.com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