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BOARD RESOLUTION signing authority DRAFT</w:t>
      </w:r>
    </w:p>
    <w:p/>
    <w:p>
      <w:pPr>
        <w:spacing w:before="0" w:after="120"/>
      </w:pPr>
      <w:r>
        <w:rPr>
          <w:b/>
          <w:color w:val="C9A432"/>
          <w:sz w:val="28"/>
        </w:rPr>
        <w:t>DRAFT — Written resolution of the directors</w:t>
      </w:r>
    </w:p>
    <w:p>
      <w:pPr>
        <w:spacing w:before="280" w:after="120"/>
      </w:pPr>
      <w:r>
        <w:rPr>
          <w:b/>
          <w:color w:val="C9A432"/>
          <w:sz w:val="24"/>
        </w:rPr>
        <w:t>Lighthief Cyprus Ltd (HE 477423)</w:t>
      </w:r>
    </w:p>
    <w:p>
      <w:pPr>
        <w:spacing w:after="80"/>
      </w:pPr>
      <w:r>
        <w:rPr>
          <w:b/>
          <w:color w:val="000000"/>
          <w:sz w:val="22"/>
        </w:rPr>
        <w:t>Subject:</w:t>
      </w:r>
      <w:r>
        <w:rPr>
          <w:color w:val="000000"/>
          <w:sz w:val="22"/>
        </w:rPr>
        <w:t xml:space="preserve"> Bank signatories and authority to sign contracts and undertakings</w:t>
      </w:r>
    </w:p>
    <w:p>
      <w:pPr>
        <w:spacing w:after="80"/>
      </w:pPr>
      <w:r>
        <w:rPr>
          <w:b/>
          <w:color w:val="000000"/>
          <w:sz w:val="22"/>
        </w:rPr>
        <w:t>Reference:</w:t>
      </w:r>
      <w:r>
        <w:rPr>
          <w:color w:val="000000"/>
          <w:sz w:val="22"/>
        </w:rPr>
        <w:t xml:space="preserve"> LCY-BR-2026-SIGN-001</w:t>
      </w:r>
    </w:p>
    <w:p>
      <w:pPr>
        <w:spacing w:after="80"/>
      </w:pPr>
      <w:r>
        <w:rPr>
          <w:b/>
          <w:color w:val="000000"/>
          <w:sz w:val="22"/>
        </w:rPr>
        <w:t>Date:</w:t>
      </w:r>
      <w:r>
        <w:rPr>
          <w:color w:val="000000"/>
          <w:sz w:val="22"/>
        </w:rPr>
        <w:t xml:space="preserve"> `[DD Month 2026]`</w:t>
      </w:r>
    </w:p>
    <w:p>
      <w:pPr>
        <w:spacing w:after="80"/>
      </w:pPr>
      <w:r>
        <w:rPr>
          <w:b/>
          <w:color w:val="000000"/>
          <w:sz w:val="22"/>
        </w:rPr>
        <w:t>Status:</w:t>
      </w:r>
      <w:r>
        <w:rPr>
          <w:color w:val="000000"/>
          <w:sz w:val="22"/>
        </w:rPr>
        <w:t xml:space="preserve"> DRAFT — Cyprus counsel to review before signature</w:t>
      </w:r>
    </w:p>
    <w:p>
      <w:pPr>
        <w:spacing w:before="200" w:after="120"/>
      </w:pPr>
      <w:r>
        <w:rPr>
          <w:b/>
          <w:color w:val="C9A432"/>
          <w:sz w:val="22"/>
        </w:rPr>
        <w:t>NOT LEGAL ADVICE</w:t>
      </w:r>
    </w:p>
    <w:p>
      <w:pPr>
        <w:spacing w:after="80"/>
      </w:pPr>
      <w:r>
        <w:rPr>
          <w:color w:val="000000"/>
          <w:sz w:val="22"/>
        </w:rPr>
        <w:t xml:space="preserve">This is a </w:t>
      </w:r>
      <w:r>
        <w:rPr>
          <w:b/>
          <w:color w:val="000000"/>
          <w:sz w:val="22"/>
        </w:rPr>
        <w:t>template</w:t>
      </w:r>
      <w:r>
        <w:rPr>
          <w:color w:val="000000"/>
          <w:sz w:val="22"/>
        </w:rPr>
        <w:t xml:space="preserve">. It must be checked against the </w:t>
      </w:r>
      <w:r>
        <w:rPr>
          <w:b/>
          <w:color w:val="000000"/>
          <w:sz w:val="22"/>
        </w:rPr>
        <w:t>articles of association</w:t>
      </w:r>
      <w:r>
        <w:rPr>
          <w:color w:val="000000"/>
          <w:sz w:val="22"/>
        </w:rPr>
        <w:t xml:space="preserve">, any </w:t>
      </w:r>
      <w:r>
        <w:rPr>
          <w:b/>
          <w:color w:val="000000"/>
          <w:sz w:val="22"/>
        </w:rPr>
        <w:t>shareholders’ agreement</w:t>
      </w:r>
      <w:r>
        <w:rPr>
          <w:color w:val="000000"/>
          <w:sz w:val="22"/>
        </w:rPr>
        <w:t xml:space="preserve">, and </w:t>
      </w:r>
      <w:r>
        <w:rPr>
          <w:b/>
          <w:color w:val="000000"/>
          <w:sz w:val="22"/>
        </w:rPr>
        <w:t>Cyprus Companies Law</w:t>
      </w:r>
      <w:r>
        <w:rPr>
          <w:color w:val="000000"/>
          <w:sz w:val="22"/>
        </w:rPr>
        <w:t xml:space="preserve"> as amended.</w:t>
      </w:r>
    </w:p>
    <w:p>
      <w:pPr>
        <w:spacing w:before="280" w:after="120"/>
      </w:pPr>
      <w:r>
        <w:rPr>
          <w:b/>
          <w:color w:val="C9A432"/>
          <w:sz w:val="24"/>
        </w:rPr>
        <w:t>Resolution</w:t>
      </w:r>
    </w:p>
    <w:p>
      <w:pPr>
        <w:spacing w:after="80"/>
      </w:pPr>
      <w:r>
        <w:rPr>
          <w:color w:val="000000"/>
          <w:sz w:val="22"/>
        </w:rPr>
        <w:t xml:space="preserve">The directors of </w:t>
      </w:r>
      <w:r>
        <w:rPr>
          <w:b/>
          <w:color w:val="000000"/>
          <w:sz w:val="22"/>
        </w:rPr>
        <w:t>Lighthief Cyprus Ltd</w:t>
      </w:r>
      <w:r>
        <w:rPr>
          <w:color w:val="000000"/>
          <w:sz w:val="22"/>
        </w:rPr>
        <w:t xml:space="preserve"> (the </w:t>
      </w:r>
      <w:r>
        <w:rPr>
          <w:b/>
          <w:color w:val="000000"/>
          <w:sz w:val="22"/>
        </w:rPr>
        <w:t>Company</w:t>
      </w:r>
      <w:r>
        <w:rPr>
          <w:color w:val="000000"/>
          <w:sz w:val="22"/>
        </w:rPr>
        <w:t xml:space="preserve">), having considered the Company’s obligations to its bank, clients, suppliers, and investors, </w:t>
      </w:r>
      <w:r>
        <w:rPr>
          <w:b/>
          <w:color w:val="000000"/>
          <w:sz w:val="22"/>
        </w:rPr>
        <w:t>RESOLVE</w:t>
      </w:r>
      <w:r>
        <w:rPr>
          <w:color w:val="000000"/>
          <w:sz w:val="22"/>
        </w:rPr>
        <w:t xml:space="preserve"> as follows:</w:t>
      </w:r>
    </w:p>
    <w:p>
      <w:pPr>
        <w:spacing w:before="200" w:after="120"/>
      </w:pPr>
      <w:r>
        <w:rPr>
          <w:b/>
          <w:color w:val="C9A432"/>
          <w:sz w:val="22"/>
        </w:rPr>
        <w:t>1. Bank account signatories</w:t>
      </w:r>
    </w:p>
    <w:p>
      <w:pPr>
        <w:spacing w:after="80"/>
      </w:pPr>
      <w:r>
        <w:rPr>
          <w:color w:val="000000"/>
          <w:sz w:val="22"/>
        </w:rPr>
        <w:t xml:space="preserve">1.1 The following persons are authorised as </w:t>
      </w:r>
      <w:r>
        <w:rPr>
          <w:b/>
          <w:color w:val="000000"/>
          <w:sz w:val="22"/>
        </w:rPr>
        <w:t>signatories</w:t>
      </w:r>
      <w:r>
        <w:rPr>
          <w:color w:val="000000"/>
          <w:sz w:val="22"/>
        </w:rPr>
        <w:t xml:space="preserve"> on the Company’s bank accounts held with `[Bank name]`: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Mandate (delete as applicable)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`[e.g. Director]`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`[Sole / A / B]`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`[e.g. Director]`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`[Sole / A / B]`</w:t>
            </w:r>
          </w:p>
        </w:tc>
      </w:tr>
    </w:tbl>
    <w:p>
      <w:pPr>
        <w:spacing w:after="80"/>
      </w:pPr>
      <w:r>
        <w:rPr>
          <w:color w:val="000000"/>
          <w:sz w:val="22"/>
        </w:rPr>
        <w:t xml:space="preserve">1.2 </w:t>
      </w:r>
      <w:r>
        <w:rPr>
          <w:b/>
          <w:color w:val="000000"/>
          <w:sz w:val="22"/>
        </w:rPr>
        <w:t>Payment instructions</w:t>
      </w:r>
      <w:r>
        <w:rPr>
          <w:color w:val="000000"/>
          <w:sz w:val="22"/>
        </w:rPr>
        <w:t xml:space="preserve"> above </w:t>
      </w:r>
      <w:r>
        <w:rPr>
          <w:b/>
          <w:color w:val="000000"/>
          <w:sz w:val="22"/>
        </w:rPr>
        <w:t>€`[threshold]`</w:t>
      </w:r>
      <w:r>
        <w:rPr>
          <w:color w:val="000000"/>
          <w:sz w:val="22"/>
        </w:rPr>
        <w:t xml:space="preserve"> (or equivalent) require </w:t>
      </w:r>
      <w:r>
        <w:rPr>
          <w:b/>
          <w:color w:val="000000"/>
          <w:sz w:val="22"/>
        </w:rPr>
        <w:t>two (2)</w:t>
      </w:r>
      <w:r>
        <w:rPr>
          <w:color w:val="000000"/>
          <w:sz w:val="22"/>
        </w:rPr>
        <w:t xml:space="preserve"> authorised signatories in accordance with the bank’s mandate form filed with `[Bank name]`.</w:t>
      </w:r>
    </w:p>
    <w:p>
      <w:pPr>
        <w:spacing w:after="80"/>
      </w:pPr>
      <w:r>
        <w:rPr>
          <w:color w:val="000000"/>
          <w:sz w:val="22"/>
        </w:rPr>
        <w:t xml:space="preserve">1.3 Any amendment to signatories requires a </w:t>
      </w:r>
      <w:r>
        <w:rPr>
          <w:b/>
          <w:color w:val="000000"/>
          <w:sz w:val="22"/>
        </w:rPr>
        <w:t>fresh board resolution</w:t>
      </w:r>
      <w:r>
        <w:rPr>
          <w:color w:val="000000"/>
          <w:sz w:val="22"/>
        </w:rPr>
        <w:t xml:space="preserve"> and updated bank mandate.</w:t>
      </w:r>
    </w:p>
    <w:p>
      <w:pPr>
        <w:spacing w:before="200" w:after="120"/>
      </w:pPr>
      <w:r>
        <w:rPr>
          <w:b/>
          <w:color w:val="C9A432"/>
          <w:sz w:val="22"/>
        </w:rPr>
        <w:t>2. Authority to bind the Company in commercial contracts</w:t>
      </w:r>
    </w:p>
    <w:p>
      <w:pPr>
        <w:spacing w:after="80"/>
      </w:pPr>
      <w:r>
        <w:rPr>
          <w:color w:val="000000"/>
          <w:sz w:val="22"/>
        </w:rPr>
        <w:t xml:space="preserve">2.1 Unless a higher approval is required under clause 3, the Company may execute </w:t>
      </w:r>
      <w:r>
        <w:rPr>
          <w:b/>
          <w:color w:val="000000"/>
          <w:sz w:val="22"/>
        </w:rPr>
        <w:t>commercial contracts</w:t>
      </w:r>
      <w:r>
        <w:rPr>
          <w:color w:val="000000"/>
          <w:sz w:val="22"/>
        </w:rPr>
        <w:t xml:space="preserve"> (including EPC-related subcontracts, consultancy, and supplier orders) provided that: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the commitment is </w:t>
      </w:r>
      <w:r>
        <w:rPr>
          <w:b/>
          <w:color w:val="000000"/>
          <w:sz w:val="20"/>
        </w:rPr>
        <w:t>within an approved budget</w:t>
      </w:r>
      <w:r>
        <w:rPr>
          <w:color w:val="000000"/>
          <w:sz w:val="20"/>
        </w:rPr>
        <w:t xml:space="preserve"> adopted by the board (see companion resolution LCY-BR-2026-BUDGET-001 or as replaced); and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any single contract </w:t>
      </w:r>
      <w:r>
        <w:rPr>
          <w:b/>
          <w:color w:val="000000"/>
          <w:sz w:val="20"/>
        </w:rPr>
        <w:t>not exceeding €`[single contract limit]`</w:t>
      </w:r>
      <w:r>
        <w:rPr>
          <w:color w:val="000000"/>
          <w:sz w:val="20"/>
        </w:rPr>
        <w:t xml:space="preserve"> in aggregate liability to the Company may be signed by </w:t>
      </w:r>
      <w:r>
        <w:rPr>
          <w:b/>
          <w:color w:val="000000"/>
          <w:sz w:val="20"/>
        </w:rPr>
        <w:t>one</w:t>
      </w:r>
      <w:r>
        <w:rPr>
          <w:color w:val="000000"/>
          <w:sz w:val="20"/>
        </w:rPr>
        <w:t xml:space="preserve"> of: `[Name]` </w:t>
      </w:r>
      <w:r>
        <w:rPr>
          <w:b/>
          <w:color w:val="000000"/>
          <w:sz w:val="20"/>
        </w:rPr>
        <w:t>or</w:t>
      </w:r>
      <w:r>
        <w:rPr>
          <w:color w:val="000000"/>
          <w:sz w:val="20"/>
        </w:rPr>
        <w:t xml:space="preserve"> `[Name]`; and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any single contract </w:t>
      </w:r>
      <w:r>
        <w:rPr>
          <w:b/>
          <w:color w:val="000000"/>
          <w:sz w:val="20"/>
        </w:rPr>
        <w:t>exceeding €`[single contract limit]`</w:t>
      </w:r>
      <w:r>
        <w:rPr>
          <w:color w:val="000000"/>
          <w:sz w:val="20"/>
        </w:rPr>
        <w:t xml:space="preserve"> but </w:t>
      </w:r>
      <w:r>
        <w:rPr>
          <w:b/>
          <w:color w:val="000000"/>
          <w:sz w:val="20"/>
        </w:rPr>
        <w:t>not exceeding €`[higher tier]`</w:t>
      </w:r>
      <w:r>
        <w:rPr>
          <w:color w:val="000000"/>
          <w:sz w:val="20"/>
        </w:rPr>
        <w:t xml:space="preserve"> requires </w:t>
      </w:r>
      <w:r>
        <w:rPr>
          <w:b/>
          <w:color w:val="000000"/>
          <w:sz w:val="20"/>
        </w:rPr>
        <w:t>two (2)</w:t>
      </w:r>
      <w:r>
        <w:rPr>
          <w:color w:val="000000"/>
          <w:sz w:val="20"/>
        </w:rPr>
        <w:t xml:space="preserve"> signatures from persons listed in the schedule below.</w:t>
      </w:r>
    </w:p>
    <w:p>
      <w:pPr>
        <w:spacing w:after="80"/>
      </w:pPr>
      <w:r>
        <w:rPr>
          <w:color w:val="000000"/>
          <w:sz w:val="22"/>
        </w:rPr>
        <w:t xml:space="preserve">2.2 </w:t>
      </w:r>
      <w:r>
        <w:rPr>
          <w:b/>
          <w:color w:val="000000"/>
          <w:sz w:val="22"/>
        </w:rPr>
        <w:t>Schedule — authorised signatories for commercial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Signature authority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`[Director / authorised representative]`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Per clause 2.1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`[Director / authorised representative]`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Per clause 2.1</w:t>
            </w:r>
          </w:p>
        </w:tc>
      </w:tr>
    </w:tbl>
    <w:p>
      <w:pPr>
        <w:spacing w:before="200" w:after="120"/>
      </w:pPr>
      <w:r>
        <w:rPr>
          <w:b/>
          <w:color w:val="C9A432"/>
          <w:sz w:val="22"/>
        </w:rPr>
        <w:t>3. Reserved matters — board resolution required before signature</w:t>
      </w:r>
    </w:p>
    <w:p>
      <w:pPr>
        <w:spacing w:after="80"/>
      </w:pPr>
      <w:r>
        <w:rPr>
          <w:color w:val="000000"/>
          <w:sz w:val="22"/>
        </w:rPr>
        <w:t xml:space="preserve">The following may </w:t>
      </w:r>
      <w:r>
        <w:rPr>
          <w:b/>
          <w:color w:val="000000"/>
          <w:sz w:val="22"/>
        </w:rPr>
        <w:t>not</w:t>
      </w:r>
      <w:r>
        <w:rPr>
          <w:color w:val="000000"/>
          <w:sz w:val="22"/>
        </w:rPr>
        <w:t xml:space="preserve"> be signed or agreed </w:t>
      </w:r>
      <w:r>
        <w:rPr>
          <w:b/>
          <w:color w:val="000000"/>
          <w:sz w:val="22"/>
        </w:rPr>
        <w:t>without a prior board resolution</w:t>
      </w:r>
      <w:r>
        <w:rPr>
          <w:color w:val="000000"/>
          <w:sz w:val="22"/>
        </w:rPr>
        <w:t xml:space="preserve"> (written or minuted):</w:t>
      </w:r>
    </w:p>
    <w:p>
      <w:pPr>
        <w:spacing w:after="80"/>
      </w:pPr>
      <w:r>
        <w:rPr>
          <w:color w:val="000000"/>
          <w:sz w:val="22"/>
        </w:rPr>
        <w:t xml:space="preserve">(a) Parent company guarantees, performance bonds, advance payment guarantees, letters of comfort, or similar </w:t>
      </w:r>
      <w:r>
        <w:rPr>
          <w:b/>
          <w:color w:val="000000"/>
          <w:sz w:val="22"/>
        </w:rPr>
        <w:t>financial undertakings</w:t>
      </w:r>
      <w:r>
        <w:rPr>
          <w:color w:val="000000"/>
          <w:sz w:val="22"/>
        </w:rPr>
        <w:t>;</w:t>
      </w:r>
    </w:p>
    <w:p>
      <w:pPr>
        <w:spacing w:after="80"/>
      </w:pPr>
      <w:r>
        <w:rPr>
          <w:color w:val="000000"/>
          <w:sz w:val="22"/>
        </w:rPr>
        <w:t xml:space="preserve">(b) Exclusive distribution, exclusivity, or </w:t>
      </w:r>
      <w:r>
        <w:rPr>
          <w:b/>
          <w:color w:val="000000"/>
          <w:sz w:val="22"/>
        </w:rPr>
        <w:t>non-compete</w:t>
      </w:r>
      <w:r>
        <w:rPr>
          <w:color w:val="000000"/>
          <w:sz w:val="22"/>
        </w:rPr>
        <w:t xml:space="preserve"> undertakings with a term exceeding `[X]` months;</w:t>
      </w:r>
    </w:p>
    <w:p>
      <w:pPr>
        <w:spacing w:after="80"/>
      </w:pPr>
      <w:r>
        <w:rPr>
          <w:color w:val="000000"/>
          <w:sz w:val="22"/>
        </w:rPr>
        <w:t xml:space="preserve">(c) Settlement of disputes or litigation above </w:t>
      </w:r>
      <w:r>
        <w:rPr>
          <w:b/>
          <w:color w:val="000000"/>
          <w:sz w:val="22"/>
        </w:rPr>
        <w:t>€`[amount]`</w:t>
      </w:r>
      <w:r>
        <w:rPr>
          <w:color w:val="000000"/>
          <w:sz w:val="22"/>
        </w:rPr>
        <w:t>;</w:t>
      </w:r>
    </w:p>
    <w:p>
      <w:pPr>
        <w:spacing w:after="80"/>
      </w:pPr>
      <w:r>
        <w:rPr>
          <w:color w:val="000000"/>
          <w:sz w:val="22"/>
        </w:rPr>
        <w:t xml:space="preserve">(d) Borrowing, granting security over material assets, or creating </w:t>
      </w:r>
      <w:r>
        <w:rPr>
          <w:b/>
          <w:color w:val="000000"/>
          <w:sz w:val="22"/>
        </w:rPr>
        <w:t>fixed and floating charges</w:t>
      </w:r>
      <w:r>
        <w:rPr>
          <w:color w:val="000000"/>
          <w:sz w:val="22"/>
        </w:rPr>
        <w:t>;</w:t>
      </w:r>
    </w:p>
    <w:p>
      <w:pPr>
        <w:spacing w:after="80"/>
      </w:pPr>
      <w:r>
        <w:rPr>
          <w:color w:val="000000"/>
          <w:sz w:val="22"/>
        </w:rPr>
        <w:t>(e) Issuance of new shares, options, or convertible instruments;</w:t>
      </w:r>
    </w:p>
    <w:p>
      <w:pPr>
        <w:spacing w:after="80"/>
      </w:pPr>
      <w:r>
        <w:rPr>
          <w:color w:val="000000"/>
          <w:sz w:val="22"/>
        </w:rPr>
        <w:t xml:space="preserve">(f) Sale of all or a </w:t>
      </w:r>
      <w:r>
        <w:rPr>
          <w:b/>
          <w:color w:val="000000"/>
          <w:sz w:val="22"/>
        </w:rPr>
        <w:t>material part</w:t>
      </w:r>
      <w:r>
        <w:rPr>
          <w:color w:val="000000"/>
          <w:sz w:val="22"/>
        </w:rPr>
        <w:t xml:space="preserve"> of the business or assets (threshold: `[define with counsel]`).</w:t>
      </w:r>
    </w:p>
    <w:p>
      <w:pPr>
        <w:spacing w:before="200" w:after="120"/>
      </w:pPr>
      <w:r>
        <w:rPr>
          <w:b/>
          <w:color w:val="C9A432"/>
          <w:sz w:val="22"/>
        </w:rPr>
        <w:t>4. Personal guarantees</w:t>
      </w:r>
    </w:p>
    <w:p>
      <w:pPr>
        <w:spacing w:after="80"/>
      </w:pPr>
      <w:r>
        <w:rPr>
          <w:color w:val="000000"/>
          <w:sz w:val="22"/>
        </w:rPr>
        <w:t xml:space="preserve">No director or employee is authorised to offer </w:t>
      </w:r>
      <w:r>
        <w:rPr>
          <w:b/>
          <w:color w:val="000000"/>
          <w:sz w:val="22"/>
        </w:rPr>
        <w:t>personal guarantees</w:t>
      </w:r>
      <w:r>
        <w:rPr>
          <w:color w:val="000000"/>
          <w:sz w:val="22"/>
        </w:rPr>
        <w:t xml:space="preserve"> for the Company’s obligations. Any request for a personal guarantee must be referred to the board and to </w:t>
      </w:r>
      <w:r>
        <w:rPr>
          <w:b/>
          <w:color w:val="000000"/>
          <w:sz w:val="22"/>
        </w:rPr>
        <w:t>external counsel</w:t>
      </w:r>
      <w:r>
        <w:rPr>
          <w:color w:val="000000"/>
          <w:sz w:val="22"/>
        </w:rPr>
        <w:t xml:space="preserve"> in advance.</w:t>
      </w:r>
    </w:p>
    <w:p>
      <w:pPr>
        <w:spacing w:before="200" w:after="120"/>
      </w:pPr>
      <w:r>
        <w:rPr>
          <w:b/>
          <w:color w:val="C9A432"/>
          <w:sz w:val="22"/>
        </w:rPr>
        <w:t>5. Corporate capacity</w:t>
      </w:r>
    </w:p>
    <w:p>
      <w:pPr>
        <w:spacing w:after="80"/>
      </w:pPr>
      <w:r>
        <w:rPr>
          <w:color w:val="000000"/>
          <w:sz w:val="22"/>
        </w:rPr>
        <w:t xml:space="preserve">All signatories warrant that they will not execute instruments </w:t>
      </w:r>
      <w:r>
        <w:rPr>
          <w:b/>
          <w:color w:val="000000"/>
          <w:sz w:val="22"/>
        </w:rPr>
        <w:t>outside</w:t>
      </w:r>
      <w:r>
        <w:rPr>
          <w:color w:val="000000"/>
          <w:sz w:val="22"/>
        </w:rPr>
        <w:t xml:space="preserve"> the authority granted by this resolution and the Company’s articles.</w:t>
      </w:r>
    </w:p>
    <w:p>
      <w:pPr>
        <w:spacing w:before="200" w:after="120"/>
      </w:pPr>
      <w:r>
        <w:rPr>
          <w:b/>
          <w:color w:val="C9A432"/>
          <w:sz w:val="22"/>
        </w:rPr>
        <w:t>6. Filing and effect</w:t>
      </w:r>
    </w:p>
    <w:p>
      <w:pPr>
        <w:spacing w:after="80"/>
      </w:pPr>
      <w:r>
        <w:rPr>
          <w:color w:val="000000"/>
          <w:sz w:val="22"/>
        </w:rPr>
        <w:t xml:space="preserve">This resolution takes effect on the date of the </w:t>
      </w:r>
      <w:r>
        <w:rPr>
          <w:b/>
          <w:color w:val="000000"/>
          <w:sz w:val="22"/>
        </w:rPr>
        <w:t>last signature</w:t>
      </w:r>
      <w:r>
        <w:rPr>
          <w:color w:val="000000"/>
          <w:sz w:val="22"/>
        </w:rPr>
        <w:t xml:space="preserve"> below and remains in force until replaced by a subsequent board resolution. A copy shall be placed in the </w:t>
      </w:r>
      <w:r>
        <w:rPr>
          <w:b/>
          <w:color w:val="000000"/>
          <w:sz w:val="22"/>
        </w:rPr>
        <w:t>minute book</w:t>
      </w:r>
      <w:r>
        <w:rPr>
          <w:color w:val="000000"/>
          <w:sz w:val="22"/>
        </w:rPr>
        <w:t xml:space="preserve"> / company records and supplied to `[Bank name]` as required.</w:t>
      </w:r>
    </w:p>
    <w:p>
      <w:pPr>
        <w:spacing w:after="80"/>
      </w:pPr>
      <w:r>
        <w:rPr>
          <w:b/>
          <w:color w:val="000000"/>
          <w:sz w:val="22"/>
        </w:rPr>
        <w:t>Signed as a written resolution of the 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Director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Director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</w:tbl>
    <w:p>
      <w:pPr>
        <w:spacing w:after="80"/>
      </w:pPr>
      <w:r>
        <w:rPr>
          <w:b/>
          <w:color w:val="000000"/>
          <w:sz w:val="22"/>
        </w:rPr>
        <w:t>Optional — witness / company secretary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`[Company secretary / witness]`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</w:tbl>
    <w:p/>
    <w:p>
      <w:pPr>
        <w:jc w:val="center"/>
      </w:pPr>
      <w:r>
        <w:rPr>
          <w:color w:val="404040"/>
          <w:sz w:val="16"/>
        </w:rPr>
        <w:t>Lighthief Cyprus Ltd · HE 477423 · solarfarms.cy · office@lighthief.com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