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README</w:t>
      </w:r>
    </w:p>
    <w:p/>
    <w:p>
      <w:pPr>
        <w:spacing w:before="0" w:after="120"/>
      </w:pPr>
      <w:r>
        <w:rPr>
          <w:b/>
          <w:color w:val="C9A432"/>
          <w:sz w:val="28"/>
        </w:rPr>
        <w:t>Company structure &amp; governance drafts (Lighthief Cyprus Ltd)</w:t>
      </w:r>
    </w:p>
    <w:p>
      <w:pPr>
        <w:spacing w:after="80"/>
      </w:pPr>
      <w:r>
        <w:rPr>
          <w:b/>
          <w:color w:val="000000"/>
          <w:sz w:val="22"/>
        </w:rPr>
        <w:t>Purpose:</w:t>
      </w:r>
      <w:r>
        <w:rPr>
          <w:color w:val="000000"/>
          <w:sz w:val="22"/>
        </w:rPr>
        <w:t xml:space="preserve"> Working pack for </w:t>
      </w:r>
      <w:r>
        <w:rPr>
          <w:b/>
          <w:color w:val="000000"/>
          <w:sz w:val="22"/>
        </w:rPr>
        <w:t>bank KYC</w:t>
      </w:r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investor diligence</w:t>
      </w:r>
      <w:r>
        <w:rPr>
          <w:color w:val="000000"/>
          <w:sz w:val="22"/>
        </w:rPr>
        <w:t xml:space="preserve">, and </w:t>
      </w:r>
      <w:r>
        <w:rPr>
          <w:b/>
          <w:color w:val="000000"/>
          <w:sz w:val="22"/>
        </w:rPr>
        <w:t>internal alignment</w:t>
      </w:r>
      <w:r>
        <w:rPr>
          <w:color w:val="000000"/>
          <w:sz w:val="22"/>
        </w:rPr>
        <w:t xml:space="preserve"> on who can bind the company and how decisions are recorded.</w:t>
      </w:r>
    </w:p>
    <w:p>
      <w:pPr>
        <w:spacing w:after="80"/>
      </w:pPr>
      <w:r>
        <w:rPr>
          <w:b/>
          <w:color w:val="000000"/>
          <w:sz w:val="22"/>
        </w:rPr>
        <w:t>Classification:</w:t>
      </w:r>
      <w:r>
        <w:rPr>
          <w:color w:val="000000"/>
          <w:sz w:val="22"/>
        </w:rPr>
        <w:t xml:space="preserve"> Internal — draft. </w:t>
      </w:r>
      <w:r>
        <w:rPr>
          <w:b/>
          <w:color w:val="000000"/>
          <w:sz w:val="22"/>
        </w:rPr>
        <w:t>Not executed</w:t>
      </w:r>
      <w:r>
        <w:rPr>
          <w:color w:val="000000"/>
          <w:sz w:val="22"/>
        </w:rPr>
        <w:t xml:space="preserve"> until signed by the board (and shareholders where required).</w:t>
      </w:r>
    </w:p>
    <w:p>
      <w:pPr>
        <w:spacing w:after="80"/>
      </w:pPr>
      <w:r>
        <w:rPr>
          <w:b/>
          <w:color w:val="000000"/>
          <w:sz w:val="22"/>
        </w:rPr>
        <w:t>Critical:</w:t>
      </w:r>
      <w:r>
        <w:rPr>
          <w:color w:val="000000"/>
          <w:sz w:val="22"/>
        </w:rPr>
        <w:t xml:space="preserve"> These files are </w:t>
      </w:r>
      <w:r>
        <w:rPr>
          <w:b/>
          <w:color w:val="000000"/>
          <w:sz w:val="22"/>
        </w:rPr>
        <w:t>templates only</w:t>
      </w:r>
      <w:r>
        <w:rPr>
          <w:color w:val="000000"/>
          <w:sz w:val="22"/>
        </w:rPr>
        <w:t xml:space="preserve"> and </w:t>
      </w:r>
      <w:r>
        <w:rPr>
          <w:b/>
          <w:color w:val="000000"/>
          <w:sz w:val="22"/>
        </w:rPr>
        <w:t>do not constitute legal advice</w:t>
      </w:r>
      <w:r>
        <w:rPr>
          <w:color w:val="000000"/>
          <w:sz w:val="22"/>
        </w:rPr>
        <w:t xml:space="preserve">. A </w:t>
      </w:r>
      <w:r>
        <w:rPr>
          <w:b/>
          <w:color w:val="000000"/>
          <w:sz w:val="22"/>
        </w:rPr>
        <w:t>Cyprus-qualified lawyer</w:t>
      </w:r>
      <w:r>
        <w:rPr>
          <w:color w:val="000000"/>
          <w:sz w:val="22"/>
        </w:rPr>
        <w:t xml:space="preserve"> must adapt them to your articles of association, any shareholders’ agreement, and Registrar of Companies practice.</w:t>
      </w:r>
    </w:p>
    <w:p>
      <w:pPr>
        <w:spacing w:after="80"/>
      </w:pPr>
      <w:r>
        <w:rPr>
          <w:b/>
          <w:color w:val="000000"/>
          <w:sz w:val="22"/>
        </w:rPr>
        <w:t>Verified company identifiers</w:t>
      </w:r>
      <w:r>
        <w:rPr>
          <w:color w:val="000000"/>
          <w:sz w:val="22"/>
        </w:rPr>
        <w:t xml:space="preserve"> (from `lib/constants.ts`):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Legal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Lighthief Cyprus Ltd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Company number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HE 477423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TIN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60187188Q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Agiou Andreou 241, AG TRIAS COURT, Flat/Office 31, 3036 Limassol, Cyprus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Operational office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28 October Ave 249, Lophitis Business Center 1, Office 201, 3035 Limassol, Cyprus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General email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office@lighthief.com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Office phone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+357 77 77 00 50</w:t>
            </w:r>
          </w:p>
        </w:tc>
      </w:tr>
    </w:tbl>
    <w:p>
      <w:pPr>
        <w:spacing w:before="280" w:after="120"/>
      </w:pPr>
      <w:r>
        <w:rPr>
          <w:b/>
          <w:color w:val="C9A432"/>
          <w:sz w:val="24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[company-structure.md](./company-structure.md)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Master overview: intended org chart, roles, signatory policy summary, checklist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[BOARD-RESOLUTION-signing-authority-DRAFT.md](./BOARD-RESOLUTION-signing-authority-DRAFT.md)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Draft board resolution: bank signatories &amp; contract signing limits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[BOARD-RESOLUTION-operating-budget-and-delegation-DRAFT.md](./BOARD-RESOLUTION-operating-budget-and-delegation-DRAFT.md)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Draft board resolution: approved budget band &amp; delegated 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[MINUTES-template-first-board-2026-DRAFT.md](./MINUTES-template-first-board-2026-DRAFT.md)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Template minutes to adopt the above (optional first formal meeting)</w:t>
            </w:r>
          </w:p>
        </w:tc>
      </w:tr>
    </w:tbl>
    <w:p>
      <w:pPr>
        <w:spacing w:after="80"/>
      </w:pPr>
      <w:r>
        <w:rPr>
          <w:color w:val="000000"/>
          <w:sz w:val="22"/>
        </w:rPr>
        <w:t>Fill all `[BRACKETS]` before legal review. Remove drafts from client-facing folders.</w:t>
      </w:r>
    </w:p>
    <w:p>
      <w:pPr>
        <w:spacing w:before="280" w:after="120"/>
      </w:pPr>
      <w:r>
        <w:rPr>
          <w:b/>
          <w:color w:val="C9A432"/>
          <w:sz w:val="24"/>
        </w:rPr>
        <w:t>Word versions (.docx)</w:t>
      </w:r>
    </w:p>
    <w:p>
      <w:pPr>
        <w:spacing w:after="80"/>
      </w:pPr>
      <w:r>
        <w:rPr>
          <w:color w:val="000000"/>
          <w:sz w:val="22"/>
        </w:rPr>
        <w:t>Regenerate from Markdown (requires `python-docx`):</w:t>
      </w:r>
    </w:p>
    <w:p>
      <w:pPr>
        <w:spacing w:after="160"/>
        <w:ind w:left="283"/>
      </w:pPr>
      <w:r>
        <w:rPr>
          <w:rFonts w:ascii="Consolas" w:hAnsi="Consolas"/>
          <w:color w:val="404040"/>
          <w:sz w:val="16"/>
        </w:rPr>
        <w:t>python lighthief-cyprus/company-structure/generate-governance-docx.py</w:t>
      </w:r>
    </w:p>
    <w:p>
      <w:pPr>
        <w:spacing w:after="80"/>
      </w:pPr>
      <w:r>
        <w:rPr>
          <w:color w:val="000000"/>
          <w:sz w:val="22"/>
        </w:rPr>
        <w:t>Outputs one `.docx` per `.md` in this folder (same base name).</w:t>
      </w:r>
    </w:p>
    <w:p/>
    <w:p>
      <w:pPr>
        <w:jc w:val="center"/>
      </w:pPr>
      <w:r>
        <w:rPr>
          <w:color w:val="404040"/>
          <w:sz w:val="16"/>
        </w:rPr>
        <w:t>Lighthief Cyprus Ltd · HE 477423 · solarfarms.cy · office@lighthief.com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