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8"/>
        </w:rPr>
        <w:t>company structure</w:t>
      </w:r>
    </w:p>
    <w:p/>
    <w:p>
      <w:pPr>
        <w:spacing w:before="0" w:after="120"/>
      </w:pPr>
      <w:r>
        <w:rPr>
          <w:b/>
          <w:color w:val="C9A432"/>
          <w:sz w:val="28"/>
        </w:rPr>
        <w:t>Company structure — Lighthief Cyprus Ltd</w:t>
      </w:r>
    </w:p>
    <w:p>
      <w:pPr>
        <w:spacing w:after="80"/>
      </w:pPr>
      <w:r>
        <w:rPr>
          <w:b/>
          <w:color w:val="000000"/>
          <w:sz w:val="22"/>
        </w:rPr>
        <w:t>Document:</w:t>
      </w:r>
      <w:r>
        <w:rPr>
          <w:color w:val="000000"/>
          <w:sz w:val="22"/>
        </w:rPr>
        <w:t xml:space="preserve"> LCY-GOV-STRUCT-2026-001</w:t>
      </w:r>
    </w:p>
    <w:p>
      <w:pPr>
        <w:spacing w:after="80"/>
      </w:pPr>
      <w:r>
        <w:rPr>
          <w:b/>
          <w:color w:val="000000"/>
          <w:sz w:val="22"/>
        </w:rPr>
        <w:t>Date:</w:t>
      </w:r>
      <w:r>
        <w:rPr>
          <w:color w:val="000000"/>
          <w:sz w:val="22"/>
        </w:rPr>
        <w:t xml:space="preserve"> 15 May 2026</w:t>
      </w:r>
    </w:p>
    <w:p>
      <w:pPr>
        <w:spacing w:after="80"/>
      </w:pPr>
      <w:r>
        <w:rPr>
          <w:b/>
          <w:color w:val="000000"/>
          <w:sz w:val="22"/>
        </w:rPr>
        <w:t>Status:</w:t>
      </w:r>
      <w:r>
        <w:rPr>
          <w:color w:val="000000"/>
          <w:sz w:val="22"/>
        </w:rPr>
        <w:t xml:space="preserve"> DRAFT — for bank &amp; investor readiness (counsel to finalise)</w:t>
      </w:r>
    </w:p>
    <w:p>
      <w:pPr>
        <w:spacing w:before="280" w:after="120"/>
      </w:pPr>
      <w:r>
        <w:rPr>
          <w:b/>
          <w:color w:val="C9A432"/>
          <w:sz w:val="24"/>
        </w:rPr>
        <w:t>1. Legal entity (operating company)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Lighthief Cyprus Ltd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Reg. No.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HE 477423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TIN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60187188Q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Agiou Andreou 241, AG TRIAS COURT, Flat/Office 31, 3036 Limassol, Cyprus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Principal place of business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28 October Ave 249, Lophitis Business Center 1, Office 201, 3035 Limassol, Cyprus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Website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solarfarms.cy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General contact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office@lighthief.com · +357 77 77 00 50</w:t>
            </w:r>
          </w:p>
        </w:tc>
      </w:tr>
    </w:tbl>
    <w:p>
      <w:pPr>
        <w:spacing w:before="280" w:after="120"/>
      </w:pPr>
      <w:r>
        <w:rPr>
          <w:b/>
          <w:color w:val="C9A432"/>
          <w:sz w:val="24"/>
        </w:rPr>
        <w:t>2. Intended group structure (placeholder)</w:t>
      </w:r>
    </w:p>
    <w:p>
      <w:pPr>
        <w:spacing w:after="80"/>
      </w:pPr>
      <w:r>
        <w:rPr>
          <w:color w:val="000000"/>
          <w:sz w:val="22"/>
        </w:rPr>
        <w:t>*Counsel to confirm against current Registrar extract and share register.*</w:t>
      </w:r>
    </w:p>
    <w:p>
      <w:r>
        <w:rPr>
          <w:b/>
          <w:color w:val="000000"/>
          <w:sz w:val="20"/>
        </w:rPr>
        <w:t>Diagram:</w:t>
      </w:r>
      <w:r>
        <w:rPr>
          <w:color w:val="000000"/>
          <w:sz w:val="20"/>
        </w:rPr>
        <w:t xml:space="preserve"> Mermaid source is in the Markdown file; flowchart not rendered in Word.</w:t>
      </w:r>
    </w:p>
    <w:p>
      <w:pPr>
        <w:spacing w:after="80"/>
      </w:pPr>
      <w:r>
        <w:rPr>
          <w:b/>
          <w:color w:val="000000"/>
          <w:sz w:val="22"/>
        </w:rPr>
        <w:t>Notes for completion</w:t>
      </w:r>
    </w:p>
    <w:p>
      <w:pPr>
        <w:pStyle w:val="ListBullet"/>
        <w:ind w:left="283"/>
      </w:pPr>
      <w:r>
        <w:rPr>
          <w:color w:val="000000"/>
          <w:sz w:val="20"/>
        </w:rPr>
        <w:t xml:space="preserve">Insert </w:t>
      </w:r>
      <w:r>
        <w:rPr>
          <w:b/>
          <w:color w:val="000000"/>
          <w:sz w:val="20"/>
        </w:rPr>
        <w:t>exact shareholder names</w:t>
      </w:r>
      <w:r>
        <w:rPr>
          <w:color w:val="000000"/>
          <w:sz w:val="20"/>
        </w:rPr>
        <w:t xml:space="preserve">, </w:t>
      </w:r>
      <w:r>
        <w:rPr>
          <w:b/>
          <w:color w:val="000000"/>
          <w:sz w:val="20"/>
        </w:rPr>
        <w:t>legal form</w:t>
      </w:r>
      <w:r>
        <w:rPr>
          <w:color w:val="000000"/>
          <w:sz w:val="20"/>
        </w:rPr>
        <w:t xml:space="preserve"> (natural / Cypriot or foreign holding), and </w:t>
      </w:r>
      <w:r>
        <w:rPr>
          <w:b/>
          <w:color w:val="000000"/>
          <w:sz w:val="20"/>
        </w:rPr>
        <w:t>%</w:t>
      </w:r>
      <w:r>
        <w:rPr>
          <w:color w:val="000000"/>
          <w:sz w:val="20"/>
        </w:rPr>
        <w:t xml:space="preserve"> when cap table is finalised.</w:t>
      </w:r>
    </w:p>
    <w:p>
      <w:pPr>
        <w:pStyle w:val="ListBullet"/>
        <w:ind w:left="283"/>
      </w:pPr>
      <w:r>
        <w:rPr>
          <w:color w:val="000000"/>
          <w:sz w:val="20"/>
        </w:rPr>
        <w:t xml:space="preserve">If a </w:t>
      </w:r>
      <w:r>
        <w:rPr>
          <w:b/>
          <w:color w:val="000000"/>
          <w:sz w:val="20"/>
        </w:rPr>
        <w:t>holding company</w:t>
      </w:r>
      <w:r>
        <w:rPr>
          <w:color w:val="000000"/>
          <w:sz w:val="20"/>
        </w:rPr>
        <w:t xml:space="preserve"> is a shareholder, attach a </w:t>
      </w:r>
      <w:r>
        <w:rPr>
          <w:b/>
          <w:color w:val="000000"/>
          <w:sz w:val="20"/>
        </w:rPr>
        <w:t>corporate structure chart</w:t>
      </w:r>
      <w:r>
        <w:rPr>
          <w:color w:val="000000"/>
          <w:sz w:val="20"/>
        </w:rPr>
        <w:t xml:space="preserve"> (one page PDF) for the bank.</w:t>
      </w:r>
    </w:p>
    <w:p>
      <w:pPr>
        <w:spacing w:before="280" w:after="120"/>
      </w:pPr>
      <w:r>
        <w:rPr>
          <w:b/>
          <w:color w:val="C9A432"/>
          <w:sz w:val="24"/>
        </w:rPr>
        <w:t>3. Board of directors (placeholder)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Director</w:t>
            </w:r>
          </w:p>
        </w:tc>
        <w:tc>
          <w:tcPr>
            <w:tcW w:type="dxa" w:w="1728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Capacity</w:t>
            </w:r>
          </w:p>
        </w:tc>
        <w:tc>
          <w:tcPr>
            <w:tcW w:type="dxa" w:w="1728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Appointed by</w:t>
            </w:r>
          </w:p>
        </w:tc>
        <w:tc>
          <w:tcPr>
            <w:tcW w:type="dxa" w:w="1728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`[Name]`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Natural person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`[Ordinary / shareholder resolution date]`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`[e.g. Cyprus operations lead]`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`[Name or corporate director]`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`[Natural / corporate]`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`[resolution date]`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`[e.g. founder side via [Holding Ltd]]`</w:t>
            </w:r>
          </w:p>
        </w:tc>
      </w:tr>
    </w:tbl>
    <w:p>
      <w:pPr>
        <w:spacing w:after="80"/>
      </w:pPr>
      <w:r>
        <w:rPr>
          <w:b/>
          <w:color w:val="000000"/>
          <w:sz w:val="22"/>
        </w:rPr>
        <w:t>Corporate director:</w:t>
      </w:r>
      <w:r>
        <w:rPr>
          <w:color w:val="000000"/>
          <w:sz w:val="22"/>
        </w:rPr>
        <w:t xml:space="preserve"> If a </w:t>
      </w:r>
      <w:r>
        <w:rPr>
          <w:b/>
          <w:color w:val="000000"/>
          <w:sz w:val="22"/>
        </w:rPr>
        <w:t>company</w:t>
      </w:r>
      <w:r>
        <w:rPr>
          <w:color w:val="000000"/>
          <w:sz w:val="22"/>
        </w:rPr>
        <w:t xml:space="preserve"> is listed as director, record the </w:t>
      </w:r>
      <w:r>
        <w:rPr>
          <w:b/>
          <w:color w:val="000000"/>
          <w:sz w:val="22"/>
        </w:rPr>
        <w:t>authorised representative(s)</w:t>
      </w:r>
      <w:r>
        <w:rPr>
          <w:color w:val="000000"/>
          <w:sz w:val="22"/>
        </w:rPr>
        <w:t xml:space="preserve"> / alternate(s) filed at the Registrar and attach evidence.</w:t>
      </w:r>
    </w:p>
    <w:p>
      <w:pPr>
        <w:spacing w:after="80"/>
      </w:pPr>
      <w:r>
        <w:rPr>
          <w:b/>
          <w:color w:val="000000"/>
          <w:sz w:val="22"/>
        </w:rPr>
        <w:t>Quorum &amp; casting vote:</w:t>
      </w:r>
      <w:r>
        <w:rPr>
          <w:color w:val="000000"/>
          <w:sz w:val="22"/>
        </w:rPr>
        <w:t xml:space="preserve"> To be taken from </w:t>
      </w:r>
      <w:r>
        <w:rPr>
          <w:b/>
          <w:color w:val="000000"/>
          <w:sz w:val="22"/>
        </w:rPr>
        <w:t>articles of association</w:t>
      </w:r>
      <w:r>
        <w:rPr>
          <w:color w:val="000000"/>
          <w:sz w:val="22"/>
        </w:rPr>
        <w:t xml:space="preserve"> — do not invent here; counsel fills in.</w:t>
      </w:r>
    </w:p>
    <w:p>
      <w:pPr>
        <w:spacing w:before="280" w:after="120"/>
      </w:pPr>
      <w:r>
        <w:rPr>
          <w:b/>
          <w:color w:val="C9A432"/>
          <w:sz w:val="24"/>
        </w:rPr>
        <w:t>4. Governance documents the company should maintain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Certificate of incorporation &amp; constitutional docs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Proof of existence &amp; rules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Company secretary / counsel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Register of members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Ownership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Company secretary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Register of directors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Statutory compliance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Company secretary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Board minutes / written resolutions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Evidence of decisions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Chair / company secretary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Bank mandate card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Who signs payments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Board + bank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Delegated authority matrix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Who signs contracts &amp; up to what €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Board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Approved annual / project budget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Liquidity &amp; payroll discipline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Board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D&amp;O insurance policy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Director risk mitigation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Board</w:t>
            </w:r>
          </w:p>
        </w:tc>
      </w:tr>
    </w:tbl>
    <w:p>
      <w:pPr>
        <w:spacing w:before="280" w:after="120"/>
      </w:pPr>
      <w:r>
        <w:rPr>
          <w:b/>
          <w:color w:val="C9A432"/>
          <w:sz w:val="24"/>
        </w:rPr>
        <w:t>5. Signing &amp; commitment policy (summary — to be enacted by board resolution)</w:t>
      </w:r>
    </w:p>
    <w:p>
      <w:pPr>
        <w:spacing w:after="80"/>
      </w:pPr>
      <w:r>
        <w:rPr>
          <w:color w:val="000000"/>
          <w:sz w:val="22"/>
        </w:rPr>
        <w:t>*Numbers are illustrative defaults for discussion; counsel and the board set final thresholds.*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1A365D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Typical control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Bank:</w:t>
            </w:r>
            <w:r>
              <w:rPr>
                <w:rFonts w:ascii="Calibri" w:hAnsi="Calibri"/>
                <w:color w:val="000000"/>
                <w:sz w:val="18"/>
              </w:rPr>
              <w:t xml:space="preserve"> routine operations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 xml:space="preserve">As per </w:t>
            </w:r>
            <w:r>
              <w:rPr>
                <w:rFonts w:ascii="Calibri" w:hAnsi="Calibri"/>
                <w:b/>
                <w:color w:val="000000"/>
                <w:sz w:val="18"/>
              </w:rPr>
              <w:t>bank mandate</w:t>
            </w:r>
            <w:r>
              <w:rPr>
                <w:rFonts w:ascii="Calibri" w:hAnsi="Calibri"/>
                <w:color w:val="000000"/>
                <w:sz w:val="18"/>
              </w:rPr>
              <w:t xml:space="preserve"> (often two signatories above €[X])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Contracts:</w:t>
            </w:r>
            <w:r>
              <w:rPr>
                <w:rFonts w:ascii="Calibri" w:hAnsi="Calibri"/>
                <w:color w:val="000000"/>
                <w:sz w:val="18"/>
              </w:rPr>
              <w:t xml:space="preserve"> EPC / supply / large subcontract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Dual signatory</w:t>
            </w:r>
            <w:r>
              <w:rPr>
                <w:rFonts w:ascii="Calibri" w:hAnsi="Calibri"/>
                <w:color w:val="000000"/>
                <w:sz w:val="18"/>
              </w:rPr>
              <w:t xml:space="preserve"> or </w:t>
            </w:r>
            <w:r>
              <w:rPr>
                <w:rFonts w:ascii="Calibri" w:hAnsi="Calibri"/>
                <w:b/>
                <w:color w:val="000000"/>
                <w:sz w:val="18"/>
              </w:rPr>
              <w:t>MD + chair</w:t>
            </w:r>
            <w:r>
              <w:rPr>
                <w:rFonts w:ascii="Calibri" w:hAnsi="Calibri"/>
                <w:color w:val="000000"/>
                <w:sz w:val="18"/>
              </w:rPr>
              <w:t xml:space="preserve"> above €[Y]; counsel review above €[Z]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Parent company guarantees / bonds / APG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Board resolution</w:t>
            </w:r>
            <w:r>
              <w:rPr>
                <w:rFonts w:ascii="Calibri" w:hAnsi="Calibri"/>
                <w:color w:val="000000"/>
                <w:sz w:val="18"/>
              </w:rPr>
              <w:t xml:space="preserve"> + named signatories 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Employment / remuneration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Board-approved budget + single HR signatory within band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b/>
                <w:color w:val="000000"/>
                <w:sz w:val="18"/>
              </w:rPr>
              <w:t>Litigation settlement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000000"/>
              </w:rPr>
            </w:r>
            <w:r>
              <w:rPr>
                <w:rFonts w:ascii="Calibri" w:hAnsi="Calibri"/>
                <w:color w:val="000000"/>
                <w:sz w:val="18"/>
              </w:rPr>
              <w:t>Board resolution</w:t>
            </w:r>
          </w:p>
        </w:tc>
      </w:tr>
    </w:tbl>
    <w:p>
      <w:pPr>
        <w:spacing w:after="80"/>
      </w:pPr>
      <w:r>
        <w:rPr>
          <w:color w:val="000000"/>
          <w:sz w:val="22"/>
        </w:rPr>
        <w:t>Full wording: see [BOARD-RESOLUTION-signing-authority-DRAFT.md](./BOARD-RESOLUTION-signing-authority-DRAFT.md).</w:t>
      </w:r>
    </w:p>
    <w:p>
      <w:pPr>
        <w:spacing w:before="280" w:after="120"/>
      </w:pPr>
      <w:r>
        <w:rPr>
          <w:b/>
          <w:color w:val="C9A432"/>
          <w:sz w:val="24"/>
        </w:rPr>
        <w:t>6. Budget &amp; capital discipline (summary)</w:t>
      </w:r>
    </w:p>
    <w:p>
      <w:pPr>
        <w:spacing w:after="80"/>
      </w:pPr>
      <w:r>
        <w:rPr>
          <w:color w:val="000000"/>
          <w:sz w:val="22"/>
        </w:rPr>
        <w:t xml:space="preserve">The board should approve a </w:t>
      </w:r>
      <w:r>
        <w:rPr>
          <w:b/>
          <w:color w:val="000000"/>
          <w:sz w:val="22"/>
        </w:rPr>
        <w:t>written 90-day (or 12-month) cash budget</w:t>
      </w:r>
      <w:r>
        <w:rPr>
          <w:color w:val="000000"/>
          <w:sz w:val="22"/>
        </w:rPr>
        <w:t xml:space="preserve"> including at minimum: payroll + social insurance, rent, marketing, legal, insurance, vehicles, IT, and project delivery cash timing.</w:t>
      </w:r>
    </w:p>
    <w:p>
      <w:pPr>
        <w:spacing w:after="80"/>
      </w:pPr>
      <w:r>
        <w:rPr>
          <w:color w:val="000000"/>
          <w:sz w:val="22"/>
        </w:rPr>
        <w:t>Full wording: see [BOARD-RESOLUTION-operating-budget-and-delegation-DRAFT.md](./BOARD-RESOLUTION-operating-budget-and-delegation-DRAFT.md).</w:t>
      </w:r>
    </w:p>
    <w:p>
      <w:pPr>
        <w:spacing w:before="280" w:after="120"/>
      </w:pPr>
      <w:r>
        <w:rPr>
          <w:b/>
          <w:color w:val="C9A432"/>
          <w:sz w:val="24"/>
        </w:rPr>
        <w:t>7. Pack checklist for founder conversation (“bank + investor need this”)</w:t>
      </w:r>
    </w:p>
    <w:p>
      <w:pPr>
        <w:pStyle w:val="ListBullet"/>
        <w:ind w:left="283"/>
      </w:pPr>
      <w:r>
        <w:rPr>
          <w:color w:val="000000"/>
          <w:sz w:val="20"/>
        </w:rPr>
        <w:t>[ ] Registrar extract (HE 477423) — current directors &amp; shareholders</w:t>
      </w:r>
    </w:p>
    <w:p>
      <w:pPr>
        <w:pStyle w:val="ListBullet"/>
        <w:ind w:left="283"/>
      </w:pPr>
      <w:r>
        <w:rPr>
          <w:color w:val="000000"/>
          <w:sz w:val="20"/>
        </w:rPr>
        <w:t xml:space="preserve">[ ] Completed </w:t>
      </w:r>
      <w:r>
        <w:rPr>
          <w:b/>
          <w:color w:val="000000"/>
          <w:sz w:val="20"/>
        </w:rPr>
        <w:t>cap table</w:t>
      </w:r>
    </w:p>
    <w:p>
      <w:pPr>
        <w:pStyle w:val="ListBullet"/>
        <w:ind w:left="283"/>
      </w:pPr>
      <w:r>
        <w:rPr>
          <w:color w:val="000000"/>
          <w:sz w:val="20"/>
        </w:rPr>
        <w:t xml:space="preserve">[ ] </w:t>
      </w:r>
      <w:r>
        <w:rPr>
          <w:b/>
          <w:color w:val="000000"/>
          <w:sz w:val="20"/>
        </w:rPr>
        <w:t>Bank mandate</w:t>
      </w:r>
      <w:r>
        <w:rPr>
          <w:color w:val="000000"/>
          <w:sz w:val="20"/>
        </w:rPr>
        <w:t xml:space="preserve"> aligned with board resolution</w:t>
      </w:r>
    </w:p>
    <w:p>
      <w:pPr>
        <w:pStyle w:val="ListBullet"/>
        <w:ind w:left="283"/>
      </w:pPr>
      <w:r>
        <w:rPr>
          <w:color w:val="000000"/>
          <w:sz w:val="20"/>
        </w:rPr>
        <w:t xml:space="preserve">[ ] </w:t>
      </w:r>
      <w:r>
        <w:rPr>
          <w:b/>
          <w:color w:val="000000"/>
          <w:sz w:val="20"/>
        </w:rPr>
        <w:t>Signed</w:t>
      </w:r>
      <w:r>
        <w:rPr>
          <w:color w:val="000000"/>
          <w:sz w:val="20"/>
        </w:rPr>
        <w:t xml:space="preserve"> written board resolutions (or minutes) adopting signing matrix + budget</w:t>
      </w:r>
    </w:p>
    <w:p>
      <w:pPr>
        <w:pStyle w:val="ListBullet"/>
        <w:ind w:left="283"/>
      </w:pPr>
      <w:r>
        <w:rPr>
          <w:color w:val="000000"/>
          <w:sz w:val="20"/>
        </w:rPr>
        <w:t xml:space="preserve">[ ] </w:t>
      </w:r>
      <w:r>
        <w:rPr>
          <w:b/>
          <w:color w:val="000000"/>
          <w:sz w:val="20"/>
        </w:rPr>
        <w:t>D&amp;O</w:t>
      </w:r>
      <w:r>
        <w:rPr>
          <w:color w:val="000000"/>
          <w:sz w:val="20"/>
        </w:rPr>
        <w:t xml:space="preserve"> quote or policy schedule</w:t>
      </w:r>
    </w:p>
    <w:p>
      <w:pPr>
        <w:pStyle w:val="ListBullet"/>
        <w:ind w:left="283"/>
      </w:pPr>
      <w:r>
        <w:rPr>
          <w:color w:val="000000"/>
          <w:sz w:val="20"/>
        </w:rPr>
        <w:t xml:space="preserve">[ ] Single </w:t>
      </w:r>
      <w:r>
        <w:rPr>
          <w:b/>
          <w:color w:val="000000"/>
          <w:sz w:val="20"/>
        </w:rPr>
        <w:t>data room index</w:t>
      </w:r>
      <w:r>
        <w:rPr>
          <w:color w:val="000000"/>
          <w:sz w:val="20"/>
        </w:rPr>
        <w:t xml:space="preserve"> pointing to contracts, financials, and insurance</w:t>
      </w:r>
    </w:p>
    <w:p>
      <w:pPr>
        <w:spacing w:before="280" w:after="120"/>
      </w:pPr>
      <w:r>
        <w:rPr>
          <w:b/>
          <w:color w:val="C9A432"/>
          <w:sz w:val="24"/>
        </w:rPr>
        <w:t>8. Disclaimer</w:t>
      </w:r>
    </w:p>
    <w:p>
      <w:pPr>
        <w:spacing w:after="80"/>
      </w:pPr>
      <w:r>
        <w:rPr>
          <w:color w:val="000000"/>
          <w:sz w:val="22"/>
        </w:rPr>
        <w:t xml:space="preserve">This pack is an </w:t>
      </w:r>
      <w:r>
        <w:rPr>
          <w:b/>
          <w:color w:val="000000"/>
          <w:sz w:val="22"/>
        </w:rPr>
        <w:t>internal drafting aid</w:t>
      </w:r>
      <w:r>
        <w:rPr>
          <w:color w:val="000000"/>
          <w:sz w:val="22"/>
        </w:rPr>
        <w:t xml:space="preserve">. It does not create legal rights or obligations until </w:t>
      </w:r>
      <w:r>
        <w:rPr>
          <w:b/>
          <w:color w:val="000000"/>
          <w:sz w:val="22"/>
        </w:rPr>
        <w:t>properly approved</w:t>
      </w:r>
      <w:r>
        <w:rPr>
          <w:color w:val="000000"/>
          <w:sz w:val="22"/>
        </w:rPr>
        <w:t xml:space="preserve"> under Cyprus law and the company’s constitution. </w:t>
      </w:r>
      <w:r>
        <w:rPr>
          <w:b/>
          <w:color w:val="000000"/>
          <w:sz w:val="22"/>
        </w:rPr>
        <w:t>Do not</w:t>
      </w:r>
      <w:r>
        <w:rPr>
          <w:color w:val="000000"/>
          <w:sz w:val="22"/>
        </w:rPr>
        <w:t xml:space="preserve"> send these drafts to banks or investors marked as final without counsel sign-off.</w:t>
      </w:r>
    </w:p>
    <w:p/>
    <w:p>
      <w:pPr>
        <w:jc w:val="center"/>
      </w:pPr>
      <w:r>
        <w:rPr>
          <w:color w:val="404040"/>
          <w:sz w:val="16"/>
        </w:rPr>
        <w:t>Lighthief Cyprus Ltd · HE 477423 · solarfarms.cy · office@lighthief.com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