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OEM PRODUCT WARRANTY CONFIRMATION &amp; DIRECT UNDERTAKING</w:t>
      </w:r>
    </w:p>
    <w:p>
      <w:pPr>
        <w:jc w:val="center"/>
      </w:pPr>
      <w:r>
        <w:rPr>
          <w:color w:val="C9A432"/>
          <w:sz w:val="22"/>
        </w:rPr>
        <w:t>Galascope Ltd — Draft for client review</w:t>
      </w:r>
    </w:p>
    <w:p/>
    <w:p>
      <w:r>
        <w:rPr>
          <w:rFonts w:ascii="Calibri" w:hAnsi="Calibri"/>
          <w:b/>
          <w:i w:val="0"/>
          <w:color w:val="78350F"/>
          <w:sz w:val="21"/>
        </w:rPr>
        <w:t>DRAFT FOR CLIENT REVIEW — to be signed and sealed by Linyang. This Undertaking reflects the manufacturer's product warranty as set out in its Overseas Energy Storage System Product Warranty Manual (LYCN/WI-3410, v2) and the manufacturer's confirmed specification.</w:t>
      </w:r>
    </w:p>
    <w:p/>
    <w:p>
      <w:r>
        <w:rPr>
          <w:rFonts w:ascii="Calibri" w:hAnsi="Calibri"/>
          <w:b w:val="0"/>
          <w:i w:val="0"/>
          <w:sz w:val="21"/>
        </w:rPr>
        <w:t>FROM: Jiangsu Linyang Energy Storage Technology Co., Ltd (“Linyang” / “OEM”)</w:t>
      </w:r>
    </w:p>
    <w:p>
      <w:r>
        <w:rPr>
          <w:rFonts w:ascii="Calibri" w:hAnsi="Calibri"/>
          <w:b w:val="0"/>
          <w:i w:val="0"/>
          <w:sz w:val="21"/>
        </w:rPr>
        <w:t>TO: Galascope Ltd, Karaiskaki 6, City House, 3032 Limassol, Cyprus (“End-Customer”)</w:t>
      </w:r>
    </w:p>
    <w:p>
      <w:r>
        <w:rPr>
          <w:rFonts w:ascii="Calibri" w:hAnsi="Calibri"/>
          <w:b w:val="0"/>
          <w:i w:val="0"/>
          <w:sz w:val="21"/>
        </w:rPr>
        <w:t>THROUGH: Lighthief Cyprus Ltd (HE 477423), authorised exclusive distributor (“Distributor”)</w:t>
      </w:r>
    </w:p>
    <w:p>
      <w:r>
        <w:rPr>
          <w:rFonts w:ascii="Calibri" w:hAnsi="Calibri"/>
          <w:b w:val="0"/>
          <w:i w:val="0"/>
          <w:sz w:val="21"/>
        </w:rPr>
        <w:t>PROJECT: Galascope 1 (5 MW / 20.06 MWh) &amp; Galascope 2 (2.5 MW / 10.03 MWh), Famagusta, Cyprus</w:t>
      </w:r>
    </w:p>
    <w:p>
      <w:r>
        <w:rPr>
          <w:rFonts w:ascii="Calibri" w:hAnsi="Calibri"/>
          <w:b w:val="0"/>
          <w:i w:val="0"/>
          <w:sz w:val="21"/>
        </w:rPr>
        <w:t>The Parties intend to execute this Undertaking on the same date as the EPC Agreement (the Order Date, as defined in EPC Section 3.1).</w:t>
      </w:r>
    </w:p>
    <w:p/>
    <w:p>
      <w:r>
        <w:rPr>
          <w:b/>
          <w:color w:val="1A365D"/>
          <w:sz w:val="23"/>
        </w:rPr>
        <w:t>1. WARRANTY CONFIRMATION</w:t>
      </w:r>
    </w:p>
    <w:p>
      <w:r>
        <w:rPr>
          <w:rFonts w:ascii="Calibri" w:hAnsi="Calibri"/>
          <w:b w:val="0"/>
          <w:i w:val="0"/>
          <w:sz w:val="21"/>
        </w:rPr>
        <w:t>1.1  Linyang confirms its standard product warranty of five (5) years applies to the Products supplied for the Project (PCS, battery container, BMS, HVAC and fire-suppression, transformer and MV switchgear, DC/AC enclosure, UPS, and OEM-supplied ancillaries), per Linyang Warranty Manual v2. The PCS (Kehua C-series, BCS1250K-C-HUD) is supplied within Linyang's commercial scope as part of Linyang's integrated BESS offering and is covered under this Undertaking as an OEM-supplied product.</w:t>
      </w:r>
    </w:p>
    <w:p>
      <w:r>
        <w:rPr>
          <w:rFonts w:ascii="Calibri" w:hAnsi="Calibri"/>
          <w:b w:val="0"/>
          <w:i w:val="0"/>
          <w:sz w:val="21"/>
        </w:rPr>
        <w:t>1.2  Warranty Start Date. The warranty period commences on the earlier of: (a) the start date of commissioning; or (b) six (6) months after delivery of the Products to the Project Site (Warranty Manual v2, §II.4, modified by this Undertaking for this Project to run from delivery to Site rather than from factory shipment, preventing warranty time from burning during sea transit). This is consistent with EPC Section 3.1 Warranty Start Date.</w:t>
      </w:r>
    </w:p>
    <w:p>
      <w:r>
        <w:rPr>
          <w:rFonts w:ascii="Calibri" w:hAnsi="Calibri"/>
          <w:b w:val="0"/>
          <w:i w:val="0"/>
          <w:sz w:val="21"/>
        </w:rPr>
        <w:t>1.3  Coastal installation. For systems without a C5-rated enclosure installed 2–5 km from the sea, the warranty for PCS, transformer and switchgear is reduced to two (2) years; within 2 km it is void. For C5-rated systems within 500 m of the sea, that warranty is two (2) years. The Project's distance from the sea and enclosure rating shall be recorded in Schedule A. (Warranty Manual v2, §II.3(2).)</w:t>
      </w:r>
    </w:p>
    <w:p>
      <w:r>
        <w:rPr>
          <w:rFonts w:ascii="Calibri" w:hAnsi="Calibri"/>
          <w:b w:val="0"/>
          <w:i w:val="0"/>
          <w:sz w:val="21"/>
        </w:rPr>
        <w:t>1.4  PCS sub-supply (Kehua) — Linyang responsibility. The power conversion system supplied for the Project is the Kehua BCS1250K-C-HUD, sourced by Linyang from Kehua and supplied as an integral part of Linyang's BESS system. Linyang confirms that the PCS is a “Product” under this Undertaking and that Linyang is fully and directly responsible to the End-Customer for the PCS — including the five (5) year warranty (Section 1.1), the performance guarantees (Section 2), the remedy (Section 3) and the direct-enforcement right (Section 4) — to the same extent as for products Linyang manufactures itself. The End-Customer's recourse for the PCS is against Linyang under this Undertaking, and the End-Customer is not required to pursue Kehua directly. Linyang shall pass through to the End-Customer the benefit of the applicable Kehua product warranty and grid-code certification (including the EN 50549 / TÜV certification held for the PCS).</w:t>
      </w:r>
    </w:p>
    <w:p>
      <w:r>
        <w:rPr>
          <w:b/>
          <w:color w:val="1A365D"/>
          <w:sz w:val="23"/>
        </w:rPr>
        <w:t>2. PERFORMANCE GUARANTEES (capacity, efficiency, cycle life)</w:t>
      </w:r>
    </w:p>
    <w:p>
      <w:r>
        <w:rPr>
          <w:rFonts w:ascii="Calibri" w:hAnsi="Calibri"/>
          <w:b w:val="0"/>
          <w:i w:val="0"/>
          <w:sz w:val="21"/>
        </w:rPr>
        <w:t>2.1  SOH (State of Health), per the product Technical Agreement, as confirmed by the manufacturer: End of Year 5 ≥ 86.78%; End of Year 10 ≥ 79.58%; End of Year 15 ≥ 73.61% (0.25P, 1 cycle/day — per Linyang's Power Atlantic 5MWh Degradation Curve reference document, confirmed against this Project's 4-hour system duration).</w:t>
      </w:r>
    </w:p>
    <w:p>
      <w:r>
        <w:rPr>
          <w:rFonts w:ascii="Calibri" w:hAnsi="Calibri"/>
          <w:b w:val="0"/>
          <w:i w:val="0"/>
          <w:sz w:val="21"/>
        </w:rPr>
        <w:t>2.2  Within the base five (5) year warranty, the guaranteed SOH point is Year 5 (≥ 86.78%). The Year 10 and Year 15 SOH guarantees apply only where the End-Customer has purchased the extended warranty for years 6–15 (manufacturer rates: BESS €913.92/MWh/yr for years 6–10 and €1,157.62/MWh/yr for years 11–15; PCS+MVS €747.76 and €926.10 respectively), or under the LTSA. Maximum OEM SOH guarantee is fifteen (15) years.</w:t>
      </w:r>
    </w:p>
    <w:p>
      <w:r>
        <w:rPr>
          <w:rFonts w:ascii="Calibri" w:hAnsi="Calibri"/>
          <w:b w:val="0"/>
          <w:i w:val="0"/>
          <w:sz w:val="21"/>
        </w:rPr>
        <w:t>2.3  Round-Trip Efficiency (RTE): the OEM guarantees ≥ 86.32% at the equipment measurement boundary (OEM/PCS terminal output, 0.5C, standard test conditions), consistent with the EPC technical specification. This measurement excludes losses from Distributor-supplied BOP cabling, transformer and auxiliary consumption, which are outside the OEM measurement scope. The EPC site PAC floor of 84% RTE reflects system-level performance inclusive of BOP losses and is the Contractor's responsibility under the EPC.</w:t>
      </w:r>
    </w:p>
    <w:p>
      <w:r>
        <w:rPr>
          <w:rFonts w:ascii="Calibri" w:hAnsi="Calibri"/>
          <w:b w:val="0"/>
          <w:i w:val="0"/>
          <w:sz w:val="21"/>
        </w:rPr>
        <w:t>2.4  Cycle life: 8,000 equivalent full cycles to 70% end-of-life at 0.5C, 90% DoD, 25°C as confirmed by the manufacturer.</w:t>
      </w:r>
    </w:p>
    <w:p>
      <w:r>
        <w:rPr>
          <w:b/>
          <w:color w:val="1A365D"/>
          <w:sz w:val="23"/>
        </w:rPr>
        <w:t>3. REMEDY (parts only — service and labour excluded)</w:t>
      </w:r>
    </w:p>
    <w:p>
      <w:r>
        <w:rPr>
          <w:rFonts w:ascii="Calibri" w:hAnsi="Calibri"/>
          <w:b w:val="0"/>
          <w:i w:val="0"/>
          <w:sz w:val="21"/>
        </w:rPr>
        <w:t>3.1  On a valid warranty claim, Linyang shall repair or replace the defective Product, or supply replacement modules/components (new or equivalent refurbished parts), delivered FOB or CIF Limassol at Linyang's cost.</w:t>
      </w:r>
    </w:p>
    <w:p>
      <w:r>
        <w:rPr>
          <w:rFonts w:ascii="Calibri" w:hAnsi="Calibri"/>
          <w:b w:val="0"/>
          <w:i w:val="0"/>
          <w:sz w:val="21"/>
        </w:rPr>
        <w:t>3.2  Linyang supplies replacement parts; under the OEM product warranty, freight beyond the stated Incoterm, travel, on-site removal/installation labour, commissioning, and third-party fees are not part of the OEM remedy (Warranty Manual v2, §IX). For the End-Customer, on-site replacement labour and commissioning are provided by the Contractor under the EPC works warranty and the LTSA, so the End-Customer is made whole.</w:t>
      </w:r>
    </w:p>
    <w:p>
      <w:r>
        <w:rPr>
          <w:rFonts w:ascii="Calibri" w:hAnsi="Calibri"/>
          <w:b w:val="0"/>
          <w:i w:val="0"/>
          <w:sz w:val="21"/>
        </w:rPr>
        <w:t>3.3  Linyang reserves the exclusive right to determine the cause and nature of any defect. Where the Parties dispute liability, they shall jointly appoint an independent third-party testing agency on an agreed protocol; if the defect is found not attributable to the Products, the test costs are borne by the Warranty Right Holder (Warranty Manual v2, §VIII.4 / §X).</w:t>
      </w:r>
    </w:p>
    <w:p>
      <w:r>
        <w:rPr>
          <w:b/>
          <w:color w:val="1A365D"/>
          <w:sz w:val="23"/>
        </w:rPr>
        <w:t>4. DIRECT ENFORCEMENT RIGHT</w:t>
      </w:r>
    </w:p>
    <w:p>
      <w:r>
        <w:rPr>
          <w:rFonts w:ascii="Calibri" w:hAnsi="Calibri"/>
          <w:b w:val="0"/>
          <w:i w:val="0"/>
          <w:sz w:val="21"/>
        </w:rPr>
        <w:t>4.1  If the Distributor is unable to fulfil its warranty obligations to the End-Customer by reason of: (a) insolvency, liquidation, or dissolution; (b) cessation of business; (c) termination of the distribution arrangement; or (d) failure to process a valid warranty claim within thirty (30) days, the End-Customer may enforce this warranty directly against Linyang, providing evidence of purchase, the defect, and the Distributor's inability to act.</w:t>
      </w:r>
    </w:p>
    <w:p>
      <w:r>
        <w:rPr>
          <w:rFonts w:ascii="Calibri" w:hAnsi="Calibri"/>
          <w:b w:val="0"/>
          <w:i w:val="0"/>
          <w:sz w:val="21"/>
        </w:rPr>
        <w:t>4.2  Linyang shall acknowledge a claim within forty-eight (48) hours (excluding weekends and public holidays) and respond substantively within fourteen (14) days (Warranty Manual v2, §VIII.2).</w:t>
      </w:r>
    </w:p>
    <w:p>
      <w:r>
        <w:rPr>
          <w:b/>
          <w:color w:val="1A365D"/>
          <w:sz w:val="23"/>
        </w:rPr>
        <w:t>5. CONDITIONS, EXCLUSIONS &amp; LIABILITY</w:t>
      </w:r>
    </w:p>
    <w:p>
      <w:r>
        <w:rPr>
          <w:rFonts w:ascii="Calibri" w:hAnsi="Calibri"/>
          <w:b w:val="0"/>
          <w:i w:val="0"/>
          <w:sz w:val="21"/>
        </w:rPr>
        <w:t>5.1  This warranty is subject to the conditions and exclusions of Linyang Warranty Manual v2, including proper operation per the manuals, authorised maintenance, intact serial numbers, and no unauthorised modification/relocation. Installation and commissioning must follow Linyang's manuals and be performed by Linyang-authorised personnel; the Distributor's installation is covered by Linyang's written authorisation of the Distributor as installer for the Project.</w:t>
      </w:r>
    </w:p>
    <w:p>
      <w:r>
        <w:rPr>
          <w:rFonts w:ascii="Calibri" w:hAnsi="Calibri"/>
          <w:b w:val="0"/>
          <w:i w:val="0"/>
          <w:sz w:val="21"/>
        </w:rPr>
        <w:t>5.2  Payment condition. The warranty applies only where the Warranty Right Holder has paid all amounts due (Warranty Manual v2, §III.2). Contractual retention held under the EPC is not an “amount due and unpaid” for this purpose.</w:t>
      </w:r>
    </w:p>
    <w:p>
      <w:r>
        <w:rPr>
          <w:rFonts w:ascii="Calibri" w:hAnsi="Calibri"/>
          <w:b w:val="0"/>
          <w:i w:val="0"/>
          <w:sz w:val="21"/>
        </w:rPr>
        <w:t>5.3  Liability limitation and manufacturing-defect carve-out. Linyang's aggregate liability for general warranty services and related costs is limited to ten percent (10%) of the payment received for the defective Products (Warranty Manual v2, §XI). Carve-out overriding §XI for this Project: notwithstanding §XI, Linyang agrees that the ten percent (10%) aggregate liability cap shall NOT apply to confirmed manufacturing defects in the Products. For any confirmed manufacturing defect, Linyang shall bear the full cost of repair or replacement of the affected Products, including shipping to CIF Limassol, without limitation by reference to the 10% cap. Linyang's execution of this Undertaking (authorised signature and company seal below) constitutes its binding agreement to this carve-out as a term that overrides Warranty Manual v2 §XI for this Project. The signed Undertaking incorporating this carve-out is a Condition Precedent to the advance under the EPC.</w:t>
      </w:r>
    </w:p>
    <w:p>
      <w:r>
        <w:rPr>
          <w:rFonts w:ascii="Calibri" w:hAnsi="Calibri"/>
          <w:b w:val="0"/>
          <w:i w:val="0"/>
          <w:sz w:val="21"/>
        </w:rPr>
        <w:t>5.4  Insurance. Linyang maintains product liability insurance of EUR 5,000,000 per occurrence (AXA), evidence available on request.</w:t>
      </w:r>
    </w:p>
    <w:p>
      <w:r>
        <w:rPr>
          <w:b/>
          <w:color w:val="1A365D"/>
          <w:sz w:val="23"/>
        </w:rPr>
        <w:t>6. DURATION, TRANSFER &amp; GOVERNING LAW</w:t>
      </w:r>
    </w:p>
    <w:p>
      <w:r>
        <w:rPr>
          <w:rFonts w:ascii="Calibri" w:hAnsi="Calibri"/>
          <w:b w:val="0"/>
          <w:i w:val="0"/>
          <w:sz w:val="21"/>
        </w:rPr>
        <w:t>6.1  This Undertaking is effective from delivery of the Products to Site and remains in force for the warranty period (5 years from the Warranty Start Date), and survives termination of the distribution arrangement and the Sales Contract.</w:t>
      </w:r>
    </w:p>
    <w:p>
      <w:r>
        <w:rPr>
          <w:rFonts w:ascii="Calibri" w:hAnsi="Calibri"/>
          <w:b w:val="0"/>
          <w:i w:val="0"/>
          <w:sz w:val="21"/>
        </w:rPr>
        <w:t>6.2  Warranty rights transfer to a new owner where the Products remain at the original site and ownership is legally transferred (Warranty Manual v2, §VI) — enabling assignment to the End-Customer and its project-finance security agent.</w:t>
      </w:r>
    </w:p>
    <w:p>
      <w:r>
        <w:rPr>
          <w:rFonts w:ascii="Calibri" w:hAnsi="Calibri"/>
          <w:b w:val="0"/>
          <w:i w:val="0"/>
          <w:sz w:val="21"/>
        </w:rPr>
        <w:t>6.3  This OEM Undertaking is governed by the laws of the People's Republic of China, with disputes to the Shanghai International Arbitration Center (SHIAC), in English, per the manufacturer's standard warranty terms (Warranty Manual v2, §XIII). The EPC and the Cyprus-side documents are governed by Cyprus law.</w:t>
      </w:r>
    </w:p>
    <w:p/>
    <w:p>
      <w:r>
        <w:rPr>
          <w:rFonts w:ascii="Calibri" w:hAnsi="Calibri"/>
          <w:b w:val="0"/>
          <w:i w:val="0"/>
          <w:sz w:val="21"/>
        </w:rPr>
        <w:t>SIGNED for Jiangsu Linyang Energy Storage Technology Co., Ltd:  Name / Title / Signature / Date / Company Seal</w:t>
      </w:r>
    </w:p>
    <w:p>
      <w:r>
        <w:rPr>
          <w:rFonts w:ascii="Calibri" w:hAnsi="Calibri"/>
          <w:b w:val="0"/>
          <w:i w:val="0"/>
          <w:sz w:val="21"/>
        </w:rPr>
        <w:t>ACKNOWLEDGED by Lighthief Cyprus Ltd (Distributor) and Galascope Ltd (End-Customer).</w:t>
      </w:r>
    </w:p>
    <w:p/>
    <w:p>
      <w:r>
        <w:rPr>
          <w:rFonts w:ascii="Calibri" w:hAnsi="Calibri"/>
          <w:b w:val="0"/>
          <w:i w:val="0"/>
          <w:color w:val="404040"/>
          <w:sz w:val="16"/>
        </w:rPr>
        <w:t>Lighthief Cyprus Ltd · HE 477423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