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365D"/>
          <w:sz w:val="28"/>
        </w:rPr>
        <w:t>APG No. 1 — BANK REVIEW PACKAGE</w:t>
      </w:r>
    </w:p>
    <w:p>
      <w:pPr>
        <w:jc w:val="center"/>
      </w:pPr>
      <w:r>
        <w:rPr>
          <w:rFonts w:ascii="Calibri" w:hAnsi="Calibri"/>
          <w:b w:val="0"/>
          <w:i/>
          <w:color w:val="404040"/>
          <w:sz w:val="19"/>
        </w:rPr>
        <w:t>For Stelios → Alpha Bank Cyprus review, before instructing Linyang / Bank of Communications</w:t>
      </w:r>
    </w:p>
    <w:p>
      <w:pPr>
        <w:jc w:val="center"/>
      </w:pPr>
      <w:r>
        <w:rPr>
          <w:rFonts w:ascii="Calibri" w:hAnsi="Calibri"/>
          <w:b w:val="0"/>
          <w:i w:val="0"/>
          <w:color w:val="404040"/>
          <w:sz w:val="17"/>
        </w:rPr>
        <w:t>Ref: LCY-APG-BANKPACK-2026-01  ·  Lighthief Cyprus Ltd  ·  HE 477423  ·  July 2026</w:t>
      </w:r>
    </w:p>
    <w:p/>
    <w:p>
      <w:pPr>
        <w:spacing w:before="280" w:after="120"/>
      </w:pPr>
      <w:r>
        <w:rPr>
          <w:rFonts w:ascii="Calibri" w:hAnsi="Calibri"/>
          <w:b/>
          <w:i w:val="0"/>
          <w:color w:val="C9A432"/>
          <w:sz w:val="25"/>
        </w:rPr>
        <w:t>Part 1 — Note to Stelios</w:t>
      </w:r>
    </w:p>
    <w:p>
      <w:pPr>
        <w:spacing w:after="160"/>
        <w:jc w:val="both"/>
      </w:pPr>
      <w:r>
        <w:rPr>
          <w:rFonts w:ascii="Calibri" w:hAnsi="Calibri"/>
          <w:b w:val="0"/>
          <w:i w:val="0"/>
          <w:color w:val="000000"/>
          <w:sz w:val="22"/>
        </w:rPr>
        <w:t>Dear Stelios,</w:t>
      </w:r>
    </w:p>
    <w:p>
      <w:pPr>
        <w:spacing w:after="160"/>
        <w:jc w:val="both"/>
      </w:pPr>
      <w:r>
        <w:rPr>
          <w:rFonts w:ascii="Calibri" w:hAnsi="Calibri"/>
          <w:b w:val="0"/>
          <w:i w:val="0"/>
          <w:color w:val="000000"/>
          <w:sz w:val="22"/>
        </w:rPr>
        <w:t>Following your comments on our specimen wording, we have compared them against the actual draft Advance Payment Guarantee received from Bank of Communications Co., Ltd. (Jiangsu Provincial Branch) and prepared the attached redline directly on that bank's own text. This shows, clause by clause, what needs to change before the instrument is acceptable: correcting the beneficiary (currently shows SUNCATCHER Engineering GmbH, not Galascope), the contract reference, the amount (EUR 705,792.36), assignability to your lender/security agent, the expiry mechanism (tied to PAC or 12 months, not left blank), the demand mechanism (SWIFT / EU confirming bank rather than paper-only delivery to a Nanjing counter), and a governing-law clause.</w:t>
      </w:r>
    </w:p>
    <w:p>
      <w:pPr>
        <w:spacing w:after="160"/>
        <w:jc w:val="both"/>
      </w:pPr>
      <w:r>
        <w:rPr>
          <w:rFonts w:ascii="Calibri" w:hAnsi="Calibri"/>
          <w:b w:val="0"/>
          <w:i w:val="0"/>
          <w:color w:val="000000"/>
          <w:sz w:val="22"/>
        </w:rPr>
        <w:t>Before we instruct Linyang to have their bank re-issue the APG in this form, we would like Alpha Bank Cyprus (in its capacity as your project-finance lender / security agent) to review the attached redline and confirm it meets their requirements as beneficiary and assignee of the instrument. This avoids a second round of amendments after Linyang's bank has already re-drafted it.</w:t>
      </w:r>
    </w:p>
    <w:p>
      <w:pPr>
        <w:spacing w:after="160"/>
        <w:jc w:val="both"/>
      </w:pPr>
      <w:r>
        <w:rPr>
          <w:rFonts w:ascii="Calibri" w:hAnsi="Calibri"/>
          <w:b w:val="0"/>
          <w:i w:val="0"/>
          <w:color w:val="000000"/>
          <w:sz w:val="22"/>
        </w:rPr>
        <w:t>Could you please route the attached to Alpha Bank for their comments, and let us know either:</w:t>
      </w:r>
    </w:p>
    <w:p>
      <w:pPr/>
      <w:r>
        <w:rPr>
          <w:rFonts w:ascii="Calibri" w:hAnsi="Calibri"/>
          <w:b w:val="0"/>
          <w:i w:val="0"/>
          <w:sz w:val="22"/>
        </w:rPr>
        <w:t>Alpha Bank confirms the wording is acceptable as drafted, in which case we will send the final instruction to Linyang / Bank of Communications immediately; or</w:t>
      </w:r>
    </w:p>
    <w:p>
      <w:pPr/>
      <w:r>
        <w:rPr>
          <w:rFonts w:ascii="Calibri" w:hAnsi="Calibri"/>
          <w:b w:val="0"/>
          <w:i w:val="0"/>
          <w:sz w:val="22"/>
        </w:rPr>
        <w:t>Alpha Bank requires further changes, in which case please return their comments to us and we will fold them into a single consolidated instruction to Linyang's bank.</w:t>
      </w:r>
    </w:p>
    <w:p>
      <w:pPr>
        <w:spacing w:after="160"/>
        <w:jc w:val="both"/>
      </w:pPr>
      <w:r>
        <w:rPr>
          <w:rFonts w:ascii="Calibri" w:hAnsi="Calibri"/>
          <w:b w:val="0"/>
          <w:i w:val="0"/>
          <w:color w:val="000000"/>
          <w:sz w:val="22"/>
        </w:rPr>
        <w:t>Below, in this same document, for Alpha Bank's review:</w:t>
      </w:r>
    </w:p>
    <w:p>
      <w:pPr/>
      <w:r>
        <w:rPr>
          <w:rFonts w:ascii="Calibri" w:hAnsi="Calibri"/>
          <w:b w:val="0"/>
          <w:i w:val="0"/>
          <w:sz w:val="22"/>
        </w:rPr>
        <w:t>Part 2 — a redline markup directly on Bank of Communications' own draft text (this is the clearest version for a bank reviewer, since it shows exactly what changes against what they already drafted).</w:t>
      </w:r>
    </w:p>
    <w:p>
      <w:pPr/>
      <w:r>
        <w:rPr>
          <w:rFonts w:ascii="Calibri" w:hAnsi="Calibri"/>
          <w:b w:val="0"/>
          <w:i w:val="0"/>
          <w:sz w:val="22"/>
        </w:rPr>
        <w:t>Part 3 — a clean, fully consolidated version of the same amendments, for reference once the wording is agreed.</w:t>
      </w:r>
    </w:p>
    <w:p>
      <w:pPr>
        <w:spacing w:after="160"/>
        <w:jc w:val="both"/>
      </w:pPr>
      <w:r>
        <w:rPr>
          <w:rFonts w:ascii="Calibri" w:hAnsi="Calibri"/>
          <w:b w:val="0"/>
          <w:i w:val="0"/>
          <w:color w:val="000000"/>
          <w:sz w:val="22"/>
        </w:rPr>
        <w:t>The same set of amendments will apply to APG No. 2 (pre-shipment tranche, EUR 1,411,584.72) once issued at Factory Acceptance Test — no need for a separate bank review round at this stage.</w:t>
      </w:r>
    </w:p>
    <w:p>
      <w:pPr>
        <w:spacing w:after="160"/>
        <w:jc w:val="both"/>
      </w:pPr>
      <w:r>
        <w:rPr>
          <w:rFonts w:ascii="Calibri" w:hAnsi="Calibri"/>
          <w:b w:val="0"/>
          <w:i w:val="0"/>
          <w:color w:val="000000"/>
          <w:sz w:val="22"/>
        </w:rPr>
        <w:t>We are keeping this outside of Friday's EPC signing — it does not block the Agreement, only the advance-payment trigger further down the line — but the sooner Alpha Bank can turn this around, the sooner we can get Linyang's bank moving on the re-issue.</w:t>
      </w:r>
    </w:p>
    <w:p>
      <w:pPr>
        <w:spacing w:after="160"/>
        <w:jc w:val="both"/>
      </w:pPr>
      <w:r>
        <w:rPr>
          <w:rFonts w:ascii="Calibri" w:hAnsi="Calibri"/>
          <w:b w:val="0"/>
          <w:i w:val="0"/>
          <w:color w:val="000000"/>
          <w:sz w:val="22"/>
        </w:rPr>
        <w:t>Happy to jump on a call with you and Alpha Bank if that speeds things up.</w:t>
      </w:r>
    </w:p>
    <w:p>
      <w:pPr>
        <w:spacing w:after="160"/>
        <w:jc w:val="both"/>
      </w:pPr>
      <w:r>
        <w:rPr>
          <w:rFonts w:ascii="Calibri" w:hAnsi="Calibri"/>
          <w:b w:val="0"/>
          <w:i w:val="0"/>
          <w:color w:val="000000"/>
          <w:sz w:val="22"/>
        </w:rPr>
        <w:t>Kind regards,</w:t>
      </w:r>
    </w:p>
    <w:p>
      <w:pPr>
        <w:spacing w:after="0"/>
        <w:jc w:val="both"/>
      </w:pPr>
      <w:r>
        <w:rPr>
          <w:rFonts w:ascii="Calibri" w:hAnsi="Calibri"/>
          <w:b/>
          <w:i w:val="0"/>
          <w:color w:val="000000"/>
          <w:sz w:val="22"/>
        </w:rPr>
        <w:t>Alexander Papacosta</w:t>
      </w:r>
    </w:p>
    <w:p>
      <w:pPr>
        <w:spacing w:after="0"/>
        <w:jc w:val="both"/>
      </w:pPr>
      <w:r>
        <w:rPr>
          <w:rFonts w:ascii="Calibri" w:hAnsi="Calibri"/>
          <w:b w:val="0"/>
          <w:i w:val="0"/>
          <w:color w:val="000000"/>
          <w:sz w:val="22"/>
        </w:rPr>
        <w:t>Cyprus Director, Lighthief Cyprus Ltd</w:t>
      </w:r>
    </w:p>
    <w:p>
      <w:pPr>
        <w:spacing w:after="0"/>
        <w:jc w:val="both"/>
      </w:pPr>
      <w:r>
        <w:rPr>
          <w:rFonts w:ascii="Calibri" w:hAnsi="Calibri"/>
          <w:b w:val="0"/>
          <w:i w:val="0"/>
          <w:color w:val="000000"/>
          <w:sz w:val="22"/>
        </w:rPr>
        <w:t>office@lighthief.com · +357 99 164 158</w:t>
      </w:r>
    </w:p>
    <w:p>
      <w:pPr/>
    </w:p>
    <w:p>
      <w:pPr/>
      <w:r>
        <w:rPr>
          <w:rFonts w:ascii="Calibri" w:hAnsi="Calibri"/>
          <w:b w:val="0"/>
          <w:i/>
          <w:color w:val="404040"/>
          <w:sz w:val="16"/>
        </w:rPr>
        <w:t>Lighthief Cyprus Ltd · HE 477423 · 28 October Ave 249, Lophitis Business Center 1, Office 201, 3035 Limassol, Cyprus · solarfarms.cy</w:t>
      </w:r>
    </w:p>
    <w:p/>
    <w:p>
      <w:pPr>
        <w:spacing w:before="280" w:after="120"/>
      </w:pPr>
      <w:r>
        <w:rPr>
          <w:rFonts w:ascii="Calibri" w:hAnsi="Calibri"/>
          <w:b/>
          <w:i w:val="0"/>
          <w:color w:val="C9A432"/>
          <w:sz w:val="25"/>
        </w:rPr>
        <w:t>Part 2 — Redline Directly on the Bank of Communications Draft</w:t>
      </w:r>
    </w:p>
    <w:p>
      <w:pPr/>
      <w:r>
        <w:rPr>
          <w:rFonts w:ascii="Calibri" w:hAnsi="Calibri"/>
          <w:b/>
          <w:i w:val="0"/>
          <w:color w:val="404040"/>
          <w:sz w:val="19"/>
        </w:rPr>
        <w:t xml:space="preserve">Legend:  </w:t>
      </w:r>
      <w:r>
        <w:rPr>
          <w:rFonts w:ascii="Calibri" w:hAnsi="Calibri"/>
          <w:b w:val="0"/>
          <w:i w:val="0"/>
          <w:strike/>
          <w:color w:val="C00000"/>
          <w:sz w:val="19"/>
        </w:rPr>
        <w:t>strikethrough red = delete</w:t>
      </w:r>
      <w:r>
        <w:rPr>
          <w:rFonts w:ascii="Calibri" w:hAnsi="Calibri"/>
          <w:b w:val="0"/>
          <w:i w:val="0"/>
          <w:sz w:val="19"/>
        </w:rPr>
        <w:t xml:space="preserve">   </w:t>
      </w:r>
      <w:r>
        <w:rPr>
          <w:rFonts w:ascii="Calibri" w:hAnsi="Calibri"/>
          <w:b w:val="0"/>
          <w:i w:val="0"/>
          <w:color w:val="1F49C0"/>
          <w:sz w:val="19"/>
          <w:u w:val="single"/>
        </w:rPr>
        <w:t>underline blue = insert</w:t>
      </w:r>
    </w:p>
    <w:p>
      <w:pPr/>
    </w:p>
    <w:p>
      <w:pPr/>
      <w:r>
        <w:rPr>
          <w:rFonts w:ascii="Calibri" w:hAnsi="Calibri"/>
          <w:b w:val="0"/>
          <w:i/>
          <w:color w:val="404040"/>
          <w:sz w:val="18"/>
        </w:rPr>
        <w:t>Note: the Applicant remains Jiangsu Linyang Energy Storage Technology Co., Ltd. — this is Bank of Communications' own customer, not Lighthief Cyprus Ltd or Galascope. Only the beneficiary, the amount, and the supporting-contract references change.</w:t>
      </w:r>
    </w:p>
    <w:p>
      <w:pPr/>
    </w:p>
    <w:p>
      <w:pPr/>
      <w:r>
        <w:rPr>
          <w:rFonts w:ascii="Calibri" w:hAnsi="Calibri"/>
          <w:b/>
          <w:i w:val="0"/>
          <w:sz w:val="21"/>
        </w:rPr>
        <w:t>Advance Payment Guarantee</w:t>
      </w:r>
    </w:p>
    <w:p>
      <w:pPr/>
      <w:r>
        <w:rPr>
          <w:rFonts w:ascii="Calibri" w:hAnsi="Calibri"/>
          <w:b w:val="0"/>
          <w:i w:val="0"/>
          <w:sz w:val="21"/>
        </w:rPr>
        <w:t>From: Bank of Communications Co., Ltd. Jiangsu Provincial Branch</w:t>
      </w:r>
    </w:p>
    <w:p>
      <w:pPr/>
      <w:r>
        <w:rPr>
          <w:rFonts w:ascii="Calibri" w:hAnsi="Calibri"/>
          <w:b w:val="0"/>
          <w:i w:val="0"/>
          <w:sz w:val="21"/>
        </w:rPr>
        <w:t>11 Floor, No.218 Lushan Road, Jianye district, Nanjing, Jiangsu, China</w:t>
      </w:r>
    </w:p>
    <w:p>
      <w:pPr/>
      <w:r>
        <w:rPr>
          <w:rFonts w:ascii="Calibri" w:hAnsi="Calibri"/>
          <w:b w:val="0"/>
          <w:i w:val="0"/>
          <w:color w:val="1F49C0"/>
          <w:sz w:val="21"/>
          <w:u w:val="single"/>
        </w:rPr>
        <w:t>Advised through: Alpha Bank Cyprus Ltd (EU advising/confirming bank)</w:t>
      </w:r>
    </w:p>
    <w:p>
      <w:pPr/>
      <w:r>
        <w:rPr>
          <w:rFonts w:ascii="Calibri" w:hAnsi="Calibri"/>
          <w:b w:val="0"/>
          <w:i w:val="0"/>
          <w:sz w:val="21"/>
        </w:rPr>
        <w:t xml:space="preserve">To: </w:t>
      </w:r>
      <w:r>
        <w:rPr>
          <w:rFonts w:ascii="Calibri" w:hAnsi="Calibri"/>
          <w:b w:val="0"/>
          <w:i w:val="0"/>
          <w:strike/>
          <w:color w:val="C00000"/>
          <w:sz w:val="21"/>
        </w:rPr>
        <w:t>SUNCATCHER Engineering GmbH</w:t>
      </w:r>
      <w:r>
        <w:rPr>
          <w:strike w:val="0"/>
          <w:u w:val="none"/>
        </w:rPr>
        <w:t xml:space="preserve"> → </w:t>
      </w:r>
      <w:r>
        <w:rPr>
          <w:rFonts w:ascii="Calibri" w:hAnsi="Calibri"/>
          <w:b w:val="0"/>
          <w:i w:val="0"/>
          <w:color w:val="1F49C0"/>
          <w:sz w:val="21"/>
          <w:u w:val="single"/>
        </w:rPr>
        <w:t>Galascope Ltd (HE 303759), Karaiskaki 6, City House, 3032 Limassol, Cyprus (registered office), and/or Alpha Bank Cyprus Ltd as its project-finance security agent (the “Beneficiary”)</w:t>
      </w:r>
    </w:p>
    <w:p>
      <w:pPr/>
      <w:r>
        <w:rPr>
          <w:rFonts w:ascii="Calibri" w:hAnsi="Calibri"/>
          <w:b w:val="0"/>
          <w:i w:val="0"/>
          <w:sz w:val="21"/>
        </w:rPr>
        <w:t>Issuing Date:【　】      Advised through:【　】</w:t>
      </w:r>
    </w:p>
    <w:p>
      <w:pPr/>
      <w:r>
        <w:rPr>
          <w:rFonts w:ascii="Calibri" w:hAnsi="Calibri"/>
          <w:b w:val="0"/>
          <w:i w:val="0"/>
          <w:sz w:val="21"/>
        </w:rPr>
        <w:t>Our irrevocable Letter of Guarantee No.【　】.</w:t>
      </w:r>
    </w:p>
    <w:p>
      <w:pPr/>
      <w:r>
        <w:rPr>
          <w:rFonts w:ascii="Calibri" w:hAnsi="Calibri"/>
          <w:b w:val="0"/>
          <w:i w:val="0"/>
          <w:sz w:val="21"/>
        </w:rPr>
        <w:t>Whereas you signed the contract No. [           ] ( hereinafter called the Contract) with Jiangsu Linyang Energy Storage Technology Co.,Ltd.  16-18 floor, Building 1, No.68 Olympic Sports Street, Jianye District, Nanjing, Jiangsu, China. (hereinafter referred as the Applicant)</w:t>
      </w:r>
      <w:r>
        <w:rPr>
          <w:rFonts w:ascii="Calibri" w:hAnsi="Calibri"/>
          <w:b w:val="0"/>
          <w:i w:val="0"/>
          <w:color w:val="1F49C0"/>
          <w:sz w:val="21"/>
          <w:u w:val="single"/>
        </w:rPr>
        <w:t xml:space="preserve"> This Contract is the Applicant's OEM Sales Contract for equipment supplied in connection with EPC Agreement No. LCY-EPC-GAL-B1-2026 dated [●] 2026 between Lighthief Cyprus Ltd (HE 477423, the EPC contractor and the Applicant's direct customer) and the Beneficiary, for the supply, delivery and installation of a Battery Energy Storage System for Galascope 1 Photovoltaic Park (5 MW / 20.06 MWh) and Galascope 2 Photovoltaic Park (2.5 MW / 10.03 MWh), Famagusta, Cyprus (the “Project”)</w:t>
      </w:r>
      <w:r>
        <w:rPr>
          <w:rFonts w:ascii="Calibri" w:hAnsi="Calibri"/>
          <w:b w:val="0"/>
          <w:i w:val="0"/>
          <w:sz w:val="21"/>
        </w:rPr>
        <w:t xml:space="preserve">, and at the request of the Applicant, We, Bank of Communications Co., Ltd. Jiangsu Provincial Branch, hereby issue this independent L/G in your favor for the maximum amount of EUR </w:t>
      </w:r>
      <w:r>
        <w:rPr>
          <w:rFonts w:ascii="Calibri" w:hAnsi="Calibri"/>
          <w:b w:val="0"/>
          <w:i w:val="0"/>
          <w:color w:val="1F49C0"/>
          <w:sz w:val="21"/>
          <w:u w:val="single"/>
        </w:rPr>
        <w:t>705,792.36 (say Euro Seven Hundred Five Thousand Seven Hundred Ninety-Two and 36 cents only)</w:t>
      </w:r>
      <w:r>
        <w:rPr>
          <w:rFonts w:ascii="Calibri" w:hAnsi="Calibri"/>
          <w:b w:val="0"/>
          <w:i w:val="0"/>
          <w:sz w:val="21"/>
        </w:rPr>
        <w:t>(hereinafter referred to as the Guaranteed Amount).</w:t>
      </w:r>
    </w:p>
    <w:p>
      <w:pPr/>
      <w:r>
        <w:rPr>
          <w:rFonts w:ascii="Calibri" w:hAnsi="Calibri"/>
          <w:b w:val="0"/>
          <w:i w:val="0"/>
          <w:sz w:val="21"/>
        </w:rPr>
        <w:t xml:space="preserve">We hereby irrevocably undertake to pay you the amount specified in your demand upon receipt of your complying written demand stating </w:t>
      </w:r>
      <w:r>
        <w:rPr>
          <w:rFonts w:ascii="Calibri" w:hAnsi="Calibri"/>
          <w:b w:val="0"/>
          <w:i w:val="0"/>
          <w:strike/>
          <w:color w:val="C00000"/>
          <w:sz w:val="21"/>
        </w:rPr>
        <w:t>the effect and the aspect of the Applicant’s default in fulfillment of any of his obligation for which the advance payment is made</w:t>
      </w:r>
      <w:r>
        <w:rPr>
          <w:strike w:val="0"/>
          <w:u w:val="none"/>
        </w:rPr>
        <w:t xml:space="preserve"> </w:t>
      </w:r>
      <w:r>
        <w:rPr>
          <w:rFonts w:ascii="Calibri" w:hAnsi="Calibri"/>
          <w:b w:val="0"/>
          <w:i w:val="0"/>
          <w:color w:val="1F49C0"/>
          <w:sz w:val="21"/>
          <w:u w:val="single"/>
        </w:rPr>
        <w:t>that the Applicant has failed to perform its obligations under the Contract in respect of which the advance payment was made and/or that the advance payment has not been refunded when due</w:t>
      </w:r>
      <w:r>
        <w:rPr>
          <w:rFonts w:ascii="Calibri" w:hAnsi="Calibri"/>
          <w:b w:val="0"/>
          <w:i w:val="0"/>
          <w:sz w:val="21"/>
        </w:rPr>
        <w:t xml:space="preserve">, provided that the aggregate amount claimed does not exceed the Guaranteed Amount. </w:t>
      </w:r>
      <w:r>
        <w:rPr>
          <w:rFonts w:ascii="Calibri" w:hAnsi="Calibri"/>
          <w:b w:val="0"/>
          <w:i w:val="0"/>
          <w:color w:val="1F49C0"/>
          <w:sz w:val="21"/>
          <w:u w:val="single"/>
        </w:rPr>
        <w:t>We shall pay the demanded amount within five (5) Business Days of receipt of a complying written demand, without set-off or deduction and without requiring prior recourse to the Applicant.</w:t>
      </w:r>
    </w:p>
    <w:p>
      <w:pPr/>
      <w:r>
        <w:rPr>
          <w:rFonts w:ascii="Calibri" w:hAnsi="Calibri"/>
          <w:b w:val="0"/>
          <w:i w:val="0"/>
          <w:color w:val="1F49C0"/>
          <w:sz w:val="21"/>
          <w:u w:val="single"/>
        </w:rPr>
        <w:t>Our liability hereunder reduces by each amount paid under this guarantee. The Guaranteed Amount shall not be reduced merely on presentation of shipping documents or a bill of lading.</w:t>
      </w:r>
    </w:p>
    <w:p>
      <w:pPr/>
      <w:r>
        <w:rPr>
          <w:rFonts w:ascii="Calibri" w:hAnsi="Calibri"/>
          <w:b w:val="0"/>
          <w:i w:val="0"/>
          <w:strike/>
          <w:color w:val="C00000"/>
          <w:sz w:val="21"/>
        </w:rPr>
        <w:t>This L/G shall not be transferred or assigned without our prior written consent.</w:t>
      </w:r>
      <w:r>
        <w:rPr>
          <w:strike w:val="0"/>
          <w:u w:val="none"/>
        </w:rPr>
        <w:t xml:space="preserve"> </w:t>
      </w:r>
      <w:r>
        <w:rPr>
          <w:rFonts w:ascii="Calibri" w:hAnsi="Calibri"/>
          <w:b w:val="0"/>
          <w:i w:val="0"/>
          <w:color w:val="1F49C0"/>
          <w:sz w:val="21"/>
          <w:u w:val="single"/>
        </w:rPr>
        <w:t>The Beneficiary may assign this guarantee or its proceeds to a project-finance lender or security agent without the Bank’s further consent.</w:t>
      </w:r>
    </w:p>
    <w:p>
      <w:pPr/>
      <w:r>
        <w:rPr>
          <w:rFonts w:ascii="Calibri" w:hAnsi="Calibri"/>
          <w:b w:val="0"/>
          <w:i w:val="0"/>
          <w:sz w:val="21"/>
        </w:rPr>
        <w:t>This L/G shall come into force from our receipt of the statement by the Applicant stating that it receives the advance payment</w:t>
      </w:r>
      <w:r>
        <w:rPr>
          <w:rFonts w:ascii="Calibri" w:hAnsi="Calibri"/>
          <w:b w:val="0"/>
          <w:i w:val="0"/>
          <w:color w:val="1F49C0"/>
          <w:sz w:val="21"/>
          <w:u w:val="single"/>
        </w:rPr>
        <w:t>, credited to the Applicant’s account (IBAN/SWIFT to be confirmed by the Applicant)</w:t>
      </w:r>
      <w:r>
        <w:rPr>
          <w:rFonts w:ascii="Calibri" w:hAnsi="Calibri"/>
          <w:b w:val="0"/>
          <w:i w:val="0"/>
          <w:sz w:val="21"/>
        </w:rPr>
        <w:t xml:space="preserve">, and remains valid until </w:t>
      </w:r>
      <w:r>
        <w:rPr>
          <w:rFonts w:ascii="Calibri" w:hAnsi="Calibri"/>
          <w:b w:val="0"/>
          <w:i w:val="0"/>
          <w:strike/>
          <w:color w:val="C00000"/>
          <w:sz w:val="21"/>
        </w:rPr>
        <w:t xml:space="preserve">     </w:t>
      </w:r>
      <w:r>
        <w:rPr>
          <w:rFonts w:ascii="Calibri" w:hAnsi="Calibri"/>
          <w:b w:val="0"/>
          <w:i w:val="0"/>
          <w:color w:val="1F49C0"/>
          <w:sz w:val="21"/>
          <w:u w:val="single"/>
        </w:rPr>
        <w:t>the earlier of: (i) issuance of the Provisional Acceptance Certificate (PAC) for the Project; or (ii) twelve (12) months after delivery of the equipment to the Project Site</w:t>
      </w:r>
      <w:r>
        <w:rPr>
          <w:rFonts w:ascii="Calibri" w:hAnsi="Calibri"/>
          <w:b w:val="0"/>
          <w:i w:val="0"/>
          <w:sz w:val="21"/>
        </w:rPr>
        <w:t xml:space="preserve"> (the “Expiry Date”). After the Expiry Date, this L/G shall automatically become null and void and be cancelled whether it is returned to us or not.</w:t>
      </w:r>
    </w:p>
    <w:p>
      <w:pPr/>
      <w:r>
        <w:rPr>
          <w:rFonts w:ascii="Calibri" w:hAnsi="Calibri"/>
          <w:b w:val="0"/>
          <w:i w:val="0"/>
          <w:sz w:val="21"/>
        </w:rPr>
        <w:t xml:space="preserve">Any demand under this L/G must be presented </w:t>
      </w:r>
      <w:r>
        <w:rPr>
          <w:rFonts w:ascii="Calibri" w:hAnsi="Calibri"/>
          <w:b w:val="0"/>
          <w:i w:val="0"/>
          <w:strike/>
          <w:color w:val="C00000"/>
          <w:sz w:val="21"/>
        </w:rPr>
        <w:t>in paper form through your bank by courier service, and must be received by us at our counter on or before the Expiry Date; any other mode of delivery is not acceptable. Our counter address: 11 Floor, No.218 Lushan Road, Jianye district, Nanjing, Jiangsu, China</w:t>
      </w:r>
      <w:r>
        <w:rPr>
          <w:strike w:val="0"/>
          <w:u w:val="none"/>
        </w:rPr>
        <w:t xml:space="preserve">. </w:t>
      </w:r>
      <w:r>
        <w:rPr>
          <w:rFonts w:ascii="Calibri" w:hAnsi="Calibri"/>
          <w:b w:val="0"/>
          <w:i w:val="0"/>
          <w:color w:val="1F49C0"/>
          <w:sz w:val="21"/>
          <w:u w:val="single"/>
        </w:rPr>
        <w:t>(i) by authenticated SWIFT message from the Beneficiary’s bank confirming that authorised signatories of the Beneficiary have executed the demand; or (ii) by registered letter or hand delivery to the Bank’s designated address or to its EU/Cyprus confirming bank; and must be received on or before the Expiry Date</w:t>
      </w:r>
      <w:r>
        <w:rPr>
          <w:rFonts w:ascii="Calibri" w:hAnsi="Calibri"/>
          <w:b w:val="0"/>
          <w:i w:val="0"/>
          <w:sz w:val="21"/>
        </w:rPr>
        <w:t>.</w:t>
      </w:r>
    </w:p>
    <w:p>
      <w:pPr/>
      <w:r>
        <w:rPr>
          <w:rFonts w:ascii="Calibri" w:hAnsi="Calibri"/>
          <w:b w:val="0"/>
          <w:i w:val="0"/>
          <w:sz w:val="21"/>
        </w:rPr>
        <w:t>This L/G is subject to the Uniform Rules for Demand Guarantees (URDG) 2010 Revision, ICC Publication No.758.</w:t>
      </w:r>
      <w:r>
        <w:rPr>
          <w:rFonts w:ascii="Calibri" w:hAnsi="Calibri"/>
          <w:b w:val="0"/>
          <w:i w:val="0"/>
          <w:color w:val="1F49C0"/>
          <w:sz w:val="21"/>
          <w:u w:val="single"/>
        </w:rPr>
        <w:t xml:space="preserve"> Governing law: Cyprus law (or English law, to be confirmed with the Bank). Any dispute shall be subject to the exclusive jurisdiction of the courts of Cyprus, or as otherwise agreed.</w:t>
      </w:r>
    </w:p>
    <w:p>
      <w:pPr/>
      <w:r>
        <w:rPr>
          <w:rFonts w:ascii="Calibri" w:hAnsi="Calibri"/>
          <w:b w:val="0"/>
          <w:i w:val="0"/>
          <w:sz w:val="21"/>
        </w:rPr>
        <w:t>All banking charges inside the issuing bank are for account of Applicant. Other banking charges are for account of beneficiary.</w:t>
      </w:r>
    </w:p>
    <w:p>
      <w:pPr/>
    </w:p>
    <w:p>
      <w:pPr/>
      <w:r>
        <w:rPr>
          <w:rFonts w:ascii="Calibri" w:hAnsi="Calibri"/>
          <w:b w:val="0"/>
          <w:i/>
          <w:color w:val="404040"/>
          <w:sz w:val="19"/>
        </w:rPr>
        <w:t>NOTE — APG No. 2 (Pre-Shipment, EUR 1,411,584.72): same amendments as above, plus: (i) amount EUR 1,411,584.72; (ii) trigger: receipt of pre-shipment payment on FAT completion; (iii) reduction on this instrument only shall additionally be evidenced by certificates of the supervising engineer (Aioliki / Glekas — to be confirmed by Galascope), consistent with Andri Papakonstantinou’s comment that the engineer-certificate mechanism applies to APG No. 2, not APG No. 1; (iv) same PAC-or-12-month expiry.</w:t>
      </w:r>
    </w:p>
    <w:p>
      <w:pPr/>
    </w:p>
    <w:p/>
    <w:p>
      <w:pPr>
        <w:spacing w:before="280" w:after="120"/>
      </w:pPr>
      <w:r>
        <w:rPr>
          <w:rFonts w:ascii="Calibri" w:hAnsi="Calibri"/>
          <w:b/>
          <w:i w:val="0"/>
          <w:color w:val="C9A432"/>
          <w:sz w:val="25"/>
        </w:rPr>
        <w:t>Part 3 — Clean Consolidated Wording (for reference once agreed)</w:t>
      </w:r>
    </w:p>
    <w:p>
      <w:pPr>
        <w:spacing w:after="160"/>
        <w:jc w:val="both"/>
      </w:pPr>
      <w:r>
        <w:rPr>
          <w:rFonts w:ascii="Calibri" w:hAnsi="Calibri"/>
          <w:b/>
          <w:i w:val="0"/>
          <w:color w:val="000000"/>
          <w:sz w:val="23"/>
        </w:rPr>
        <w:t>Advance Payment Guarantee</w:t>
      </w:r>
    </w:p>
    <w:p>
      <w:pPr>
        <w:spacing w:after="160"/>
        <w:jc w:val="both"/>
      </w:pPr>
      <w:r>
        <w:rPr>
          <w:rFonts w:ascii="Calibri" w:hAnsi="Calibri"/>
          <w:b w:val="0"/>
          <w:i w:val="0"/>
          <w:color w:val="000000"/>
          <w:sz w:val="21"/>
        </w:rPr>
        <w:t>Issued by: Bank of Communications Co., Ltd. Jiangsu Provincial Branch, 11 Floor, No.218 Lushan Road, Jianye district, Nanjing, Jiangsu, China.</w:t>
      </w:r>
    </w:p>
    <w:p>
      <w:pPr>
        <w:spacing w:after="160"/>
        <w:jc w:val="both"/>
      </w:pPr>
      <w:r>
        <w:rPr>
          <w:rFonts w:ascii="Calibri" w:hAnsi="Calibri"/>
          <w:b w:val="0"/>
          <w:i w:val="0"/>
          <w:color w:val="000000"/>
          <w:sz w:val="21"/>
        </w:rPr>
        <w:t>Advised through: Alpha Bank Cyprus Ltd (EU advising/confirming bank).</w:t>
      </w:r>
    </w:p>
    <w:p>
      <w:pPr>
        <w:spacing w:after="160"/>
        <w:jc w:val="both"/>
      </w:pPr>
      <w:r>
        <w:rPr>
          <w:rFonts w:ascii="Calibri" w:hAnsi="Calibri"/>
          <w:b w:val="0"/>
          <w:i w:val="0"/>
          <w:color w:val="000000"/>
          <w:sz w:val="21"/>
        </w:rPr>
        <w:t>In favour of: Galascope Ltd (HE 303759), Karaiskaki 6, City House, 3032 Limassol, Cyprus (the “Beneficiary”), and/or Alpha Bank Cyprus Ltd as its project-finance security agent.</w:t>
      </w:r>
    </w:p>
    <w:p>
      <w:pPr>
        <w:spacing w:after="160"/>
        <w:jc w:val="both"/>
      </w:pPr>
      <w:r>
        <w:rPr>
          <w:rFonts w:ascii="Calibri" w:hAnsi="Calibri"/>
          <w:b w:val="0"/>
          <w:i w:val="0"/>
          <w:color w:val="000000"/>
          <w:sz w:val="21"/>
        </w:rPr>
        <w:t>At the request of: Jiangsu Linyang Energy Storage Technology Co., Ltd., 16-18 floor, Building 1, No.68 Olympic Sports Street, Jianye District, Nanjing, Jiangsu, China (the “Applicant”).</w:t>
      </w:r>
    </w:p>
    <w:p>
      <w:pPr>
        <w:spacing w:after="160"/>
        <w:jc w:val="both"/>
      </w:pPr>
      <w:r>
        <w:rPr>
          <w:rFonts w:ascii="Calibri" w:hAnsi="Calibri"/>
          <w:b w:val="0"/>
          <w:i w:val="0"/>
          <w:color w:val="000000"/>
          <w:sz w:val="21"/>
        </w:rPr>
        <w:t>Our Letter of Guarantee No. [●]</w:t>
      </w:r>
    </w:p>
    <w:p>
      <w:pPr/>
    </w:p>
    <w:p>
      <w:pPr>
        <w:spacing w:after="160"/>
        <w:jc w:val="both"/>
      </w:pPr>
      <w:r>
        <w:rPr>
          <w:rFonts w:ascii="Calibri" w:hAnsi="Calibri"/>
          <w:b w:val="0"/>
          <w:i w:val="0"/>
          <w:color w:val="000000"/>
          <w:sz w:val="21"/>
        </w:rPr>
        <w:t>Whereas the Applicant has entered into an OEM Sales Contract with Lighthief Cyprus Ltd (HE 477423, the “Contractor”) to supply Battery Energy Storage System equipment for a Project developed by the Beneficiary; and whereas the Contractor and the Beneficiary have entered into EPC Agreement No. LCY-EPC-GAL-B1-2026 dated [●] 2026 for the supply, delivery and installation of that equipment for Galascope 1 Photovoltaic Park (5 MW / 20.06 MWh) and Galascope 2 Photovoltaic Park (2.5 MW / 10.03 MWh), Famagusta, Cyprus (the “Project”); and whereas the Beneficiary has, through the Contractor, made an advance payment in connection with the Applicant's supply of equipment for the Project; now, at the request of the Applicant, we hereby issue this independent guarantee under URDG 758 in favour of the Beneficiary for the maximum amount of EUR 705,792.36 (say Euro Seven Hundred Five Thousand Seven Hundred Ninety-Two and 36 cents only) (the “Guaranteed Amount”), on the following terms:</w:t>
      </w:r>
    </w:p>
    <w:p>
      <w:pPr>
        <w:spacing w:after="160"/>
        <w:jc w:val="both"/>
      </w:pPr>
      <w:r>
        <w:rPr>
          <w:rFonts w:ascii="Calibri" w:hAnsi="Calibri"/>
          <w:b w:val="0"/>
          <w:i w:val="0"/>
          <w:color w:val="000000"/>
          <w:sz w:val="21"/>
        </w:rPr>
        <w:t>(1) We irrevocably undertake to pay the Beneficiary, on receipt of its complying written demand, any amount up to the Guaranteed Amount, such demand stating that the Applicant has failed to perform its obligations under the OEM Sales Contract in respect of which the advance payment was made and/or that the advance payment has not been refunded when due.</w:t>
      </w:r>
    </w:p>
    <w:p>
      <w:pPr>
        <w:spacing w:after="160"/>
        <w:jc w:val="both"/>
      </w:pPr>
      <w:r>
        <w:rPr>
          <w:rFonts w:ascii="Calibri" w:hAnsi="Calibri"/>
          <w:b w:val="0"/>
          <w:i w:val="0"/>
          <w:color w:val="000000"/>
          <w:sz w:val="21"/>
        </w:rPr>
        <w:t>(2) We shall pay the demanded amount within five (5) Business Days of receipt of a complying written demand, without set-off or deduction and without requiring prior recourse to the Applicant.</w:t>
      </w:r>
    </w:p>
    <w:p>
      <w:pPr>
        <w:spacing w:after="160"/>
        <w:jc w:val="both"/>
      </w:pPr>
      <w:r>
        <w:rPr>
          <w:rFonts w:ascii="Calibri" w:hAnsi="Calibri"/>
          <w:b w:val="0"/>
          <w:i w:val="0"/>
          <w:color w:val="000000"/>
          <w:sz w:val="21"/>
        </w:rPr>
        <w:t>(3) Our liability hereunder reduces by each amount paid under this guarantee. The Guaranteed Amount shall not be reduced merely on presentation of shipping documents or a bill of lading.</w:t>
      </w:r>
    </w:p>
    <w:p>
      <w:pPr>
        <w:spacing w:after="160"/>
        <w:jc w:val="both"/>
      </w:pPr>
      <w:r>
        <w:rPr>
          <w:rFonts w:ascii="Calibri" w:hAnsi="Calibri"/>
          <w:b w:val="0"/>
          <w:i w:val="0"/>
          <w:color w:val="000000"/>
          <w:sz w:val="21"/>
        </w:rPr>
        <w:t>(4) The Beneficiary may assign this guarantee or its proceeds to a project-finance lender or security agent without our further consent.</w:t>
      </w:r>
    </w:p>
    <w:p>
      <w:pPr>
        <w:spacing w:after="160"/>
        <w:jc w:val="both"/>
      </w:pPr>
      <w:r>
        <w:rPr>
          <w:rFonts w:ascii="Calibri" w:hAnsi="Calibri"/>
          <w:b w:val="0"/>
          <w:i w:val="0"/>
          <w:color w:val="000000"/>
          <w:sz w:val="21"/>
        </w:rPr>
        <w:t>(5) This guarantee comes into force on receipt by the Applicant of the advance payment, credited to the Applicant’s account (IBAN/SWIFT to be confirmed by the Applicant to the Bank), and remains valid until the earlier of: (i) issuance of the Provisional Acceptance Certificate (PAC) for the Project; or (ii) twelve (12) months after delivery of the equipment to the Project Site (the “Expiry Date”). After the Expiry Date this guarantee automatically becomes null and void, whether returned to us or not.</w:t>
      </w:r>
    </w:p>
    <w:p>
      <w:pPr>
        <w:spacing w:after="160"/>
        <w:jc w:val="both"/>
      </w:pPr>
      <w:r>
        <w:rPr>
          <w:rFonts w:ascii="Calibri" w:hAnsi="Calibri"/>
          <w:b w:val="0"/>
          <w:i w:val="0"/>
          <w:color w:val="000000"/>
          <w:sz w:val="21"/>
        </w:rPr>
        <w:t>(6) Any demand under this guarantee may be presented: (i) by authenticated SWIFT message from the Beneficiary’s bank; or (ii) by registered letter or hand delivery to our designated address or to our EU/Cyprus confirming bank; and must be received on or before the Expiry Date.</w:t>
      </w:r>
    </w:p>
    <w:p>
      <w:pPr>
        <w:spacing w:after="160"/>
        <w:jc w:val="both"/>
      </w:pPr>
      <w:r>
        <w:rPr>
          <w:rFonts w:ascii="Calibri" w:hAnsi="Calibri"/>
          <w:b w:val="0"/>
          <w:i w:val="0"/>
          <w:color w:val="000000"/>
          <w:sz w:val="21"/>
        </w:rPr>
        <w:t>(7) This guarantee is subject to the Uniform Rules for Demand Guarantees (URDG) 2010 Revision, ICC Publication No. 758. Governing law: Cyprus law (or English law, to be confirmed). Any dispute is subject to the exclusive jurisdiction of the courts of Cyprus, or as otherwise agreed.</w:t>
      </w:r>
    </w:p>
    <w:p>
      <w:pPr>
        <w:spacing w:after="160"/>
        <w:jc w:val="both"/>
      </w:pPr>
      <w:r>
        <w:rPr>
          <w:rFonts w:ascii="Calibri" w:hAnsi="Calibri"/>
          <w:b w:val="0"/>
          <w:i w:val="0"/>
          <w:color w:val="000000"/>
          <w:sz w:val="21"/>
        </w:rPr>
        <w:t>(8) All charges of the issuing Bank are for the account of the Applicant. The Beneficiary’s bank charges, if any, are for the account of the Beneficiary.</w:t>
      </w:r>
    </w:p>
    <w:p>
      <w:pPr/>
    </w:p>
    <w:p>
      <w:pPr>
        <w:spacing w:after="160"/>
        <w:jc w:val="both"/>
      </w:pPr>
      <w:r>
        <w:rPr>
          <w:rFonts w:ascii="Calibri" w:hAnsi="Calibri"/>
          <w:b w:val="0"/>
          <w:i/>
          <w:color w:val="404040"/>
          <w:sz w:val="18"/>
        </w:rPr>
        <w:t>NOTE: This is the required final-form wording for APG No. 1 (advance). APG No. 2 (pre-shipment, EUR 1,411,584.72) requires the same wording with the following differences: (i) amount EUR 1,411,584.72; (ii) trigger: receipt of the pre-shipment payment on completion of Factory Acceptance Testing; (iii) reduction on this instrument only shall additionally be evidenced by certificates of the supervising engineer (Aioliki / Glekas — to be confirmed by Galascope); (iv) same PAC-or-12-month expiry. In both instruments, the Applicant is Jiangsu Linyang Energy Storage Technology Co., Ltd. — not Lighthief Cyprus Ltd — since Bank of Communications is the Applicant's own bank.</w:t>
      </w:r>
    </w:p>
    <w:p>
      <w:pPr/>
    </w:p>
    <w:p/>
    <w:p>
      <w:r>
        <w:rPr>
          <w:rFonts w:ascii="Calibri" w:hAnsi="Calibri"/>
          <w:b w:val="0"/>
          <w:i/>
          <w:color w:val="404040"/>
          <w:sz w:val="16"/>
        </w:rPr>
        <w:t>Ref: LCY-APG-BANKPACK-2026-01 · Lighthief Cyprus Ltd · HE 477423 · office@lighthief.com · +357 99 164 158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