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C9A432"/>
          <w:sz w:val="28"/>
        </w:rPr>
        <w:t>SCHEDULE D — LIGHTHIEF INTERNATIONAL PERFORMANCE UNDERTAKING LETTER</w:t>
      </w:r>
    </w:p>
    <w:p>
      <w:pPr>
        <w:spacing w:after="280"/>
        <w:jc w:val="center"/>
      </w:pPr>
      <w:r>
        <w:rPr>
          <w:rFonts w:ascii="Calibri" w:hAnsi="Calibri"/>
          <w:b w:val="0"/>
          <w:i/>
          <w:color w:val="404040"/>
          <w:sz w:val="19"/>
        </w:rPr>
        <w:t>Standalone version of the Schedule D annex in EPC Agreement v6.5 (Ref. LCY-EPC-GAL-B1-2026, §16.3B). Extracted 13 Aug 2026 for separate execution by Lighthief International Ltd, delivered to the Client before the advance payment under EPC §7.1(a) becomes due.</w:t>
      </w:r>
    </w:p>
    <w:p>
      <w:pPr>
        <w:spacing w:after="40"/>
      </w:pPr>
      <w:r>
        <w:rPr>
          <w:rFonts w:ascii="Calibri" w:hAnsi="Calibri"/>
          <w:b/>
          <w:i w:val="0"/>
          <w:color w:val="1A365D"/>
          <w:sz w:val="26"/>
        </w:rPr>
        <w:t>LIGHTHIEF INTERNATIONAL LTD</w:t>
      </w:r>
    </w:p>
    <w:p>
      <w:pPr>
        <w:spacing w:after="40"/>
      </w:pPr>
      <w:r>
        <w:rPr>
          <w:rFonts w:ascii="Calibri" w:hAnsi="Calibri"/>
          <w:b/>
          <w:i w:val="0"/>
          <w:color w:val="1A365D"/>
          <w:sz w:val="22"/>
        </w:rPr>
        <w:t>Registration No. HE 464727 (Cyprus)</w:t>
      </w:r>
    </w:p>
    <w:p>
      <w:pPr>
        <w:spacing w:after="120"/>
        <w:pBdr>
          <w:bottom w:val="single" w:sz="16" w:space="6" w:color="1A365D"/>
        </w:pBdr>
      </w:pPr>
      <w:r>
        <w:rPr>
          <w:rFonts w:ascii="Calibri" w:hAnsi="Calibri"/>
          <w:b/>
          <w:i w:val="0"/>
          <w:color w:val="1A365D"/>
          <w:sz w:val="22"/>
        </w:rPr>
        <w:t>Registered office: Agiou Andreou 241, AG TRIAS COURT, Flat/Office 31, 3036 Limassol, Cyprus [address pending confirmation via Lighthief International Ltd's own ROC extract — currently shown as Lighthief Cyprus Ltd's registered office as a placeholder]</w:t>
      </w:r>
    </w:p>
    <w:p>
      <w:pPr>
        <w:spacing w:before="160" w:after="280"/>
      </w:pPr>
      <w:r>
        <w:rPr>
          <w:rFonts w:ascii="Calibri" w:hAnsi="Calibri"/>
          <w:b w:val="0"/>
          <w:i/>
          <w:color w:val="404040"/>
          <w:sz w:val="20"/>
        </w:rPr>
        <w:t>Status: Ready for execution — pending final Order Date (to match the EPC Agreement's signing date), Client address, and ROC-confirmed registered office for Lighthief International Ltd.</w:t>
      </w:r>
    </w:p>
    <w:p>
      <w:pPr>
        <w:spacing w:after="80"/>
      </w:pPr>
      <w:r>
        <w:rPr>
          <w:rFonts w:ascii="Calibri" w:hAnsi="Calibri"/>
          <w:b w:val="0"/>
          <w:i w:val="0"/>
          <w:color w:val="000000"/>
          <w:sz w:val="22"/>
        </w:rPr>
        <w:t>Date: [●] 2026 (to be the same date as the EPC Agreement's Order Date)</w:t>
      </w:r>
    </w:p>
    <w:p>
      <w:pPr>
        <w:spacing w:after="80"/>
      </w:pPr>
      <w:r>
        <w:rPr>
          <w:rFonts w:ascii="Calibri" w:hAnsi="Calibri"/>
          <w:b w:val="0"/>
          <w:i w:val="0"/>
          <w:color w:val="000000"/>
          <w:sz w:val="22"/>
        </w:rPr>
        <w:t>To: Galascope Ltd</w:t>
      </w:r>
    </w:p>
    <w:p>
      <w:pPr>
        <w:spacing w:after="200"/>
      </w:pPr>
      <w:r>
        <w:rPr>
          <w:rFonts w:ascii="Calibri" w:hAnsi="Calibri"/>
          <w:b w:val="0"/>
          <w:i w:val="0"/>
          <w:color w:val="000000"/>
          <w:sz w:val="22"/>
        </w:rPr>
        <w:t>[Client address]</w:t>
      </w:r>
    </w:p>
    <w:p>
      <w:pPr>
        <w:spacing w:after="200"/>
      </w:pPr>
      <w:r>
        <w:rPr>
          <w:rFonts w:ascii="Calibri" w:hAnsi="Calibri"/>
          <w:b/>
          <w:i w:val="0"/>
          <w:color w:val="000000"/>
          <w:sz w:val="22"/>
        </w:rPr>
        <w:t>Re: Parent Company Performance Undertaking — EPC Agreement Ref. LCY-EPC-GAL-B1-2026</w:t>
      </w:r>
    </w:p>
    <w:p>
      <w:pPr>
        <w:spacing w:after="200"/>
      </w:pPr>
      <w:r>
        <w:rPr>
          <w:rFonts w:ascii="Calibri" w:hAnsi="Calibri"/>
          <w:b w:val="0"/>
          <w:i w:val="0"/>
          <w:color w:val="000000"/>
          <w:sz w:val="22"/>
        </w:rPr>
        <w:t>Dear Sirs,</w:t>
      </w:r>
    </w:p>
    <w:p>
      <w:pPr>
        <w:spacing w:after="240"/>
        <w:jc w:val="both"/>
      </w:pPr>
      <w:r>
        <w:rPr>
          <w:rFonts w:ascii="Calibri" w:hAnsi="Calibri"/>
          <w:b w:val="0"/>
          <w:i w:val="0"/>
          <w:color w:val="000000"/>
          <w:sz w:val="22"/>
        </w:rPr>
        <w:t>We refer to the Engineering, Procurement &amp; Construction Agreement dated [●] 2026 (the Order Date, being the same date as this letter) between Lighthief Cyprus Ltd (“Contractor”) and Galascope Ltd (“Client”), Reference LCY-EPC-GAL-B1-2026 (the “EPC Agreement”).</w:t>
      </w:r>
    </w:p>
    <w:p>
      <w:pPr>
        <w:spacing w:after="120"/>
        <w:jc w:val="both"/>
      </w:pPr>
      <w:r>
        <w:rPr>
          <w:rFonts w:ascii="Calibri" w:hAnsi="Calibri"/>
          <w:b/>
          <w:i w:val="0"/>
          <w:color w:val="000000"/>
          <w:sz w:val="22"/>
        </w:rPr>
        <w:t xml:space="preserve">1.  </w:t>
      </w:r>
      <w:r>
        <w:rPr>
          <w:rFonts w:ascii="Calibri" w:hAnsi="Calibri"/>
          <w:b w:val="0"/>
          <w:i w:val="0"/>
          <w:color w:val="000000"/>
          <w:sz w:val="22"/>
        </w:rPr>
        <w:t>Lighthief International Ltd (“Guarantor”) confirms and guarantees to the Client the due performance by the Contractor of the following core obligations under the EPC Agreement (the “Guaranteed Obligations”):</w:t>
      </w:r>
    </w:p>
    <w:p>
      <w:pPr>
        <w:spacing w:after="120"/>
        <w:ind w:left="340"/>
        <w:jc w:val="both"/>
      </w:pPr>
      <w:r>
        <w:rPr>
          <w:rFonts w:ascii="Calibri" w:hAnsi="Calibri"/>
          <w:b w:val="0"/>
          <w:i w:val="0"/>
          <w:color w:val="000000"/>
          <w:sz w:val="22"/>
        </w:rPr>
        <w:t>(a)  delivery of the BESS equipment to Site as EPC Contractor;</w:t>
      </w:r>
    </w:p>
    <w:p>
      <w:pPr>
        <w:spacing w:after="120"/>
        <w:ind w:left="340"/>
        <w:jc w:val="both"/>
      </w:pPr>
      <w:r>
        <w:rPr>
          <w:rFonts w:ascii="Calibri" w:hAnsi="Calibri"/>
          <w:b w:val="0"/>
          <w:i w:val="0"/>
          <w:color w:val="000000"/>
          <w:sz w:val="22"/>
        </w:rPr>
        <w:t>(b)  installation, commissioning and handover of the BESS to the technical specification set out in Schedule A;</w:t>
      </w:r>
    </w:p>
    <w:p>
      <w:pPr>
        <w:spacing w:after="240"/>
        <w:ind w:left="340"/>
        <w:jc w:val="both"/>
      </w:pPr>
      <w:r>
        <w:rPr>
          <w:rFonts w:ascii="Calibri" w:hAnsi="Calibri"/>
          <w:b w:val="0"/>
          <w:i w:val="0"/>
          <w:color w:val="000000"/>
          <w:sz w:val="22"/>
        </w:rPr>
        <w:t>(c)  the Contractor's warranty obligations under Section 10.1 of the EPC Agreement for the Warranty Period.</w:t>
      </w:r>
    </w:p>
    <w:p>
      <w:pPr>
        <w:spacing w:after="200"/>
        <w:jc w:val="both"/>
      </w:pPr>
      <w:r>
        <w:rPr>
          <w:rFonts w:ascii="Calibri" w:hAnsi="Calibri"/>
          <w:b/>
          <w:i w:val="0"/>
          <w:color w:val="000000"/>
          <w:sz w:val="22"/>
        </w:rPr>
        <w:t xml:space="preserve">2.  Exclusions. </w:t>
      </w:r>
      <w:r>
        <w:rPr>
          <w:rFonts w:ascii="Calibri" w:hAnsi="Calibri"/>
          <w:b w:val="0"/>
          <w:i w:val="0"/>
          <w:color w:val="000000"/>
          <w:sz w:val="22"/>
        </w:rPr>
        <w:t>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after="200"/>
        <w:jc w:val="both"/>
      </w:pPr>
      <w:r>
        <w:rPr>
          <w:rFonts w:ascii="Calibri" w:hAnsi="Calibri"/>
          <w:b/>
          <w:i w:val="0"/>
          <w:color w:val="000000"/>
          <w:sz w:val="22"/>
        </w:rPr>
        <w:t xml:space="preserve">3.  Limitation of liability. </w:t>
      </w:r>
      <w:r>
        <w:rPr>
          <w:rFonts w:ascii="Calibri" w:hAnsi="Calibri"/>
          <w:b w:val="0"/>
          <w:i w:val="0"/>
          <w:color w:val="000000"/>
          <w:sz w:val="22"/>
        </w:rPr>
        <w:t>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after="200"/>
        <w:jc w:val="both"/>
      </w:pPr>
      <w:r>
        <w:rPr>
          <w:rFonts w:ascii="Calibri" w:hAnsi="Calibri"/>
          <w:b/>
          <w:i w:val="0"/>
          <w:color w:val="000000"/>
          <w:sz w:val="22"/>
        </w:rPr>
        <w:t xml:space="preserve">4.  Trigger of Guarantor's liability. </w:t>
      </w:r>
      <w:r>
        <w:rPr>
          <w:rFonts w:ascii="Calibri" w:hAnsi="Calibri"/>
          <w:b w:val="0"/>
          <w:i w:val="0"/>
          <w:color w:val="000000"/>
          <w:sz w:val="22"/>
        </w:rPr>
        <w:t>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after="200"/>
        <w:jc w:val="both"/>
      </w:pPr>
      <w:r>
        <w:rPr>
          <w:rFonts w:ascii="Calibri" w:hAnsi="Calibri"/>
          <w:b/>
          <w:i w:val="0"/>
          <w:color w:val="000000"/>
          <w:sz w:val="22"/>
        </w:rPr>
        <w:t xml:space="preserve">5.  Governing law and jurisdiction. </w:t>
      </w:r>
      <w:r>
        <w:rPr>
          <w:rFonts w:ascii="Calibri" w:hAnsi="Calibri"/>
          <w:b w:val="0"/>
          <w:i w:val="0"/>
          <w:color w:val="000000"/>
          <w:sz w:val="22"/>
        </w:rPr>
        <w:t>This undertaking is governed by the laws of the Republic of Cyprus, and the courts of Cyprus shall have exclusive jurisdiction.</w:t>
      </w:r>
    </w:p>
    <w:p>
      <w:pPr>
        <w:spacing w:after="200"/>
        <w:jc w:val="both"/>
      </w:pPr>
      <w:r>
        <w:rPr>
          <w:rFonts w:ascii="Calibri" w:hAnsi="Calibri"/>
          <w:b/>
          <w:i w:val="0"/>
          <w:color w:val="000000"/>
          <w:sz w:val="22"/>
        </w:rPr>
        <w:t xml:space="preserve">6.  Duration. </w:t>
      </w:r>
      <w:r>
        <w:rPr>
          <w:rFonts w:ascii="Calibri" w:hAnsi="Calibri"/>
          <w:b w:val="0"/>
          <w:i w:val="0"/>
          <w:color w:val="000000"/>
          <w:sz w:val="22"/>
        </w:rPr>
        <w:t>This undertaking takes effect on the date of this letter and shall automatically terminate, without further notice or action, upon expiry of the Warranty Period defined in the EPC Agreement.</w:t>
      </w:r>
    </w:p>
    <w:p>
      <w:pPr>
        <w:spacing w:after="400"/>
        <w:jc w:val="both"/>
      </w:pPr>
      <w:r>
        <w:rPr>
          <w:rFonts w:ascii="Calibri" w:hAnsi="Calibri"/>
          <w:b/>
          <w:i w:val="0"/>
          <w:color w:val="000000"/>
          <w:sz w:val="22"/>
        </w:rPr>
        <w:t xml:space="preserve">7.  No assignment. </w:t>
      </w:r>
      <w:r>
        <w:rPr>
          <w:rFonts w:ascii="Calibri" w:hAnsi="Calibri"/>
          <w:b w:val="0"/>
          <w:i w:val="0"/>
          <w:color w:val="000000"/>
          <w:sz w:val="22"/>
        </w:rPr>
        <w:t>The benefit of this undertaking may not be assigned by the Client without the Guarantor's prior written consent, save for assignment to the Client's project-finance lender or security agent in accordance with Section 16.3A of the EPC Agreement.</w:t>
      </w:r>
    </w:p>
    <w:p>
      <w:pPr>
        <w:spacing w:after="480"/>
      </w:pPr>
      <w:r>
        <w:rPr>
          <w:rFonts w:ascii="Calibri" w:hAnsi="Calibri"/>
          <w:b w:val="0"/>
          <w:i w:val="0"/>
          <w:color w:val="000000"/>
          <w:sz w:val="22"/>
        </w:rPr>
        <w:t>Yours faithfully,</w:t>
      </w:r>
    </w:p>
    <w:p>
      <w:pPr>
        <w:spacing w:after="40"/>
      </w:pPr>
      <w:r>
        <w:rPr>
          <w:rFonts w:ascii="Calibri" w:hAnsi="Calibri"/>
          <w:b w:val="0"/>
          <w:i w:val="0"/>
          <w:color w:val="000000"/>
          <w:sz w:val="22"/>
        </w:rPr>
        <w:t>Dr. Arkadius Sybaris</w:t>
      </w:r>
    </w:p>
    <w:p>
      <w:pPr>
        <w:spacing w:after="40"/>
      </w:pPr>
      <w:r>
        <w:rPr>
          <w:rFonts w:ascii="Calibri" w:hAnsi="Calibri"/>
          <w:b w:val="0"/>
          <w:i w:val="0"/>
          <w:color w:val="000000"/>
          <w:sz w:val="22"/>
        </w:rPr>
        <w:t>Director / Authorised Signatory</w:t>
      </w:r>
    </w:p>
    <w:p>
      <w:pPr>
        <w:spacing w:after="480"/>
      </w:pPr>
      <w:r>
        <w:rPr>
          <w:rFonts w:ascii="Calibri" w:hAnsi="Calibri"/>
          <w:b w:val="0"/>
          <w:i w:val="0"/>
          <w:color w:val="000000"/>
          <w:sz w:val="22"/>
        </w:rPr>
        <w:t>Lighthief International Ltd</w:t>
      </w:r>
    </w:p>
    <w:p>
      <w:pPr>
        <w:spacing w:before="200"/>
        <w:jc w:val="center"/>
        <w:pBdr>
          <w:top w:val="single" w:sz="6" w:space="6" w:color="404040"/>
        </w:pBdr>
      </w:pPr>
      <w:r>
        <w:rPr>
          <w:rFonts w:ascii="Calibri" w:hAnsi="Calibri"/>
          <w:b w:val="0"/>
          <w:i w:val="0"/>
          <w:color w:val="404040"/>
          <w:sz w:val="17"/>
        </w:rPr>
        <w:t>Lighthief International Ltd | Registration No. HE 464727 (Cyprus) | office@lighthief.com | +357 77 77 00 50 | solarfarms.cy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