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95959"/>
          <w:sz w:val="24"/>
          <w:szCs w:val="24"/>
        </w:rPr>
        <w:t xml:space="preserve">LIGHTHIEF</w:t>
      </w:r>
    </w:p>
    <w:p>
      <w:pPr>
        <w:spacing w:after="200"/>
        <w:jc w:val="center"/>
      </w:pPr>
      <w:r>
        <w:rPr>
          <w:b/>
          <w:bCs/>
          <w:sz w:val="32"/>
          <w:szCs w:val="32"/>
        </w:rPr>
        <w:t xml:space="preserve">PROPOSED AMENDMENTS TO THE EPC AGREEMENT</w:t>
      </w:r>
    </w:p>
    <w:p>
      <w:pPr>
        <w:spacing w:after="40"/>
        <w:jc w:val="center"/>
      </w:pPr>
      <w:r>
        <w:rPr>
          <w:sz w:val="21"/>
          <w:szCs w:val="21"/>
        </w:rPr>
        <w:t xml:space="preserve">Galascope G1 / G2 — EPC Agreement v6.3 — Ref. LCY-EPC-GAL-B1-2026</w:t>
      </w:r>
    </w:p>
    <w:p>
      <w:pPr>
        <w:spacing w:after="300"/>
        <w:jc w:val="center"/>
      </w:pPr>
      <w:r>
        <w:rPr>
          <w:b/>
          <w:bCs/>
          <w:color w:val="C00000"/>
          <w:sz w:val="21"/>
          <w:szCs w:val="21"/>
        </w:rPr>
        <w:t xml:space="preserve">Amendments proposed by Dr. Arkadius Sybaris, Lighthief International Holding</w:t>
      </w:r>
    </w:p>
    <w:p>
      <w:pPr>
        <w:pBdr>
          <w:bottom w:val="single" w:color="BFBFBF" w:sz="6" w:space="1"/>
        </w:pBdr>
        <w:spacing w:after="200" w:before="200"/>
      </w:pPr>
      <w:r>
        <w:t xml:space="preserve"/>
      </w:r>
    </w:p>
    <w:p>
      <w:pPr>
        <w:pStyle w:val="Heading2"/>
        <w:spacing w:after="140" w:before="400"/>
      </w:pPr>
      <w:r>
        <w:rPr>
          <w:b/>
          <w:bCs/>
        </w:rPr>
        <w:t xml:space="preserve">Section 1A.8</w:t>
      </w:r>
      <w:r>
        <w:rPr>
          <w:b/>
          <w:bCs/>
        </w:rPr>
        <w:t xml:space="preserve">  —  Condition subsequent — Companion Documents</w:t>
      </w:r>
    </w:p>
    <w:p>
      <w:pPr>
        <w:spacing w:after="60" w:before="140"/>
      </w:pPr>
      <w:r>
        <w:rPr>
          <w:b/>
          <w:bCs/>
          <w:sz w:val="20"/>
          <w:szCs w:val="20"/>
        </w:rPr>
        <w:t xml:space="preserve">Client draft (current wording):</w:t>
      </w:r>
    </w:p>
    <w:p>
      <w:pPr>
        <w:spacing w:after="140"/>
      </w:pPr>
      <w:r>
        <w:rPr>
          <w:sz w:val="21"/>
          <w:szCs w:val="21"/>
        </w:rPr>
        <w:t xml:space="preserve">(c) If any Companion Document has not been so agreed and executed by the Documents Long-Stop Date, this Agreement shall, at the Client's written election, be null and void ab initio, and neither Party shall have any liability to the other under or in connection with this Agreement, save that: (i) any amounts paid by the Client shall be refunded in full within fourteen (14) days; and (ii) Sections 15 (Governing Law), 16.6 (Notices) and any confidentiality obligations shall survive.</w:t>
      </w:r>
    </w:p>
    <w:p>
      <w:pPr>
        <w:spacing w:after="140"/>
      </w:pPr>
      <w:r>
        <w:rPr>
          <w:sz w:val="21"/>
          <w:szCs w:val="21"/>
        </w:rPr>
        <w:t xml:space="preserve">(d) The Client shall not be obliged to accept any Companion Document, or to negotiate any term of it, and no course of dealing, part performance, or payment shall be construed as a waiver of this Section 1A.8.</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(c) If, in respect of any particular Companion Document, that Companion Document has not been so agreed and executed by the Documents Long-Stop Date, the Party wishing to invoke this Section 1A.8 in respect of that Companion Document shall give the other Party written notice identifying the Companion Document in question (a "Deficiency Notice"). If the relevant Companion Document has still not been agreed and executed within thirty (30) Business Days following a Deficiency Notice (the "Cure Period"), either Party may terminate this Agreement by written notice, without liability to the other, save that: (i) any amounts paid by the Client shall be refunded within thirty (30) days, less reasonable and documented costs incurred by the Contractor prior to termination; and (ii) Sections 15 (Governing Law), 16.6 (Notices) and any confidentiality obligations shall survive. For the avoidance of doubt, the Cure Period and this right to terminate apply separately and independently in respect of each Companion Document listed in Section 1A.8(a).</w:t>
      </w:r>
    </w:p>
    <w:p>
      <w:pPr>
        <w:spacing w:after="140"/>
      </w:pPr>
      <w:r>
        <w:rPr>
          <w:b w:val="false"/>
          <w:bCs w:val="false"/>
          <w:color w:val="C00000"/>
          <w:sz w:val="21"/>
          <w:szCs w:val="21"/>
        </w:rPr>
        <w:t xml:space="preserve">(d) Neither Party is obliged to agree to any term of a Companion Document proposed by the other. No course of dealing, part performance of this Agreement, or payment made under it shall, of itself, be construed as either Party's acceptance that a Companion Document is agreed in form and substance satisfactory to it for the purposes of this Section 1A.8.</w:t>
      </w:r>
    </w:p>
    <w:p>
      <w:pPr>
        <w:pStyle w:val="Heading2"/>
        <w:spacing w:after="140" w:before="400"/>
      </w:pPr>
      <w:r>
        <w:rPr>
          <w:b/>
          <w:bCs/>
        </w:rPr>
        <w:t xml:space="preserve">Section 5A.5</w:t>
      </w:r>
      <w:r>
        <w:rPr>
          <w:b/>
          <w:bCs/>
        </w:rPr>
        <w:t xml:space="preserve">  —  Client-breach causation and mitigation</w:t>
      </w:r>
    </w:p>
    <w:p>
      <w:pPr>
        <w:spacing w:after="60" w:before="140"/>
      </w:pPr>
      <w:r>
        <w:rPr>
          <w:b/>
          <w:bCs/>
          <w:sz w:val="20"/>
          <w:szCs w:val="20"/>
        </w:rPr>
        <w:t xml:space="preserve">Client draft (current wording):</w:t>
      </w:r>
    </w:p>
    <w:p>
      <w:pPr>
        <w:spacing w:after="140"/>
      </w:pPr>
      <w:r>
        <w:rPr>
          <w:sz w:val="21"/>
          <w:szCs w:val="21"/>
        </w:rPr>
        <w:t xml:space="preserve">5A.5 Client-breach causation and mitigation. 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for Client operational non-compliance (for example low-SOC, denial of site access or loss of connectivity), the Client bears the burden of showing that it complied with its operational obligations.</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5A.5 Client-breach causation and mitigation. No extension of time, cost reimbursement, warranty limitation or liability exclusion arising from a Client act or omission shall apply unless the Contractor demonstrates that the Client breach directly and materially caused the relevant delay, defect or loss and that the Contractor took reasonable mitigation measures. Conversely, in respect of any obligation of the Client under Section 5A.3 (and not only operational non-compliance such as low state-of-charge, denial of site access or loss of connectivity), the Client bears the burden of showing that it complied with the relevant obligation, to the same standard of directness, materiality and mitigation as set out above.</w:t>
      </w:r>
    </w:p>
    <w:p>
      <w:pPr>
        <w:pStyle w:val="Heading2"/>
        <w:spacing w:after="140" w:before="400"/>
      </w:pPr>
      <w:r>
        <w:rPr>
          <w:b/>
          <w:bCs/>
        </w:rPr>
        <w:t xml:space="preserve">Section 6.1C</w:t>
      </w:r>
      <w:r>
        <w:rPr>
          <w:b/>
          <w:bCs/>
        </w:rPr>
        <w:t xml:space="preserve">  —  Price Validity Long-Stop</w:t>
      </w:r>
    </w:p>
    <w:p>
      <w:pPr>
        <w:spacing w:after="60" w:before="140"/>
      </w:pPr>
      <w:r>
        <w:rPr>
          <w:b/>
          <w:bCs/>
          <w:sz w:val="20"/>
          <w:szCs w:val="20"/>
        </w:rPr>
        <w:t xml:space="preserve">Client draft (current wording):</w:t>
      </w:r>
    </w:p>
    <w:p>
      <w:pPr>
        <w:spacing w:after="140"/>
      </w:pPr>
      <w:r>
        <w:rPr>
          <w:sz w:val="21"/>
          <w:szCs w:val="21"/>
        </w:rPr>
        <w:t xml:space="preserve">6.1C Price Validity Long-Stop. Where the Client receives Connection Terms within six (6) months of the Effective Date, the Confirmed Price is set under sub-clauses (c)-(d) (two-way adjustment; upward movement capped at five percent (5%); downward movement passed through in full on milestones not yet invoiced). Where Connection Terms are received more than six (6) months after the ORDER DATE, the Contractor shall obtain a refreshed OEM quotation and re-anchor the Indicative Price and reference indices to the month of that refreshed quotation; the same two-way adjustment and 5% cap then apply from the re-anchored basis. Either Party may terminate under Section 6.1(d) if the resulting upward adjustment would exceed five percent (5%).</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Section 6.1C is deleted in its entirety.</w:t>
      </w:r>
    </w:p>
    <w:p>
      <w:pPr>
        <w:pStyle w:val="Heading2"/>
        <w:spacing w:after="140" w:before="400"/>
      </w:pPr>
      <w:r>
        <w:rPr>
          <w:b/>
          <w:bCs/>
        </w:rPr>
        <w:t xml:space="preserve">Section 7.4 (b)</w:t>
      </w:r>
      <w:r>
        <w:rPr>
          <w:b/>
          <w:bCs/>
        </w:rPr>
        <w:t xml:space="preserve">  —  Retention</w:t>
      </w:r>
    </w:p>
    <w:p>
      <w:pPr>
        <w:spacing w:after="60" w:before="140"/>
      </w:pPr>
      <w:r>
        <w:rPr>
          <w:b/>
          <w:bCs/>
          <w:sz w:val="20"/>
          <w:szCs w:val="20"/>
        </w:rPr>
        <w:t xml:space="preserve">Client draft (current wording):</w:t>
      </w:r>
    </w:p>
    <w:p>
      <w:pPr>
        <w:spacing w:after="140"/>
      </w:pPr>
      <w:r>
        <w:rPr>
          <w:sz w:val="21"/>
          <w:szCs w:val="21"/>
        </w:rPr>
        <w:t xml:space="preserve">(b) Retention shall be released within thirty (30) days of the end of the Defects Liability Period (three (3) months after PAC). The Contractor shall maintain a five percent (5%) performance guarantee valid for nine (12) months after PAC in the form of a corporate performance guarantee issued by Lighthief Cyprus Ltd directly to the Client AND AGREED WITH THE CLIENT.</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(b) Retention shall be released within ten (10) days of the end of the Defects Liability Period (three (3) months after PAC). The Contractor shall maintain a five percent (5%) performance guarantee valid for nine (12) months after PAC in the form of a corporate performance guarantee issued by Lighthief Cyprus Ltd directly to the Client AND AGREED WITH THE CLIENT.</w:t>
      </w:r>
    </w:p>
    <w:p>
      <w:pPr>
        <w:pStyle w:val="Heading2"/>
        <w:spacing w:after="140" w:before="400"/>
      </w:pPr>
      <w:r>
        <w:rPr>
          <w:b/>
          <w:bCs/>
        </w:rPr>
        <w:t xml:space="preserve">Section 7.4A</w:t>
      </w:r>
      <w:r>
        <w:rPr>
          <w:b/>
          <w:bCs/>
        </w:rPr>
        <w:t xml:space="preserve">  —  Set-off rights</w:t>
      </w:r>
    </w:p>
    <w:p>
      <w:pPr>
        <w:spacing w:after="60" w:before="140"/>
      </w:pPr>
      <w:r>
        <w:rPr>
          <w:b/>
          <w:bCs/>
          <w:sz w:val="20"/>
          <w:szCs w:val="20"/>
        </w:rPr>
        <w:t xml:space="preserve">Client draft (current wording):</w:t>
      </w:r>
    </w:p>
    <w:p>
      <w:pPr>
        <w:spacing w:after="140"/>
      </w:pPr>
      <w:r>
        <w:rPr>
          <w:sz w:val="21"/>
          <w:szCs w:val="21"/>
        </w:rPr>
        <w:t xml:space="preserve">7.4A Set-off rights. The Client may set off against any unpaid milestone or PAC payment any amount that is: (i) agreed in writing by the Parties as due from the Contractor; or (ii) determined as due by a binding adjudicator's or expert's decision under Section 15.3. Set-off shall not apply to amounts that are disputed in good faith and not yet ascertained. The Client shall give the Contractor seven (7) Business Days' prior written notice before exercising any set-off right, identifying the amount and basis of the set-off.</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7.4A Set-off rights. The Client may set off against any unpaid milestone payment (excluding, for the avoidance of doubt, any PAC payment under Section 7.1(c), which shall not be subject to set-off under this Section) any amount that is: (i) agreed in writing by the Parties as due from the Contractor; or (ii) determined as due by a binding adjudicator's or expert's decision under Section 15.3. Set-off shall not apply to amounts that are disputed in good faith and not yet ascertained. The amount set off under this Section shall not exceed fifteen percent (15%) of the milestone payment against which it is set off. The Client shall give the Contractor seven (7) Business Days' prior written notice before exercising any set-off right, identifying the amount and basis of the set-off. Any set-off exercised by the Client otherwise than in accordance with this Section 7.4A (including without the required notice, without satisfying condition (i) or (ii), or in excess of the applicable cap) shall be treated as a failure to pay by the Client under Section 5A.4(b) (Payment Default), with the consequences set out therein.</w:t>
      </w:r>
    </w:p>
    <w:p>
      <w:pPr>
        <w:pStyle w:val="Heading2"/>
        <w:spacing w:after="140" w:before="400"/>
      </w:pPr>
      <w:r>
        <w:rPr>
          <w:b/>
          <w:bCs/>
        </w:rPr>
        <w:t xml:space="preserve">Section 11.5</w:t>
      </w:r>
      <w:r>
        <w:rPr>
          <w:b/>
          <w:bCs/>
        </w:rPr>
        <w:t xml:space="preserve">  —  Integrated document suite and interpretation</w:t>
      </w:r>
    </w:p>
    <w:p>
      <w:pPr>
        <w:spacing w:after="60" w:before="140"/>
      </w:pPr>
      <w:r>
        <w:rPr>
          <w:b/>
          <w:bCs/>
          <w:sz w:val="20"/>
          <w:szCs w:val="20"/>
        </w:rPr>
        <w:t xml:space="preserve">Client draft (current wording):</w:t>
      </w:r>
    </w:p>
    <w:p>
      <w:pPr>
        <w:spacing w:after="140"/>
      </w:pPr>
      <w:r>
        <w:rPr>
          <w:sz w:val="21"/>
          <w:szCs w:val="21"/>
        </w:rPr>
        <w:t xml:space="preserve">11.5 Integrated document suite and interpretation. 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interpretation that is most favourable to the Client shall govern.</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11.5 Integrated document suite and interpretation. The EPC Agreement, the LTSA, the OEM Direct Warranty Undertaking, the Advance Payment Guarantees, the OEM Performance Guarantee, the EMS Subscription Addendum, the Technical Agreements and the OEM Warranty Terms shall be read together as a single, integrated project-document suite. In the event of any inconsistency or conflict between them, the following order of precedence shall apply (with the higher-ranked document prevailing to the extent of any inconsistency): (1) the EPC Agreement; (2) the LTSA; (3) the Advance Payment Guarantees and the OEM Performance Guarantee; (4) the OEM Direct Warranty Undertaking and the OEM Warranty Terms; (5) the EMS Subscription Addendum; (6) the Technical Agreements.</w:t>
      </w:r>
    </w:p>
    <w:p>
      <w:pPr>
        <w:pStyle w:val="Heading2"/>
        <w:spacing w:after="140" w:before="400"/>
      </w:pPr>
      <w:r>
        <w:rPr>
          <w:b/>
          <w:bCs/>
        </w:rPr>
        <w:t xml:space="preserve">Section 13.3A</w:t>
      </w:r>
      <w:r>
        <w:rPr>
          <w:b/>
          <w:bCs/>
        </w:rPr>
        <w:t xml:space="preserve">  —  Additional liability carve-outs</w:t>
      </w:r>
    </w:p>
    <w:p>
      <w:pPr>
        <w:spacing w:after="60" w:before="140"/>
      </w:pPr>
      <w:r>
        <w:rPr>
          <w:b/>
          <w:bCs/>
          <w:sz w:val="20"/>
          <w:szCs w:val="20"/>
        </w:rPr>
        <w:t xml:space="preserve">Client draft (current wording):</w:t>
      </w:r>
    </w:p>
    <w:p>
      <w:pPr>
        <w:spacing w:after="140"/>
      </w:pPr>
      <w:r>
        <w:rPr>
          <w:sz w:val="21"/>
          <w:szCs w:val="21"/>
        </w:rPr>
        <w:t xml:space="preserve">13.3A Additional liability carve-outs (not subject to any cap). In addition to the carve-outs in Section 13.3, the liability caps in Section 13.2 shall not apply to: (a) latent defects in the Works or Equipment; and (b) non-conformity with mandatory safety requirements or applicable grid-code requirements.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13.3A Additional liability carve-outs (not subject to any cap). In addition to the carve-outs in Section 13.3, the liability caps in Section 13.2 shall not apply to: (a) latent defects in the Works or Equipment, provided that any claim in respect of a latent defect is brought within two (2) years of the date of PAC, after which the applicable cap under Section 13.2 shall apply; and (b) non-conformity with mandatory safety requirements or applicable grid-code requirements existing as of the date of PAC and attributable to the Contractor, excluding any non-conformity arising from a change in applicable law or regulation after the date of PAC, or from any act or omission of the Client. For the avoidance of doubt, general firmware, software and design defects that are the responsibility of the OEM remain subject to the OEM Direct Warranty Undertaking and the manufacturing-defect carve-out (Section 13.5), and are not additionally uncapped under this Section.</w:t>
      </w:r>
    </w:p>
    <w:p>
      <w:pPr>
        <w:spacing w:after="140"/>
      </w:pPr>
      <w:r>
        <w:rPr>
          <w:b w:val="false"/>
          <w:bCs w:val="false"/>
          <w:color w:val="C00000"/>
          <w:sz w:val="21"/>
          <w:szCs w:val="21"/>
        </w:rPr>
        <w:t xml:space="preserve">For the purposes of paragraph (a), a "latent defect" means a defect in the Works or Equipment that could not have been discovered through the exercise of reasonable due diligence by way of standard acceptance testing, visual inspection or commissioning procedures conducted as of the date of PAC or during the Defects Liability Period.</w:t>
      </w:r>
    </w:p>
    <w:p>
      <w:pPr>
        <w:pStyle w:val="Heading2"/>
        <w:spacing w:after="140" w:before="400"/>
      </w:pPr>
      <w:r>
        <w:rPr>
          <w:b/>
          <w:bCs/>
        </w:rPr>
        <w:t xml:space="preserve">Section 14.4</w:t>
      </w:r>
      <w:r>
        <w:rPr>
          <w:b/>
          <w:bCs/>
        </w:rPr>
        <w:t xml:space="preserve">  —  Proof of Insurance</w:t>
      </w:r>
    </w:p>
    <w:p>
      <w:pPr>
        <w:spacing w:after="60" w:before="140"/>
      </w:pPr>
      <w:r>
        <w:rPr>
          <w:b/>
          <w:bCs/>
          <w:sz w:val="20"/>
          <w:szCs w:val="20"/>
        </w:rPr>
        <w:t xml:space="preserve">Client draft (current wording):</w:t>
      </w:r>
    </w:p>
    <w:p>
      <w:pPr>
        <w:spacing w:after="140"/>
      </w:pPr>
      <w:r>
        <w:rPr>
          <w:sz w:val="21"/>
          <w:szCs w:val="21"/>
        </w:rPr>
        <w:t xml:space="preserve">14.4 Proof of Insurance</w:t>
      </w:r>
    </w:p>
    <w:p>
      <w:pPr>
        <w:spacing w:after="140"/>
      </w:pPr>
      <w:r>
        <w:rPr>
          <w:sz w:val="21"/>
          <w:szCs w:val="21"/>
        </w:rPr>
        <w:t xml:space="preserve">[The Contractor shall provide insurance certificates or cover notes (public liability, professional indemnity, and CAR/erection all-risks as required by Section 14.1) to the Client before the advance payment under Section 7.1(a) falls due. Public Liability and Employers' Liability insurance, being standing corporate policies of the Contractor, shall be in place from the Effective Date. The Contractor's Professional Indemnity insurance shall be bound and in force no later than the date the order is placed under Section 1A.4 (the same trigger as the advance payment under Section 7.1(a)), consistent with the CAR policy's own attachment point under Section 14.5(a); the Contractor shall undertake no design, engineering or site works giving rise to professional-negligence exposure before that date.]</w:t>
      </w:r>
    </w:p>
    <w:p>
      <w:pPr>
        <w:spacing w:after="60" w:before="140"/>
      </w:pPr>
      <w:r>
        <w:rPr>
          <w:b/>
          <w:bCs/>
          <w:sz w:val="20"/>
          <w:szCs w:val="20"/>
        </w:rPr>
        <w:t xml:space="preserve">Proposed wording (Sybaris):</w:t>
      </w:r>
    </w:p>
    <w:p>
      <w:pPr>
        <w:spacing w:after="140"/>
      </w:pPr>
      <w:r>
        <w:rPr>
          <w:b w:val="false"/>
          <w:bCs w:val="false"/>
          <w:color w:val="C00000"/>
          <w:sz w:val="21"/>
          <w:szCs w:val="21"/>
        </w:rPr>
        <w:t xml:space="preserve">14.4 Proof of Insurance. The Contractor shall provide insurance certificates or cover notes (public liability, professional indemnity, and CAR/erection all-risks as required by Section 14.1) to the Client before the advance payment under Section 7.1(a) falls due. Public Liability and Employers' Liability insurance, being standing corporate policies of the Contractor, shall be in place from the Effective Date. The Contractor's Professional Indemnity insurance shall be bound and in force no later than the date the order is placed under Section 1A.4 (the same trigger as the advance payment under Section 7.1(a)), consistent with the CAR policy's own attachment point under Section 14.5(a); the Contractor shall undertake no design, engineering or site works giving rise to professional-negligence exposure before that date.</w:t>
      </w:r>
    </w:p>
    <w:p>
      <w:pPr>
        <w:spacing w:after="140"/>
      </w:pPr>
      <w:r>
        <w:rPr>
          <w:b w:val="false"/>
          <w:bCs w:val="false"/>
          <w:color w:val="C00000"/>
          <w:sz w:val="21"/>
          <w:szCs w:val="21"/>
        </w:rPr>
        <w:t xml:space="preserve">For the avoidance of doubt, marine cargo insurance for the sea voyage from the port of shipment to CIF Limassol (Section 14.5(a)) is procured and provided by the OEM (Linyang) under the CIF terms of the OEM's supply contract, and not by the Contractor. The Contractor shall forward the OEM's certificate of marine cargo insurance to the Client without delay upon its receipt from the OEM.</w:t>
      </w:r>
    </w:p>
    <w:p>
      <w:r>
        <w:br w:type="page"/>
      </w:r>
    </w:p>
    <w:p>
      <w:pPr>
        <w:pStyle w:val="Heading1"/>
        <w:spacing w:after="150" w:before="300"/>
      </w:pPr>
      <w:r>
        <w:rPr>
          <w:b/>
          <w:bCs/>
        </w:rPr>
        <w:t xml:space="preserve">ANNEX — DRAFT PERFORMANCE UNDERTAKING LETTER (Section 16.3B)</w:t>
      </w:r>
    </w:p>
    <w:p>
      <w:pPr>
        <w:spacing w:after="200"/>
      </w:pPr>
      <w:r>
        <w:rPr>
          <w:b/>
          <w:bCs/>
          <w:color w:val="C00000"/>
        </w:rPr>
        <w:t xml:space="preserve">Proposed by Dr. Arkadius Sybaris, Lighthief International Holding</w:t>
      </w:r>
    </w:p>
    <w:p>
      <w:pPr>
        <w:pBdr>
          <w:bottom w:val="single" w:color="BFBFBF" w:sz="6" w:space="1"/>
        </w:pBdr>
        <w:spacing w:after="200" w:before="200"/>
      </w:pPr>
      <w:r>
        <w:t xml:space="preserve"/>
      </w:r>
    </w:p>
    <w:p>
      <w:pPr>
        <w:spacing w:after="40"/>
      </w:pPr>
      <w:r>
        <w:rPr>
          <w:b/>
          <w:bCs/>
          <w:color w:val="C00000"/>
        </w:rPr>
        <w:t xml:space="preserve">LIGHTHIEF INTERNATIONAL LTD</w:t>
      </w:r>
    </w:p>
    <w:p>
      <w:pPr>
        <w:spacing w:after="300"/>
      </w:pPr>
      <w:r>
        <w:rPr>
          <w:i/>
          <w:iCs/>
          <w:color w:val="C00000"/>
          <w:sz w:val="18"/>
          <w:szCs w:val="18"/>
        </w:rPr>
        <w:t xml:space="preserve">[letterhead]</w:t>
      </w:r>
    </w:p>
    <w:p>
      <w:pPr>
        <w:spacing w:after="200"/>
      </w:pPr>
      <w:r>
        <w:rPr>
          <w:color w:val="C00000"/>
        </w:rPr>
        <w:t xml:space="preserve">Date: [●] 2026</w:t>
      </w:r>
    </w:p>
    <w:p>
      <w:pPr>
        <w:spacing w:after="40"/>
      </w:pPr>
      <w:r>
        <w:rPr>
          <w:color w:val="C00000"/>
        </w:rPr>
        <w:t xml:space="preserve">To: Galascope Ltd</w:t>
      </w:r>
    </w:p>
    <w:p>
      <w:pPr>
        <w:spacing w:after="200"/>
      </w:pPr>
      <w:r>
        <w:rPr>
          <w:i/>
          <w:iCs/>
          <w:color w:val="C00000"/>
        </w:rPr>
        <w:t xml:space="preserve">[Client address]</w:t>
      </w:r>
    </w:p>
    <w:p>
      <w:pPr>
        <w:spacing w:after="200"/>
      </w:pPr>
      <w:r>
        <w:rPr>
          <w:b/>
          <w:bCs/>
          <w:color w:val="C00000"/>
        </w:rPr>
        <w:t xml:space="preserve">Re: Parent Company Performance Undertaking — EPC Agreement Ref. LCY-EPC-GAL-B1-2026</w:t>
      </w:r>
    </w:p>
    <w:p>
      <w:pPr>
        <w:spacing w:after="140"/>
      </w:pPr>
      <w:r>
        <w:rPr>
          <w:b w:val="false"/>
          <w:bCs w:val="false"/>
          <w:color w:val="C00000"/>
          <w:sz w:val="21"/>
          <w:szCs w:val="21"/>
        </w:rPr>
        <w:t xml:space="preserve">Dear Sirs,</w:t>
      </w:r>
    </w:p>
    <w:p>
      <w:pPr>
        <w:spacing w:after="140"/>
      </w:pPr>
      <w:r>
        <w:rPr>
          <w:b w:val="false"/>
          <w:bCs w:val="false"/>
          <w:color w:val="C00000"/>
          <w:sz w:val="21"/>
          <w:szCs w:val="21"/>
        </w:rPr>
        <w:t xml:space="preserve">We refer to the Engineering, Procurement &amp; Construction Agreement dated [●] 2026 between Lighthief Cyprus Ltd ("Contractor") and Galascope Ltd ("Client"), Reference LCY-EPC-GAL-B1-2026 (the "EPC Agreement").</w:t>
      </w:r>
    </w:p>
    <w:p>
      <w:pPr>
        <w:spacing w:after="140"/>
      </w:pPr>
      <w:r>
        <w:rPr>
          <w:b w:val="false"/>
          <w:bCs w:val="false"/>
          <w:color w:val="C00000"/>
          <w:sz w:val="21"/>
          <w:szCs w:val="21"/>
        </w:rPr>
        <w:t xml:space="preserve">1. Lighthief International Ltd ("Guarantor") confirms and guarantees to the Client the due performance by the Contractor of the following core obligations under the EPC Agreement (the "Guaranteed Obligations"):</w:t>
      </w:r>
    </w:p>
    <w:p>
      <w:pPr>
        <w:spacing w:after="140"/>
      </w:pPr>
      <w:r>
        <w:rPr>
          <w:b w:val="false"/>
          <w:bCs w:val="false"/>
          <w:color w:val="C00000"/>
          <w:sz w:val="21"/>
          <w:szCs w:val="21"/>
        </w:rPr>
        <w:t xml:space="preserve">(a) delivery of the BESS equipment to Site as EPC Contractor;</w:t>
      </w:r>
    </w:p>
    <w:p>
      <w:pPr>
        <w:spacing w:after="140"/>
      </w:pPr>
      <w:r>
        <w:rPr>
          <w:b w:val="false"/>
          <w:bCs w:val="false"/>
          <w:color w:val="C00000"/>
          <w:sz w:val="21"/>
          <w:szCs w:val="21"/>
        </w:rPr>
        <w:t xml:space="preserve">(b) installation, commissioning and handover of the BESS to the technical specification set out in Schedule A;</w:t>
      </w:r>
    </w:p>
    <w:p>
      <w:pPr>
        <w:spacing w:after="140"/>
      </w:pPr>
      <w:r>
        <w:rPr>
          <w:b w:val="false"/>
          <w:bCs w:val="false"/>
          <w:color w:val="C00000"/>
          <w:sz w:val="21"/>
          <w:szCs w:val="21"/>
        </w:rPr>
        <w:t xml:space="preserve">(c) the Contractor's warranty obligations under Section 10.1 of the EPC Agreement for the Warranty Period.</w:t>
      </w:r>
    </w:p>
    <w:p>
      <w:pPr>
        <w:spacing w:after="140"/>
      </w:pPr>
      <w:r>
        <w:rPr>
          <w:b w:val="false"/>
          <w:bCs w:val="false"/>
          <w:color w:val="C00000"/>
          <w:sz w:val="21"/>
          <w:szCs w:val="21"/>
        </w:rPr>
        <w:t xml:space="preserve">2. Exclusions. This undertaking does not extend to: (i) financial liabilities beyond the Contract Price; (ii) the Long-Term Service Agreement or EMS services, which are contracted separately; or (iii) OEM obligations guaranteed under the OEM Direct Warranty Undertaking or OEM Performance Guarantee.</w:t>
      </w:r>
    </w:p>
    <w:p>
      <w:pPr>
        <w:spacing w:after="140"/>
      </w:pPr>
      <w:r>
        <w:rPr>
          <w:b w:val="false"/>
          <w:bCs w:val="false"/>
          <w:color w:val="C00000"/>
          <w:sz w:val="21"/>
          <w:szCs w:val="21"/>
        </w:rPr>
        <w:t xml:space="preserve">3. Limitation of liability. The Guarantor's liability under this undertaking shall in no circumstances exceed, and shall be subject to, the same limitations of liability, caps, exclusions, carve-outs and defences available to the Contractor under Sections 13.1, 13.2, 13.3 and 13.3A of the EPC Agreement, as if the Guarantor were itself the Contractor.</w:t>
      </w:r>
    </w:p>
    <w:p>
      <w:pPr>
        <w:spacing w:after="140"/>
      </w:pPr>
      <w:r>
        <w:rPr>
          <w:b w:val="false"/>
          <w:bCs w:val="false"/>
          <w:color w:val="C00000"/>
          <w:sz w:val="21"/>
          <w:szCs w:val="21"/>
        </w:rPr>
        <w:t xml:space="preserve">4. Trigger of Guarantor's liability. The Guarantor's obligations under this undertaking arise solely in the event that the Contractor becomes insolvent, is placed into liquidation, administration, receivership or any analogous insolvency proceeding under the laws of the Republic of Cyprus, or otherwise formally ceases to trade or admits in writing its inability to perform the Guaranteed Obligations. For the avoidance of doubt, this undertaking shall not be triggered by mere non-performance, delay, or dispute concerning the Contractor's obligations under the EPC Agreement while the Contractor remains solvent and operating.</w:t>
      </w:r>
    </w:p>
    <w:p>
      <w:pPr>
        <w:spacing w:after="140"/>
      </w:pPr>
      <w:r>
        <w:rPr>
          <w:b w:val="false"/>
          <w:bCs w:val="false"/>
          <w:color w:val="C00000"/>
          <w:sz w:val="21"/>
          <w:szCs w:val="21"/>
        </w:rPr>
        <w:t xml:space="preserve">5. Governing law and jurisdiction. This undertaking is governed by the laws of the Republic of Cyprus, and the courts of Cyprus shall have exclusive jurisdiction.</w:t>
      </w:r>
    </w:p>
    <w:p>
      <w:pPr>
        <w:spacing w:after="140"/>
      </w:pPr>
      <w:r>
        <w:rPr>
          <w:b w:val="false"/>
          <w:bCs w:val="false"/>
          <w:color w:val="C00000"/>
          <w:sz w:val="21"/>
          <w:szCs w:val="21"/>
        </w:rPr>
        <w:t xml:space="preserve">6. Duration. This undertaking takes effect on the date of this letter and shall automatically terminate, without further notice or action, upon expiry of the Warranty Period defined in the EPC Agreement.</w:t>
      </w:r>
    </w:p>
    <w:p>
      <w:pPr>
        <w:spacing w:after="140"/>
      </w:pPr>
      <w:r>
        <w:rPr>
          <w:b w:val="false"/>
          <w:bCs w:val="false"/>
          <w:color w:val="C00000"/>
          <w:sz w:val="21"/>
          <w:szCs w:val="21"/>
        </w:rPr>
        <w:t xml:space="preserve">7. No assignment. The benefit of this undertaking may not be assigned by the Client without the Guarantor's prior written consent, save for assignment to the Client's project-finance lender or security agent in accordance with Section 16.3A of the EPC Agreement.</w:t>
      </w:r>
    </w:p>
    <w:p>
      <w:pPr>
        <w:spacing w:after="40" w:before="300"/>
      </w:pPr>
      <w:r>
        <w:rPr>
          <w:color w:val="C00000"/>
        </w:rPr>
        <w:t xml:space="preserve">Yours faithfully,</w:t>
      </w:r>
    </w:p>
    <w:p>
      <w:pPr>
        <w:spacing w:after="0" w:before="300"/>
      </w:pPr>
      <w:r>
        <w:rPr>
          <w:b/>
          <w:bCs/>
          <w:color w:val="C00000"/>
        </w:rPr>
        <w:t xml:space="preserve">Dr. Arkadius Sybaris</w:t>
      </w:r>
    </w:p>
    <w:p>
      <w:pPr>
        <w:spacing w:after="0"/>
      </w:pPr>
      <w:r>
        <w:rPr>
          <w:color w:val="C00000"/>
        </w:rPr>
        <w:t xml:space="preserve">Founder &amp; CEO</w:t>
      </w:r>
    </w:p>
    <w:p>
      <w:pPr>
        <w:spacing w:after="0"/>
      </w:pPr>
      <w:r>
        <w:rPr>
          <w:color w:val="C00000"/>
        </w:rPr>
        <w:t xml:space="preserve">Lighthief International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2026-08-04T10:45:10.405Z</dcterms:created>
  <dcterms:modified xsi:type="dcterms:W3CDTF">2026-08-04T10:45:10.423Z</dcterms:modified>
</cp:coreProperties>
</file>

<file path=docProps/custom.xml><?xml version="1.0" encoding="utf-8"?>
<Properties xmlns="http://schemas.openxmlformats.org/officeDocument/2006/custom-properties" xmlns:vt="http://schemas.openxmlformats.org/officeDocument/2006/docPropsVTypes"/>
</file>