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DISPERON EMS/SCADA SYSTEM</w:t>
        <w:br/>
        <w:t>ORDER AGREEMENT</w:t>
      </w:r>
    </w:p>
    <w:p>
      <w:pPr>
        <w:jc w:val="center"/>
      </w:pPr>
      <w:r>
        <w:rPr>
          <w:i/>
          <w:color w:val="C9A432"/>
          <w:sz w:val="22"/>
        </w:rPr>
        <w:t>Part I — Functional, Technical and Commercial Scope</w:t>
      </w:r>
    </w:p>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Field</w:t>
            </w:r>
          </w:p>
        </w:tc>
        <w:tc>
          <w:tcPr>
            <w:tcW w:type="dxa" w:w="4419"/>
            <w:shd w:val="clear" w:color="auto" w:fill="1A365D"/>
          </w:tcPr>
          <w:p>
            <w:r>
              <w:rPr>
                <w:color w:val="FFFFFF"/>
                <w:sz w:val="18"/>
              </w:rPr>
              <w:t>Value</w:t>
            </w:r>
          </w:p>
        </w:tc>
      </w:tr>
      <w:tr>
        <w:tc>
          <w:tcPr>
            <w:tcW w:type="dxa" w:w="4419"/>
          </w:tcPr>
          <w:p>
            <w:r>
              <w:rPr>
                <w:b/>
                <w:color w:val="000000"/>
                <w:sz w:val="18"/>
              </w:rPr>
              <w:t>Document Reference</w:t>
            </w:r>
          </w:p>
        </w:tc>
        <w:tc>
          <w:tcPr>
            <w:tcW w:type="dxa" w:w="4419"/>
          </w:tcPr>
          <w:p>
            <w:r>
              <w:rPr>
                <w:color w:val="000000"/>
                <w:sz w:val="18"/>
              </w:rPr>
              <w:t>LEB-EMS-ORDER-I</w:t>
            </w:r>
          </w:p>
        </w:tc>
      </w:tr>
      <w:tr>
        <w:tc>
          <w:tcPr>
            <w:tcW w:type="dxa" w:w="4419"/>
          </w:tcPr>
          <w:p>
            <w:r>
              <w:rPr>
                <w:b/>
                <w:color w:val="000000"/>
                <w:sz w:val="18"/>
              </w:rPr>
              <w:t>Version</w:t>
            </w:r>
          </w:p>
        </w:tc>
        <w:tc>
          <w:tcPr>
            <w:tcW w:type="dxa" w:w="4419"/>
          </w:tcPr>
          <w:p>
            <w:r>
              <w:rPr>
                <w:color w:val="000000"/>
                <w:sz w:val="18"/>
              </w:rPr>
              <w:t>1.0</w:t>
            </w:r>
          </w:p>
        </w:tc>
      </w:tr>
      <w:tr>
        <w:tc>
          <w:tcPr>
            <w:tcW w:type="dxa" w:w="4419"/>
          </w:tcPr>
          <w:p>
            <w:r>
              <w:rPr>
                <w:b/>
                <w:color w:val="000000"/>
                <w:sz w:val="18"/>
              </w:rPr>
              <w:t>Date</w:t>
            </w:r>
          </w:p>
        </w:tc>
        <w:tc>
          <w:tcPr>
            <w:tcW w:type="dxa" w:w="4419"/>
          </w:tcPr>
          <w:p>
            <w:r>
              <w:rPr>
                <w:color w:val="000000"/>
                <w:sz w:val="18"/>
              </w:rPr>
              <w:t>19 May 2026</w:t>
            </w:r>
          </w:p>
        </w:tc>
      </w:tr>
      <w:tr>
        <w:tc>
          <w:tcPr>
            <w:tcW w:type="dxa" w:w="4419"/>
          </w:tcPr>
          <w:p>
            <w:r>
              <w:rPr>
                <w:b/>
                <w:color w:val="000000"/>
                <w:sz w:val="18"/>
              </w:rPr>
              <w:t>Contractor</w:t>
            </w:r>
          </w:p>
        </w:tc>
        <w:tc>
          <w:tcPr>
            <w:tcW w:type="dxa" w:w="4419"/>
          </w:tcPr>
          <w:p>
            <w:r>
              <w:rPr>
                <w:color w:val="000000"/>
                <w:sz w:val="18"/>
              </w:rPr>
              <w:t>Lighthief EU BESS Ltd (DISPERON)</w:t>
            </w:r>
          </w:p>
        </w:tc>
      </w:tr>
    </w:tbl>
    <w:p/>
    <w:p>
      <w:pPr>
        <w:pStyle w:val="Heading1"/>
      </w:pPr>
      <w:r>
        <w:rPr>
          <w:b/>
          <w:color w:val="C9A432"/>
          <w:sz w:val="26"/>
        </w:rPr>
        <w:t>Parties</w:t>
      </w:r>
    </w:p>
    <w:p>
      <w:r>
        <w:rPr>
          <w:b w:val="0"/>
          <w:color w:val="000000"/>
          <w:sz w:val="20"/>
        </w:rPr>
        <w:t>Date of Agreement: .....................................................</w:t>
      </w:r>
    </w:p>
    <w:p>
      <w:r>
        <w:rPr>
          <w:b w:val="0"/>
          <w:color w:val="000000"/>
          <w:sz w:val="20"/>
        </w:rPr>
        <w:t>Customer: ....................................................................</w:t>
      </w:r>
    </w:p>
    <w:p>
      <w:r>
        <w:rPr>
          <w:b w:val="0"/>
          <w:color w:val="000000"/>
          <w:sz w:val="20"/>
        </w:rPr>
        <w:t>Contractor:</w:t>
      </w:r>
    </w:p>
    <w:p>
      <w:pPr>
        <w:ind w:left="283"/>
      </w:pPr>
      <w:r>
        <w:rPr>
          <w:b w:val="0"/>
          <w:color w:val="000000"/>
          <w:sz w:val="20"/>
        </w:rPr>
        <w:t>Lighthief EU BESS Ltd (trading as DISPERON)</w:t>
      </w:r>
    </w:p>
    <w:p>
      <w:pPr>
        <w:ind w:left="283"/>
      </w:pPr>
      <w:r>
        <w:rPr>
          <w:b w:val="0"/>
          <w:color w:val="000000"/>
          <w:sz w:val="20"/>
        </w:rPr>
        <w:t>Registration No. HE 474192</w:t>
      </w:r>
    </w:p>
    <w:p>
      <w:pPr>
        <w:ind w:left="283"/>
      </w:pPr>
      <w:r>
        <w:rPr>
          <w:b w:val="0"/>
          <w:color w:val="000000"/>
          <w:sz w:val="20"/>
        </w:rPr>
        <w:t>28 Oktovriou &amp; Aemiliou Chourmouziou</w:t>
      </w:r>
    </w:p>
    <w:p>
      <w:pPr>
        <w:ind w:left="283"/>
      </w:pPr>
      <w:r>
        <w:rPr>
          <w:b w:val="0"/>
          <w:color w:val="000000"/>
          <w:sz w:val="20"/>
        </w:rPr>
        <w:t>Lophitis Business Center I, Floor 2, Office 1</w:t>
      </w:r>
    </w:p>
    <w:p>
      <w:pPr>
        <w:ind w:left="283"/>
      </w:pPr>
      <w:r>
        <w:rPr>
          <w:b w:val="0"/>
          <w:color w:val="000000"/>
          <w:sz w:val="20"/>
        </w:rPr>
        <w:t>3035 Limassol, Republic of Cyprus</w:t>
      </w:r>
    </w:p>
    <w:p>
      <w:pPr>
        <w:ind w:left="283"/>
      </w:pPr>
      <w:r>
        <w:rPr>
          <w:b w:val="0"/>
          <w:color w:val="000000"/>
          <w:sz w:val="20"/>
        </w:rPr>
        <w:t>Email: office@lighthief.com | Tel: +357 99 164 158</w:t>
      </w:r>
    </w:p>
    <w:p>
      <w:r>
        <w:rPr>
          <w:b w:val="0"/>
          <w:color w:val="000000"/>
          <w:sz w:val="20"/>
        </w:rPr>
        <w:t>Represented by: Alexander Papacosta, Cyprus Managing Director</w:t>
      </w:r>
    </w:p>
    <w:p>
      <w:r>
        <w:rPr>
          <w:b w:val="0"/>
          <w:color w:val="000000"/>
          <w:sz w:val="20"/>
        </w:rPr>
        <w:t>Hereinafter referred to as the "Contractor".</w:t>
      </w:r>
    </w:p>
    <w:p>
      <w:pPr>
        <w:pStyle w:val="Heading1"/>
      </w:pPr>
      <w:r>
        <w:rPr>
          <w:b/>
          <w:color w:val="C9A432"/>
          <w:sz w:val="26"/>
        </w:rPr>
        <w:t>1. Subject of the Agreement</w:t>
      </w:r>
    </w:p>
    <w:p>
      <w:r>
        <w:rPr>
          <w:b w:val="0"/>
          <w:color w:val="000000"/>
          <w:sz w:val="20"/>
        </w:rPr>
        <w:t>The subject of this Agreement is the delivery, configuration and commissioning of the DISPERON EMS/SCADA system in accordance with the functional scope defined in this Agreement and the selected integration options. DISPERON is the commercial brand under which Lighthief EU BESS Ltd supplies energy management and SCADA services for battery energy storage and hybrid renewable installations.</w:t>
      </w:r>
    </w:p>
    <w:p>
      <w:pPr>
        <w:pStyle w:val="Heading2"/>
      </w:pPr>
      <w:r>
        <w:rPr>
          <w:b/>
          <w:color w:val="1A365D"/>
          <w:sz w:val="22"/>
        </w:rPr>
        <w:t>Scope of devices included in the system</w:t>
      </w:r>
    </w:p>
    <w:p>
      <w:r>
        <w:rPr>
          <w:b w:val="0"/>
          <w:color w:val="000000"/>
          <w:sz w:val="20"/>
        </w:rPr>
        <w:t>☐  BESS energy storage systems</w:t>
      </w:r>
    </w:p>
    <w:p>
      <w:r>
        <w:rPr>
          <w:b w:val="0"/>
          <w:color w:val="000000"/>
          <w:sz w:val="20"/>
        </w:rPr>
        <w:t>☐  Battery inverters / PCS</w:t>
      </w:r>
    </w:p>
    <w:p>
      <w:r>
        <w:rPr>
          <w:b w:val="0"/>
          <w:color w:val="000000"/>
          <w:sz w:val="20"/>
        </w:rPr>
        <w:t>☐  PV inverters</w:t>
      </w:r>
    </w:p>
    <w:p>
      <w:r>
        <w:rPr>
          <w:b w:val="0"/>
          <w:color w:val="000000"/>
          <w:sz w:val="20"/>
        </w:rPr>
        <w:t>☐  Photovoltaic installation (SPC — Solar Power Controller)</w:t>
      </w:r>
    </w:p>
    <w:p>
      <w:r>
        <w:rPr>
          <w:b w:val="0"/>
          <w:color w:val="000000"/>
          <w:sz w:val="20"/>
        </w:rPr>
        <w:t>☐  Wind turbines (WPC — Wind Power Controller)</w:t>
      </w:r>
    </w:p>
    <w:p>
      <w:r>
        <w:rPr>
          <w:b w:val="0"/>
          <w:color w:val="000000"/>
          <w:sz w:val="20"/>
        </w:rPr>
        <w:t>☐  EV chargers (EVMS — Electric Vehicle Management System)</w:t>
      </w:r>
    </w:p>
    <w:p>
      <w:r>
        <w:rPr>
          <w:b w:val="0"/>
          <w:color w:val="000000"/>
          <w:sz w:val="20"/>
        </w:rPr>
        <w:t>☐  Generator set / cogeneration</w:t>
      </w:r>
    </w:p>
    <w:p>
      <w:r>
        <w:rPr>
          <w:b w:val="0"/>
          <w:color w:val="000000"/>
          <w:sz w:val="20"/>
        </w:rPr>
        <w:t>☐  Energy meters (number of meters): ………..</w:t>
      </w:r>
    </w:p>
    <w:p>
      <w:r>
        <w:rPr>
          <w:b w:val="0"/>
          <w:color w:val="000000"/>
          <w:sz w:val="20"/>
        </w:rPr>
        <w:t>☐  MV/LV transformer station</w:t>
      </w:r>
    </w:p>
    <w:p>
      <w:pPr>
        <w:pStyle w:val="Heading2"/>
      </w:pPr>
      <w:r>
        <w:rPr>
          <w:b/>
          <w:color w:val="1A365D"/>
          <w:sz w:val="22"/>
        </w:rPr>
        <w:t>System operator modules (Cyprus)</w:t>
      </w:r>
    </w:p>
    <w:p>
      <w:r>
        <w:rPr>
          <w:b w:val="0"/>
          <w:color w:val="000000"/>
          <w:sz w:val="20"/>
        </w:rPr>
        <w:t>☐  EAC DSO module — Electricity Authority of Cyprus distribution network</w:t>
      </w:r>
    </w:p>
    <w:p>
      <w:r>
        <w:rPr>
          <w:b w:val="0"/>
          <w:color w:val="000000"/>
          <w:sz w:val="20"/>
        </w:rPr>
        <w:t>☐  TSOC module — Transmission System Operator (installations &gt;8 MW)</w:t>
      </w:r>
    </w:p>
    <w:p>
      <w:r>
        <w:rPr>
          <w:b w:val="0"/>
          <w:color w:val="000000"/>
          <w:sz w:val="20"/>
        </w:rPr>
        <w:t>☐  System services module (FCR / aFRR / mFRR — where applicable)</w:t>
      </w:r>
    </w:p>
    <w:p>
      <w:r>
        <w:rPr>
          <w:b w:val="0"/>
          <w:color w:val="000000"/>
          <w:sz w:val="20"/>
        </w:rPr>
        <w:t>☐  Energy trader / market participant module (TSOC MMS interfaces)</w:t>
      </w:r>
    </w:p>
    <w:p>
      <w:pPr>
        <w:pStyle w:val="Heading2"/>
      </w:pPr>
      <w:r>
        <w:rPr>
          <w:b/>
          <w:color w:val="1A365D"/>
          <w:sz w:val="22"/>
        </w:rPr>
        <w:t>Data sources and integrations</w:t>
      </w:r>
    </w:p>
    <w:p>
      <w:r>
        <w:rPr>
          <w:b w:val="0"/>
          <w:color w:val="000000"/>
          <w:sz w:val="20"/>
        </w:rPr>
        <w:t>☐  Weather forecasts</w:t>
      </w:r>
    </w:p>
    <w:p>
      <w:r>
        <w:rPr>
          <w:b w:val="0"/>
          <w:color w:val="000000"/>
          <w:sz w:val="20"/>
        </w:rPr>
        <w:t>☐  PV irradiance forecasts</w:t>
      </w:r>
    </w:p>
    <w:p>
      <w:r>
        <w:rPr>
          <w:b w:val="0"/>
          <w:color w:val="000000"/>
          <w:sz w:val="20"/>
        </w:rPr>
        <w:t>☐  Electricity market prices (TSOC Day-Ahead Market / balancing)</w:t>
      </w:r>
    </w:p>
    <w:p>
      <w:r>
        <w:rPr>
          <w:b w:val="0"/>
          <w:color w:val="000000"/>
          <w:sz w:val="20"/>
        </w:rPr>
        <w:t>☐  Energy meter data</w:t>
      </w:r>
    </w:p>
    <w:p>
      <w:r>
        <w:rPr>
          <w:b w:val="0"/>
          <w:color w:val="000000"/>
          <w:sz w:val="20"/>
        </w:rPr>
        <w:t>☐  Operator systems data (IEC 60870-5-104)</w:t>
      </w:r>
    </w:p>
    <w:p>
      <w:r>
        <w:rPr>
          <w:b w:val="0"/>
          <w:color w:val="000000"/>
          <w:sz w:val="20"/>
        </w:rPr>
        <w:t>☐  Integration with external SCADA systems</w:t>
      </w:r>
    </w:p>
    <w:p>
      <w:r>
        <w:rPr>
          <w:b w:val="0"/>
          <w:color w:val="000000"/>
          <w:sz w:val="20"/>
        </w:rPr>
        <w:t>☐  Integration with trading / portfolio systems</w:t>
      </w:r>
    </w:p>
    <w:p>
      <w:pPr>
        <w:pStyle w:val="Heading2"/>
      </w:pPr>
      <w:r>
        <w:rPr>
          <w:b/>
          <w:color w:val="1A365D"/>
          <w:sz w:val="22"/>
        </w:rPr>
        <w:t>DISPERON EMS/SCADA functionalities</w:t>
      </w:r>
    </w:p>
    <w:p>
      <w:pPr>
        <w:pStyle w:val="Heading2"/>
      </w:pPr>
      <w:r>
        <w:rPr>
          <w:b/>
          <w:color w:val="1A365D"/>
          <w:sz w:val="22"/>
        </w:rPr>
        <w:t>Monitoring &amp; Diagnostics</w:t>
      </w:r>
    </w:p>
    <w:p>
      <w:r>
        <w:rPr>
          <w:b w:val="0"/>
          <w:color w:val="000000"/>
          <w:sz w:val="20"/>
        </w:rPr>
        <w:t>☐  Installation parameter monitoring</w:t>
      </w:r>
    </w:p>
    <w:p>
      <w:r>
        <w:rPr>
          <w:b w:val="0"/>
          <w:color w:val="000000"/>
          <w:sz w:val="20"/>
        </w:rPr>
        <w:t>☐  Monitoring of individual devices (PV, BESS, EV, meters)</w:t>
      </w:r>
    </w:p>
    <w:p>
      <w:r>
        <w:rPr>
          <w:b w:val="0"/>
          <w:color w:val="000000"/>
          <w:sz w:val="20"/>
        </w:rPr>
        <w:t>☐  Detailed diagnostics and alarms</w:t>
      </w:r>
    </w:p>
    <w:p>
      <w:pPr>
        <w:pStyle w:val="Heading2"/>
      </w:pPr>
      <w:r>
        <w:rPr>
          <w:b/>
          <w:color w:val="1A365D"/>
          <w:sz w:val="22"/>
        </w:rPr>
        <w:t>Data Collection &amp; Analysis</w:t>
      </w:r>
    </w:p>
    <w:p>
      <w:r>
        <w:rPr>
          <w:b w:val="0"/>
          <w:color w:val="000000"/>
          <w:sz w:val="20"/>
        </w:rPr>
        <w:t>☐  Production and consumption history</w:t>
      </w:r>
    </w:p>
    <w:p>
      <w:r>
        <w:rPr>
          <w:b w:val="0"/>
          <w:color w:val="000000"/>
          <w:sz w:val="20"/>
        </w:rPr>
        <w:t>☐  History of alarms, errors, and events</w:t>
      </w:r>
    </w:p>
    <w:p>
      <w:r>
        <w:rPr>
          <w:b w:val="0"/>
          <w:color w:val="000000"/>
          <w:sz w:val="20"/>
        </w:rPr>
        <w:t>☐  Energy cost analysis</w:t>
      </w:r>
    </w:p>
    <w:p>
      <w:r>
        <w:rPr>
          <w:b w:val="0"/>
          <w:color w:val="000000"/>
          <w:sz w:val="20"/>
        </w:rPr>
        <w:t>☐  Efficiency analysis (kWh/kWp, performance ratio)</w:t>
      </w:r>
    </w:p>
    <w:p>
      <w:pPr>
        <w:pStyle w:val="Heading2"/>
      </w:pPr>
      <w:r>
        <w:rPr>
          <w:b/>
          <w:color w:val="1A365D"/>
          <w:sz w:val="22"/>
        </w:rPr>
        <w:t>Device Control</w:t>
      </w:r>
    </w:p>
    <w:p>
      <w:r>
        <w:rPr>
          <w:b w:val="0"/>
          <w:color w:val="000000"/>
          <w:sz w:val="20"/>
        </w:rPr>
        <w:t>☐  Remote PV control</w:t>
      </w:r>
    </w:p>
    <w:p>
      <w:r>
        <w:rPr>
          <w:b w:val="0"/>
          <w:color w:val="000000"/>
          <w:sz w:val="20"/>
        </w:rPr>
        <w:t>☐  Remote BESS control</w:t>
      </w:r>
    </w:p>
    <w:p>
      <w:r>
        <w:rPr>
          <w:b w:val="0"/>
          <w:color w:val="000000"/>
          <w:sz w:val="20"/>
        </w:rPr>
        <w:t>☐  Remote EV charger control</w:t>
      </w:r>
    </w:p>
    <w:p>
      <w:r>
        <w:rPr>
          <w:b w:val="0"/>
          <w:color w:val="000000"/>
          <w:sz w:val="20"/>
        </w:rPr>
        <w:t>☐  Device parameter configuration</w:t>
      </w:r>
    </w:p>
    <w:p>
      <w:r>
        <w:rPr>
          <w:b w:val="0"/>
          <w:color w:val="000000"/>
          <w:sz w:val="20"/>
        </w:rPr>
        <w:t>☐  Power balancing between inverters</w:t>
      </w:r>
    </w:p>
    <w:p>
      <w:pPr>
        <w:pStyle w:val="Heading2"/>
      </w:pPr>
      <w:r>
        <w:rPr>
          <w:b/>
          <w:color w:val="1A365D"/>
          <w:sz w:val="22"/>
        </w:rPr>
        <w:t>Active Power — Operating Strategies</w:t>
      </w:r>
    </w:p>
    <w:p>
      <w:r>
        <w:rPr>
          <w:b w:val="0"/>
          <w:color w:val="000000"/>
          <w:sz w:val="20"/>
        </w:rPr>
        <w:t>☐  Zero import / Zero export</w:t>
      </w:r>
    </w:p>
    <w:p>
      <w:r>
        <w:rPr>
          <w:b w:val="0"/>
          <w:color w:val="000000"/>
          <w:sz w:val="20"/>
        </w:rPr>
        <w:t>☐  Set import / Set export</w:t>
      </w:r>
    </w:p>
    <w:p>
      <w:r>
        <w:rPr>
          <w:b w:val="0"/>
          <w:color w:val="000000"/>
          <w:sz w:val="20"/>
        </w:rPr>
        <w:t>☐  Peak Shaving</w:t>
      </w:r>
    </w:p>
    <w:p>
      <w:r>
        <w:rPr>
          <w:b w:val="0"/>
          <w:color w:val="000000"/>
          <w:sz w:val="20"/>
        </w:rPr>
        <w:t>☐  External Setpoint via ☐ External SCADA / ☐ Trader / ☐ Dynamic control according to energy price / ☐ Dynamic control according to weather</w:t>
      </w:r>
    </w:p>
    <w:p>
      <w:pPr>
        <w:pStyle w:val="Heading2"/>
      </w:pPr>
      <w:r>
        <w:rPr>
          <w:b/>
          <w:color w:val="1A365D"/>
          <w:sz w:val="22"/>
        </w:rPr>
        <w:t>Reactive Power and Power Factor</w:t>
      </w:r>
    </w:p>
    <w:p>
      <w:r>
        <w:rPr>
          <w:b w:val="0"/>
          <w:color w:val="000000"/>
          <w:sz w:val="20"/>
        </w:rPr>
        <w:t>☐  Reactive power compensation (Q)</w:t>
      </w:r>
    </w:p>
    <w:p>
      <w:r>
        <w:rPr>
          <w:b w:val="0"/>
          <w:color w:val="000000"/>
          <w:sz w:val="20"/>
        </w:rPr>
        <w:t>☐  Q/U regulation (Cyprus EN 50549-2)</w:t>
      </w:r>
    </w:p>
    <w:p>
      <w:r>
        <w:rPr>
          <w:b w:val="0"/>
          <w:color w:val="000000"/>
          <w:sz w:val="20"/>
        </w:rPr>
        <w:t>☐  cos φ / tan φ control</w:t>
      </w:r>
    </w:p>
    <w:p>
      <w:pPr>
        <w:pStyle w:val="Heading2"/>
      </w:pPr>
      <w:r>
        <w:rPr>
          <w:b/>
          <w:color w:val="1A365D"/>
          <w:sz w:val="22"/>
        </w:rPr>
        <w:t>Schedules</w:t>
      </w:r>
    </w:p>
    <w:p>
      <w:r>
        <w:rPr>
          <w:b w:val="0"/>
          <w:color w:val="000000"/>
          <w:sz w:val="20"/>
        </w:rPr>
        <w:t>☐  Weekly schedules</w:t>
      </w:r>
    </w:p>
    <w:p>
      <w:r>
        <w:rPr>
          <w:b w:val="0"/>
          <w:color w:val="000000"/>
          <w:sz w:val="20"/>
        </w:rPr>
        <w:t>☐  Advanced schedules based on prices and weather</w:t>
      </w:r>
    </w:p>
    <w:p>
      <w:r>
        <w:rPr>
          <w:b w:val="0"/>
          <w:color w:val="000000"/>
          <w:sz w:val="20"/>
        </w:rPr>
        <w:t>☐  EV charging schedules</w:t>
      </w:r>
    </w:p>
    <w:p>
      <w:pPr>
        <w:pStyle w:val="Heading2"/>
      </w:pPr>
      <w:r>
        <w:rPr>
          <w:b/>
          <w:color w:val="1A365D"/>
          <w:sz w:val="22"/>
        </w:rPr>
        <w:t>Safety and Alarms</w:t>
      </w:r>
    </w:p>
    <w:p>
      <w:r>
        <w:rPr>
          <w:b w:val="0"/>
          <w:color w:val="000000"/>
          <w:sz w:val="20"/>
        </w:rPr>
        <w:t>☐  E-mail notifications</w:t>
      </w:r>
    </w:p>
    <w:p>
      <w:r>
        <w:rPr>
          <w:b w:val="0"/>
          <w:color w:val="000000"/>
          <w:sz w:val="20"/>
        </w:rPr>
        <w:t>☐  SMS notifications</w:t>
      </w:r>
    </w:p>
    <w:p>
      <w:r>
        <w:rPr>
          <w:b w:val="0"/>
          <w:color w:val="000000"/>
          <w:sz w:val="20"/>
        </w:rPr>
        <w:t>☐  Emergency mode (Backup Mode / Off-Grid)</w:t>
      </w:r>
    </w:p>
    <w:p>
      <w:r>
        <w:rPr>
          <w:b w:val="0"/>
          <w:color w:val="000000"/>
          <w:sz w:val="20"/>
        </w:rPr>
        <w:t>☐  Overload and overvoltage protections</w:t>
      </w:r>
    </w:p>
    <w:p>
      <w:pPr>
        <w:pStyle w:val="Heading2"/>
      </w:pPr>
      <w:r>
        <w:rPr>
          <w:b/>
          <w:color w:val="1A365D"/>
          <w:sz w:val="22"/>
        </w:rPr>
        <w:t>Reports</w:t>
      </w:r>
    </w:p>
    <w:p>
      <w:r>
        <w:rPr>
          <w:b w:val="0"/>
          <w:color w:val="000000"/>
          <w:sz w:val="20"/>
        </w:rPr>
        <w:t>☐  PV production report</w:t>
      </w:r>
    </w:p>
    <w:p>
      <w:r>
        <w:rPr>
          <w:b w:val="0"/>
          <w:color w:val="000000"/>
          <w:sz w:val="20"/>
        </w:rPr>
        <w:t>☐  BESS storage report</w:t>
      </w:r>
    </w:p>
    <w:p>
      <w:r>
        <w:rPr>
          <w:b w:val="0"/>
          <w:color w:val="000000"/>
          <w:sz w:val="20"/>
        </w:rPr>
        <w:t>☐  Energy balance report</w:t>
      </w:r>
    </w:p>
    <w:p>
      <w:r>
        <w:rPr>
          <w:b w:val="0"/>
          <w:color w:val="000000"/>
          <w:sz w:val="20"/>
        </w:rPr>
        <w:t>☐  Cost and revenue report</w:t>
      </w:r>
    </w:p>
    <w:p>
      <w:r>
        <w:rPr>
          <w:b w:val="0"/>
          <w:color w:val="000000"/>
          <w:sz w:val="20"/>
        </w:rPr>
        <w:t>☐  Investor dashboard (KPI, ROI)</w:t>
      </w:r>
    </w:p>
    <w:p>
      <w:pPr>
        <w:pStyle w:val="Heading2"/>
      </w:pPr>
      <w:r>
        <w:rPr>
          <w:b/>
          <w:color w:val="1A365D"/>
          <w:sz w:val="22"/>
        </w:rPr>
        <w:t>Grid compliance (Cyprus)</w:t>
      </w:r>
    </w:p>
    <w:p>
      <w:r>
        <w:rPr>
          <w:b w:val="0"/>
          <w:color w:val="000000"/>
          <w:sz w:val="20"/>
        </w:rPr>
        <w:t>☐  IEC 60870-5-104 SCADA gateway for EAC/TSOC</w:t>
      </w:r>
    </w:p>
    <w:p>
      <w:r>
        <w:rPr>
          <w:b w:val="0"/>
          <w:color w:val="000000"/>
          <w:sz w:val="20"/>
        </w:rPr>
        <w:t>☐  Active and reactive power setpoint control</w:t>
      </w:r>
    </w:p>
    <w:p>
      <w:r>
        <w:rPr>
          <w:b w:val="0"/>
          <w:color w:val="000000"/>
          <w:sz w:val="20"/>
        </w:rPr>
        <w:t>☐  Discrete curtailment levels (100% / 60% / 30% / 0%)</w:t>
      </w:r>
    </w:p>
    <w:p>
      <w:r>
        <w:rPr>
          <w:b w:val="0"/>
          <w:color w:val="000000"/>
          <w:sz w:val="20"/>
        </w:rPr>
        <w:t>☐  Loss-of-mains and anti-islanding coordination</w:t>
      </w:r>
    </w:p>
    <w:p>
      <w:r>
        <w:rPr>
          <w:b w:val="0"/>
          <w:color w:val="000000"/>
          <w:sz w:val="20"/>
        </w:rPr>
        <w:t>☐  NIS2-aligned access control and audit logging</w:t>
      </w:r>
    </w:p>
    <w:p>
      <w:pPr>
        <w:pStyle w:val="Heading2"/>
      </w:pPr>
      <w:r>
        <w:rPr>
          <w:b/>
          <w:color w:val="1A365D"/>
          <w:sz w:val="22"/>
        </w:rPr>
        <w:t>Installation parameters</w:t>
      </w:r>
    </w:p>
    <w:p>
      <w:r>
        <w:rPr>
          <w:b w:val="0"/>
          <w:color w:val="000000"/>
          <w:sz w:val="20"/>
        </w:rPr>
        <w:t>PV — installation capacity: ............ kWp</w:t>
      </w:r>
    </w:p>
    <w:p>
      <w:r>
        <w:rPr>
          <w:b w:val="0"/>
          <w:color w:val="000000"/>
          <w:sz w:val="20"/>
        </w:rPr>
        <w:t>PV — inverter capacity: ............ kW</w:t>
      </w:r>
    </w:p>
    <w:p>
      <w:r>
        <w:rPr>
          <w:b w:val="0"/>
          <w:color w:val="000000"/>
          <w:sz w:val="20"/>
        </w:rPr>
        <w:t>BESS — power: ............ kW</w:t>
      </w:r>
    </w:p>
    <w:p>
      <w:r>
        <w:rPr>
          <w:b w:val="0"/>
          <w:color w:val="000000"/>
          <w:sz w:val="20"/>
        </w:rPr>
        <w:t>BESS — capacity: ............ kWh</w:t>
      </w:r>
    </w:p>
    <w:p>
      <w:r>
        <w:rPr>
          <w:b w:val="0"/>
          <w:color w:val="000000"/>
          <w:sz w:val="20"/>
        </w:rPr>
        <w:t>Type of BESS inverters: ........................................</w:t>
      </w:r>
    </w:p>
    <w:p>
      <w:r>
        <w:rPr>
          <w:b w:val="0"/>
          <w:color w:val="000000"/>
          <w:sz w:val="20"/>
        </w:rPr>
        <w:t>Type of batteries / BMS: .............................................</w:t>
      </w:r>
    </w:p>
    <w:p>
      <w:r>
        <w:rPr>
          <w:b w:val="0"/>
          <w:color w:val="000000"/>
          <w:sz w:val="20"/>
        </w:rPr>
        <w:t>Number of energy meters: ............</w:t>
      </w:r>
    </w:p>
    <w:p>
      <w:r>
        <w:rPr>
          <w:b w:val="0"/>
          <w:color w:val="000000"/>
          <w:sz w:val="20"/>
        </w:rPr>
        <w:t>MV/LV station — type: ..........................................</w:t>
      </w:r>
    </w:p>
    <w:p>
      <w:pPr>
        <w:pStyle w:val="Heading1"/>
      </w:pPr>
      <w:r>
        <w:rPr>
          <w:b/>
          <w:color w:val="C9A432"/>
          <w:sz w:val="26"/>
        </w:rPr>
        <w:t>2. Implementation Stages</w:t>
      </w:r>
    </w:p>
    <w:p>
      <w:r>
        <w:rPr>
          <w:b/>
          <w:color w:val="000000"/>
          <w:sz w:val="20"/>
        </w:rPr>
        <w:t>Stage 1 — Installation</w:t>
      </w:r>
    </w:p>
    <w:p>
      <w:pPr>
        <w:pStyle w:val="ListBullet"/>
        <w:ind w:left="283"/>
      </w:pPr>
      <w:r>
        <w:rPr>
          <w:sz w:val="20"/>
        </w:rPr>
        <w:t>Preparation and configuration of controllers at the Contractor's facility</w:t>
      </w:r>
    </w:p>
    <w:p>
      <w:pPr>
        <w:pStyle w:val="ListBullet"/>
        <w:ind w:left="283"/>
      </w:pPr>
      <w:r>
        <w:rPr>
          <w:sz w:val="20"/>
        </w:rPr>
        <w:t>Shipment of devices to the site</w:t>
      </w:r>
    </w:p>
    <w:p>
      <w:pPr>
        <w:pStyle w:val="ListBullet"/>
        <w:ind w:left="283"/>
      </w:pPr>
      <w:r>
        <w:rPr>
          <w:sz w:val="20"/>
        </w:rPr>
        <w:t>System installation and device integration</w:t>
      </w:r>
    </w:p>
    <w:p>
      <w:pPr>
        <w:pStyle w:val="ListBullet"/>
        <w:ind w:left="283"/>
      </w:pPr>
      <w:r>
        <w:rPr>
          <w:sz w:val="20"/>
        </w:rPr>
        <w:t>Communication configuration (Modbus TCP, IEC 104, VPN as applicable)</w:t>
      </w:r>
    </w:p>
    <w:p>
      <w:r>
        <w:rPr>
          <w:b/>
          <w:color w:val="000000"/>
          <w:sz w:val="20"/>
        </w:rPr>
        <w:t>Stage 2 — Testing</w:t>
      </w:r>
    </w:p>
    <w:p>
      <w:pPr>
        <w:pStyle w:val="ListBullet"/>
        <w:ind w:left="283"/>
      </w:pPr>
      <w:r>
        <w:rPr>
          <w:sz w:val="20"/>
        </w:rPr>
        <w:t>Communication tests and control tests</w:t>
      </w:r>
    </w:p>
    <w:p>
      <w:pPr>
        <w:pStyle w:val="ListBullet"/>
        <w:ind w:left="283"/>
      </w:pPr>
      <w:r>
        <w:rPr>
          <w:sz w:val="20"/>
        </w:rPr>
        <w:t>On-site system configuration</w:t>
      </w:r>
    </w:p>
    <w:p>
      <w:pPr>
        <w:pStyle w:val="ListBullet"/>
        <w:ind w:left="283"/>
      </w:pPr>
      <w:r>
        <w:rPr>
          <w:sz w:val="20"/>
        </w:rPr>
        <w:t>Alarm and notification tests</w:t>
      </w:r>
    </w:p>
    <w:p>
      <w:pPr>
        <w:pStyle w:val="ListBullet"/>
        <w:ind w:left="283"/>
      </w:pPr>
      <w:r>
        <w:rPr>
          <w:sz w:val="20"/>
        </w:rPr>
        <w:t>Integration with EAC/TSOC SCADA (where in scope)</w:t>
      </w:r>
    </w:p>
    <w:p>
      <w:r>
        <w:rPr>
          <w:b/>
          <w:color w:val="000000"/>
          <w:sz w:val="20"/>
        </w:rPr>
        <w:t>Stage 3 — Commissioning</w:t>
      </w:r>
    </w:p>
    <w:p>
      <w:pPr>
        <w:pStyle w:val="ListBullet"/>
        <w:ind w:left="283"/>
      </w:pPr>
      <w:r>
        <w:rPr>
          <w:sz w:val="20"/>
        </w:rPr>
        <w:t>System startup and acceptance testing</w:t>
      </w:r>
    </w:p>
    <w:p>
      <w:pPr>
        <w:pStyle w:val="ListBullet"/>
        <w:ind w:left="283"/>
      </w:pPr>
      <w:r>
        <w:rPr>
          <w:sz w:val="20"/>
        </w:rPr>
        <w:t>Personnel training</w:t>
      </w:r>
    </w:p>
    <w:p>
      <w:pPr>
        <w:pStyle w:val="ListBullet"/>
        <w:ind w:left="283"/>
      </w:pPr>
      <w:r>
        <w:rPr>
          <w:sz w:val="20"/>
        </w:rPr>
        <w:t>Startup monitoring period</w:t>
      </w:r>
    </w:p>
    <w:p>
      <w:pPr>
        <w:pStyle w:val="Heading1"/>
      </w:pPr>
      <w:r>
        <w:rPr>
          <w:b/>
          <w:color w:val="C9A432"/>
          <w:sz w:val="26"/>
        </w:rPr>
        <w:t>3. Scope of Delivery and Execution</w:t>
      </w:r>
    </w:p>
    <w:p>
      <w:r>
        <w:rPr>
          <w:b w:val="0"/>
          <w:color w:val="000000"/>
          <w:sz w:val="20"/>
        </w:rPr>
        <w:t>3.1. The Contractor shall deliver DISPERON EMS/SPC/WPC/EVMS system controllers required for installation management in line with the functional scope.</w:t>
      </w:r>
    </w:p>
    <w:p>
      <w:r>
        <w:rPr>
          <w:b/>
          <w:color w:val="000000"/>
          <w:sz w:val="20"/>
        </w:rPr>
        <w:t>Controller configuration and commissioning:</w:t>
      </w:r>
    </w:p>
    <w:p>
      <w:r>
        <w:rPr>
          <w:b w:val="0"/>
          <w:color w:val="000000"/>
          <w:sz w:val="20"/>
        </w:rPr>
        <w:t>☐  HPC — Hybrid Power Controller</w:t>
      </w:r>
    </w:p>
    <w:p>
      <w:r>
        <w:rPr>
          <w:b w:val="0"/>
          <w:color w:val="000000"/>
          <w:sz w:val="20"/>
        </w:rPr>
        <w:t>☐  Limit Operator Module (PPC — Power Plant Controller)</w:t>
      </w:r>
    </w:p>
    <w:p>
      <w:r>
        <w:rPr>
          <w:b w:val="0"/>
          <w:color w:val="000000"/>
          <w:sz w:val="20"/>
        </w:rPr>
        <w:t>☐  EMS — Energy Management System</w:t>
      </w:r>
    </w:p>
    <w:p>
      <w:r>
        <w:rPr>
          <w:b w:val="0"/>
          <w:color w:val="000000"/>
          <w:sz w:val="20"/>
        </w:rPr>
        <w:t>☐  SPC PV / EVMS / WPC</w:t>
      </w:r>
    </w:p>
    <w:p>
      <w:r>
        <w:rPr>
          <w:b w:val="0"/>
          <w:color w:val="000000"/>
          <w:sz w:val="20"/>
        </w:rPr>
        <w:t>☐  SCADA — Cloud and/or On-Premises</w:t>
      </w:r>
    </w:p>
    <w:p>
      <w:r>
        <w:rPr>
          <w:b w:val="0"/>
          <w:color w:val="000000"/>
          <w:sz w:val="20"/>
        </w:rPr>
        <w:t>The Contractor shall perform communication configuration, device integration, software setup, licensing and system configuration in accordance with this Agreement. As-built documentation shall be delivered upon completion. Programming, configuration and commissioning works are performed remotely unless otherwise agreed; on-site works are executed as defined in Section 5.</w:t>
      </w:r>
    </w:p>
    <w:p>
      <w:pPr>
        <w:pStyle w:val="Heading1"/>
      </w:pPr>
      <w:r>
        <w:rPr>
          <w:b/>
          <w:color w:val="C9A432"/>
          <w:sz w:val="26"/>
        </w:rPr>
        <w:t>4. Customer's Technical Infrastructure Readiness</w:t>
      </w:r>
    </w:p>
    <w:p>
      <w:r>
        <w:rPr>
          <w:b w:val="0"/>
          <w:color w:val="000000"/>
          <w:sz w:val="20"/>
        </w:rPr>
        <w:t>The Customer shall ensure:</w:t>
      </w:r>
    </w:p>
    <w:p>
      <w:pPr>
        <w:pStyle w:val="ListBullet"/>
        <w:ind w:left="283"/>
      </w:pPr>
      <w:r>
        <w:rPr>
          <w:sz w:val="20"/>
        </w:rPr>
        <w:t>Access to LAN/WAN infrastructure and required VLANs</w:t>
      </w:r>
    </w:p>
    <w:p>
      <w:pPr>
        <w:pStyle w:val="ListBullet"/>
        <w:ind w:left="283"/>
      </w:pPr>
      <w:r>
        <w:rPr>
          <w:sz w:val="20"/>
        </w:rPr>
        <w:t>Static IP addressing for all devices included in the system</w:t>
      </w:r>
    </w:p>
    <w:p>
      <w:pPr>
        <w:pStyle w:val="ListBullet"/>
        <w:ind w:left="283"/>
      </w:pPr>
      <w:r>
        <w:rPr>
          <w:sz w:val="20"/>
        </w:rPr>
        <w:t>Remote access (VPN), if applicable</w:t>
      </w:r>
    </w:p>
    <w:p>
      <w:pPr>
        <w:pStyle w:val="ListBullet"/>
        <w:ind w:left="283"/>
      </w:pPr>
      <w:r>
        <w:rPr>
          <w:sz w:val="20"/>
        </w:rPr>
        <w:t>Completed electrical and I&amp;C works (wiring, connections, installation)</w:t>
      </w:r>
    </w:p>
    <w:p>
      <w:pPr>
        <w:pStyle w:val="ListBullet"/>
        <w:ind w:left="283"/>
      </w:pPr>
      <w:r>
        <w:rPr>
          <w:sz w:val="20"/>
        </w:rPr>
        <w:t>Energization of the facility and proper device startup</w:t>
      </w:r>
    </w:p>
    <w:p>
      <w:pPr>
        <w:pStyle w:val="ListBullet"/>
        <w:ind w:left="283"/>
      </w:pPr>
      <w:r>
        <w:rPr>
          <w:sz w:val="20"/>
        </w:rPr>
        <w:t>Full operational readiness and correct response to control commands</w:t>
      </w:r>
    </w:p>
    <w:p>
      <w:pPr>
        <w:pStyle w:val="ListBullet"/>
        <w:ind w:left="283"/>
      </w:pPr>
      <w:r>
        <w:rPr>
          <w:sz w:val="20"/>
        </w:rPr>
        <w:t>Appointment of a person responsible for coordination</w:t>
      </w:r>
    </w:p>
    <w:p>
      <w:pPr>
        <w:pStyle w:val="ListBullet"/>
        <w:ind w:left="283"/>
      </w:pPr>
      <w:r>
        <w:rPr>
          <w:sz w:val="20"/>
        </w:rPr>
        <w:t>Local and/or remote access for the Contractor</w:t>
      </w:r>
    </w:p>
    <w:p>
      <w:pPr>
        <w:pStyle w:val="ListBullet"/>
        <w:ind w:left="283"/>
      </w:pPr>
      <w:r>
        <w:rPr>
          <w:sz w:val="20"/>
        </w:rPr>
        <w:t>Agreement with EAC/TSOC on signals, functionalities and control logic (where applicable)</w:t>
      </w:r>
    </w:p>
    <w:p>
      <w:pPr>
        <w:pStyle w:val="Heading1"/>
      </w:pPr>
      <w:r>
        <w:rPr>
          <w:b/>
          <w:color w:val="C9A432"/>
          <w:sz w:val="26"/>
        </w:rPr>
        <w:t>5. On-site Works</w:t>
      </w:r>
    </w:p>
    <w:p>
      <w:r>
        <w:rPr>
          <w:b w:val="0"/>
          <w:color w:val="000000"/>
          <w:sz w:val="20"/>
        </w:rPr>
        <w:t>On-site works include technical visits, commissioning and training:</w:t>
      </w:r>
    </w:p>
    <w:tbl>
      <w:tblPr>
        <w:tblStyle w:val="TableGrid"/>
        <w:tblW w:type="auto" w:w="0"/>
        <w:tblLook w:firstColumn="1" w:firstRow="1" w:lastColumn="0" w:lastRow="0" w:noHBand="0" w:noVBand="1" w:val="04A0"/>
      </w:tblPr>
      <w:tblGrid>
        <w:gridCol w:w="4419"/>
        <w:gridCol w:w="4419"/>
      </w:tblGrid>
      <w:tr>
        <w:tc>
          <w:tcPr>
            <w:tcW w:type="dxa" w:w="4419"/>
            <w:shd w:val="clear" w:color="auto" w:fill="1A365D"/>
          </w:tcPr>
          <w:p>
            <w:r>
              <w:rPr>
                <w:b/>
                <w:color w:val="FFFFFF"/>
                <w:sz w:val="18"/>
              </w:rPr>
              <w:t>Description</w:t>
            </w:r>
          </w:p>
        </w:tc>
        <w:tc>
          <w:tcPr>
            <w:tcW w:type="dxa" w:w="4419"/>
            <w:shd w:val="clear" w:color="auto" w:fill="1A365D"/>
          </w:tcPr>
          <w:p>
            <w:r>
              <w:rPr>
                <w:b/>
                <w:color w:val="FFFFFF"/>
                <w:sz w:val="18"/>
              </w:rPr>
              <w:t>Number of Days</w:t>
            </w:r>
          </w:p>
        </w:tc>
      </w:tr>
      <w:tr>
        <w:tc>
          <w:tcPr>
            <w:tcW w:type="dxa" w:w="4419"/>
          </w:tcPr>
          <w:p>
            <w:r>
              <w:t>First Visit</w:t>
            </w:r>
          </w:p>
        </w:tc>
        <w:tc>
          <w:tcPr>
            <w:tcW w:type="dxa" w:w="4419"/>
          </w:tcPr>
          <w:p>
            <w:r>
              <w:t>..</w:t>
            </w:r>
          </w:p>
        </w:tc>
      </w:tr>
      <w:tr>
        <w:tc>
          <w:tcPr>
            <w:tcW w:type="dxa" w:w="4419"/>
          </w:tcPr>
          <w:p>
            <w:r>
              <w:t>Integration &amp; Commissioning</w:t>
            </w:r>
          </w:p>
        </w:tc>
        <w:tc>
          <w:tcPr>
            <w:tcW w:type="dxa" w:w="4419"/>
          </w:tcPr>
          <w:p>
            <w:r>
              <w:t>..</w:t>
            </w:r>
          </w:p>
        </w:tc>
      </w:tr>
      <w:tr>
        <w:tc>
          <w:tcPr>
            <w:tcW w:type="dxa" w:w="4419"/>
          </w:tcPr>
          <w:p>
            <w:r>
              <w:t>Training</w:t>
            </w:r>
          </w:p>
        </w:tc>
        <w:tc>
          <w:tcPr>
            <w:tcW w:type="dxa" w:w="4419"/>
          </w:tcPr>
          <w:p>
            <w:r>
              <w:t>..</w:t>
            </w:r>
          </w:p>
        </w:tc>
      </w:tr>
    </w:tbl>
    <w:p/>
    <w:p>
      <w:pPr>
        <w:pStyle w:val="ListBullet"/>
        <w:ind w:left="283"/>
      </w:pPr>
      <w:r>
        <w:rPr>
          <w:sz w:val="20"/>
        </w:rPr>
        <w:t>Visits are scheduled at least 14 days in advance and require confirmed infrastructure readiness</w:t>
      </w:r>
    </w:p>
    <w:p>
      <w:pPr>
        <w:pStyle w:val="ListBullet"/>
        <w:ind w:left="283"/>
      </w:pPr>
      <w:r>
        <w:rPr>
          <w:sz w:val="20"/>
        </w:rPr>
        <w:t>Changes to days require mutual agreement and may affect pricing</w:t>
      </w:r>
    </w:p>
    <w:p>
      <w:pPr>
        <w:pStyle w:val="ListBullet"/>
        <w:ind w:left="283"/>
      </w:pPr>
      <w:r>
        <w:rPr>
          <w:sz w:val="20"/>
        </w:rPr>
        <w:t>Travel and accommodation costs are billed separately unless included in the fixed price</w:t>
      </w:r>
    </w:p>
    <w:p>
      <w:pPr>
        <w:pStyle w:val="Heading1"/>
      </w:pPr>
      <w:r>
        <w:rPr>
          <w:b/>
          <w:color w:val="C9A432"/>
          <w:sz w:val="26"/>
        </w:rPr>
        <w:t>6. Exclusions from the Scope of Delivery</w:t>
      </w:r>
    </w:p>
    <w:p>
      <w:r>
        <w:rPr>
          <w:b w:val="0"/>
          <w:color w:val="000000"/>
          <w:sz w:val="20"/>
        </w:rPr>
        <w:t>The Agreement does not include:</w:t>
      </w:r>
    </w:p>
    <w:p>
      <w:pPr>
        <w:pStyle w:val="ListBullet"/>
        <w:ind w:left="283"/>
      </w:pPr>
      <w:r>
        <w:rPr>
          <w:sz w:val="20"/>
        </w:rPr>
        <w:t>Additional installation works beyond EMS/SCADA scope</w:t>
      </w:r>
    </w:p>
    <w:p>
      <w:pPr>
        <w:pStyle w:val="ListBullet"/>
        <w:ind w:left="283"/>
      </w:pPr>
      <w:r>
        <w:rPr>
          <w:sz w:val="20"/>
        </w:rPr>
        <w:t>Additional configuration or commissioning of the Customer's devices not listed herein</w:t>
      </w:r>
    </w:p>
    <w:p>
      <w:pPr>
        <w:pStyle w:val="ListBullet"/>
        <w:ind w:left="283"/>
      </w:pPr>
      <w:r>
        <w:rPr>
          <w:sz w:val="20"/>
        </w:rPr>
        <w:t>Integrations with third-party systems not listed in this Agreement</w:t>
      </w:r>
    </w:p>
    <w:p>
      <w:pPr>
        <w:pStyle w:val="ListBullet"/>
        <w:ind w:left="283"/>
      </w:pPr>
      <w:r>
        <w:rPr>
          <w:sz w:val="20"/>
        </w:rPr>
        <w:t>On-site works not included in Section 5</w:t>
      </w:r>
    </w:p>
    <w:p>
      <w:pPr>
        <w:pStyle w:val="ListBullet"/>
        <w:ind w:left="283"/>
      </w:pPr>
      <w:r>
        <w:rPr>
          <w:sz w:val="20"/>
        </w:rPr>
        <w:t>Configuration of communication devices, inverters, or protection relays (unless agreed)</w:t>
      </w:r>
    </w:p>
    <w:p>
      <w:pPr>
        <w:pStyle w:val="ListBullet"/>
        <w:ind w:left="283"/>
      </w:pPr>
      <w:r>
        <w:rPr>
          <w:sz w:val="20"/>
        </w:rPr>
        <w:t>Works related solely to the DSO/TSOC operator's own SCADA infrastructure</w:t>
      </w:r>
    </w:p>
    <w:p>
      <w:pPr>
        <w:pStyle w:val="ListBullet"/>
        <w:ind w:left="283"/>
      </w:pPr>
      <w:r>
        <w:rPr>
          <w:sz w:val="20"/>
        </w:rPr>
        <w:t>Physical BESS, PCS, or MV equipment supply (covered under separate EPC agreement)</w:t>
      </w:r>
    </w:p>
    <w:p>
      <w:r>
        <w:rPr>
          <w:b w:val="0"/>
          <w:color w:val="000000"/>
          <w:sz w:val="20"/>
        </w:rPr>
        <w:t>Additional notes: Final cost may change depending on actual device configuration. The Agreement becomes effective upon signature and advance payment. The Customer provides all technical data and access. Changes require written form. Additional requirements are billed separately. Failure to provide conditions enabling work does not release the Customer from payment obligations for work already performed.</w:t>
      </w:r>
    </w:p>
    <w:p>
      <w:pPr>
        <w:pStyle w:val="Heading1"/>
      </w:pPr>
      <w:r>
        <w:rPr>
          <w:b/>
          <w:color w:val="C9A432"/>
          <w:sz w:val="26"/>
        </w:rPr>
        <w:t>7. Additional Work Rates</w:t>
      </w:r>
    </w:p>
    <w:p>
      <w:pPr>
        <w:pStyle w:val="ListBullet"/>
        <w:ind w:left="283"/>
      </w:pPr>
      <w:r>
        <w:rPr>
          <w:sz w:val="20"/>
        </w:rPr>
        <w:t>Hourly rate (per person): EUR 80 net</w:t>
      </w:r>
    </w:p>
    <w:p>
      <w:pPr>
        <w:pStyle w:val="ListBullet"/>
        <w:ind w:left="283"/>
      </w:pPr>
      <w:r>
        <w:rPr>
          <w:sz w:val="20"/>
        </w:rPr>
        <w:t>Daily rate (up to 8h per person): EUR 1,000 net</w:t>
      </w:r>
    </w:p>
    <w:p>
      <w:pPr>
        <w:pStyle w:val="ListBullet"/>
        <w:ind w:left="283"/>
      </w:pPr>
      <w:r>
        <w:rPr>
          <w:sz w:val="20"/>
        </w:rPr>
        <w:t>Travel and accommodation costs billed separately unless agreed in writing</w:t>
      </w:r>
    </w:p>
    <w:p>
      <w:pPr>
        <w:pStyle w:val="Heading1"/>
      </w:pPr>
      <w:r>
        <w:rPr>
          <w:b/>
          <w:color w:val="C9A432"/>
          <w:sz w:val="26"/>
        </w:rPr>
        <w:t>8. Compensation</w:t>
      </w:r>
    </w:p>
    <w:p>
      <w:r>
        <w:rPr>
          <w:b w:val="0"/>
          <w:color w:val="000000"/>
          <w:sz w:val="20"/>
        </w:rPr>
        <w:t>Total price for the execution of the Agreement: ............................ EUR net</w:t>
      </w:r>
    </w:p>
    <w:p>
      <w:r>
        <w:rPr>
          <w:b/>
          <w:color w:val="000000"/>
          <w:sz w:val="20"/>
        </w:rPr>
        <w:t>Price includes:</w:t>
      </w:r>
    </w:p>
    <w:p>
      <w:pPr>
        <w:pStyle w:val="ListBullet"/>
        <w:ind w:left="283"/>
      </w:pPr>
      <w:r>
        <w:rPr>
          <w:sz w:val="20"/>
        </w:rPr>
        <w:t>DISPERON EMS/SCADA system delivery</w:t>
      </w:r>
    </w:p>
    <w:p>
      <w:pPr>
        <w:pStyle w:val="ListBullet"/>
        <w:ind w:left="283"/>
      </w:pPr>
      <w:r>
        <w:rPr>
          <w:sz w:val="20"/>
        </w:rPr>
        <w:t>Configuration, integration, tests, documentation</w:t>
      </w:r>
    </w:p>
    <w:p>
      <w:pPr>
        <w:pStyle w:val="ListBullet"/>
        <w:ind w:left="283"/>
      </w:pPr>
      <w:r>
        <w:rPr>
          <w:sz w:val="20"/>
        </w:rPr>
        <w:t>Perpetual licence for local EMS installation at the site</w:t>
      </w:r>
    </w:p>
    <w:p>
      <w:pPr>
        <w:pStyle w:val="ListBullet"/>
        <w:ind w:left="283"/>
      </w:pPr>
      <w:r>
        <w:rPr>
          <w:sz w:val="20"/>
        </w:rPr>
        <w:t>SCADA Local (on-site gateway) — standard rate EUR 15,000 per park (where selected)</w:t>
      </w:r>
    </w:p>
    <w:p>
      <w:pPr>
        <w:pStyle w:val="ListBullet"/>
        <w:ind w:left="283"/>
      </w:pPr>
      <w:r>
        <w:rPr>
          <w:sz w:val="20"/>
        </w:rPr>
        <w:t>SCADA Global (portfolio/group) — standard rate EUR 60,000 per client group, first park only (where selected)</w:t>
      </w:r>
    </w:p>
    <w:p>
      <w:r>
        <w:rPr>
          <w:b/>
          <w:color w:val="000000"/>
          <w:sz w:val="20"/>
        </w:rPr>
        <w:t>Payment terms:</w:t>
      </w:r>
    </w:p>
    <w:p>
      <w:pPr>
        <w:pStyle w:val="ListBullet"/>
        <w:ind w:left="283"/>
      </w:pPr>
      <w:r>
        <w:rPr>
          <w:sz w:val="20"/>
        </w:rPr>
        <w:t>50% advance — within 7 days of signing</w:t>
      </w:r>
    </w:p>
    <w:p>
      <w:pPr>
        <w:pStyle w:val="ListBullet"/>
        <w:ind w:left="283"/>
      </w:pPr>
      <w:r>
        <w:rPr>
          <w:sz w:val="20"/>
        </w:rPr>
        <w:t>20% before delivery / remote configuration start</w:t>
      </w:r>
    </w:p>
    <w:p>
      <w:pPr>
        <w:pStyle w:val="ListBullet"/>
        <w:ind w:left="283"/>
      </w:pPr>
      <w:r>
        <w:rPr>
          <w:sz w:val="20"/>
        </w:rPr>
        <w:t>30% after acceptance (signed acceptance protocol)</w:t>
      </w:r>
    </w:p>
    <w:p>
      <w:r>
        <w:rPr>
          <w:b/>
          <w:color w:val="000000"/>
          <w:sz w:val="20"/>
        </w:rPr>
        <w:t>Annual software subscription (separate from upfront price):</w:t>
      </w:r>
    </w:p>
    <w:p>
      <w:pPr>
        <w:pStyle w:val="ListBullet"/>
        <w:ind w:left="283"/>
      </w:pPr>
      <w:r>
        <w:rPr>
          <w:sz w:val="20"/>
        </w:rPr>
        <w:t>EUR 400 per MWh of installed BESS capacity per year (ex VAT)</w:t>
      </w:r>
    </w:p>
    <w:p>
      <w:pPr>
        <w:pStyle w:val="ListBullet"/>
        <w:ind w:left="283"/>
      </w:pPr>
      <w:r>
        <w:rPr>
          <w:sz w:val="20"/>
        </w:rPr>
        <w:t>SCADA Local maintenance: EUR 3,000 per park per year (where applicable)</w:t>
      </w:r>
    </w:p>
    <w:p>
      <w:pPr>
        <w:pStyle w:val="ListBullet"/>
        <w:ind w:left="283"/>
      </w:pPr>
      <w:r>
        <w:rPr>
          <w:sz w:val="20"/>
        </w:rPr>
        <w:t>SCADA Global maintenance: EUR 12,000 per client group per year (where applicable)</w:t>
      </w:r>
    </w:p>
    <w:p>
      <w:r>
        <w:rPr>
          <w:b w:val="0"/>
          <w:color w:val="000000"/>
          <w:sz w:val="20"/>
        </w:rPr>
        <w:t>Subscription period included with upfront package (if any): ☐ 1 year   ☐ 3 years   ☐ 5 years   ☐ 10 years   ☐ Billed separately from PAC</w:t>
      </w:r>
    </w:p>
    <w:p>
      <w:r>
        <w:rPr>
          <w:b w:val="0"/>
          <w:color w:val="000000"/>
          <w:sz w:val="20"/>
        </w:rPr>
        <w:t>Detailed subscription and support terms are defined in Part II — General Terms of Implementation, Service and Warranty, and in the EMS Software Subscription Agreement where executed separately.</w:t>
      </w:r>
    </w:p>
    <w:p>
      <w:pPr>
        <w:pStyle w:val="Heading1"/>
      </w:pPr>
      <w:r>
        <w:rPr>
          <w:b/>
          <w:color w:val="C9A432"/>
          <w:sz w:val="26"/>
        </w:rPr>
        <w:t>9. Warranty and Support</w:t>
      </w:r>
    </w:p>
    <w:p>
      <w:r>
        <w:rPr>
          <w:b w:val="0"/>
          <w:color w:val="000000"/>
          <w:sz w:val="20"/>
        </w:rPr>
        <w:t>The Contractor provides warranty for delivered software and hardware (if applicable) for a period of …… years. Warranty and support conditions are defined in Part II.</w:t>
      </w:r>
    </w:p>
    <w:p>
      <w:pPr>
        <w:pStyle w:val="Heading1"/>
      </w:pPr>
      <w:r>
        <w:rPr>
          <w:b/>
          <w:color w:val="C9A432"/>
          <w:sz w:val="26"/>
        </w:rPr>
        <w:t>10. Liability of the Parties</w:t>
      </w:r>
    </w:p>
    <w:p>
      <w:r>
        <w:rPr>
          <w:b w:val="0"/>
          <w:color w:val="000000"/>
          <w:sz w:val="20"/>
        </w:rPr>
        <w:t>The Contractor is responsible for the correct execution of the DISPERON system in accordance with this Agreement. The Customer is responsible for data accuracy and correct operation of the technical infrastructure.</w:t>
      </w:r>
    </w:p>
    <w:p>
      <w:pPr>
        <w:pStyle w:val="Heading1"/>
      </w:pPr>
      <w:r>
        <w:rPr>
          <w:b/>
          <w:color w:val="C9A432"/>
          <w:sz w:val="26"/>
        </w:rPr>
        <w:t>11. Confidentiality</w:t>
      </w:r>
    </w:p>
    <w:p>
      <w:r>
        <w:rPr>
          <w:b w:val="0"/>
          <w:color w:val="000000"/>
          <w:sz w:val="20"/>
        </w:rPr>
        <w:t>Both Parties agree to maintain confidentiality of all technical and commercial information related to the execution of this Agreement.</w:t>
      </w:r>
    </w:p>
    <w:p>
      <w:pPr>
        <w:pStyle w:val="Heading1"/>
      </w:pPr>
      <w:r>
        <w:rPr>
          <w:b/>
          <w:color w:val="C9A432"/>
          <w:sz w:val="26"/>
        </w:rPr>
        <w:t>12. Final Provisions</w:t>
      </w:r>
    </w:p>
    <w:p>
      <w:r>
        <w:rPr>
          <w:b w:val="0"/>
          <w:color w:val="000000"/>
          <w:sz w:val="20"/>
        </w:rPr>
        <w:t>Changes to this Agreement require written form.</w:t>
      </w:r>
    </w:p>
    <w:p>
      <w:r>
        <w:rPr>
          <w:b w:val="0"/>
          <w:color w:val="000000"/>
          <w:sz w:val="20"/>
        </w:rPr>
        <w:t>For matters not regulated herein, the laws of the Republic of Cyprus apply. Disputes shall be subject to the exclusive jurisdiction of the courts of Limassol, Cyprus.</w:t>
      </w:r>
    </w:p>
    <w:p>
      <w:r>
        <w:rPr>
          <w:b w:val="0"/>
          <w:color w:val="000000"/>
          <w:sz w:val="20"/>
        </w:rPr>
        <w:t>This Agreement is executed in two identical copies, one for each Party.</w:t>
      </w:r>
    </w:p>
    <w:p>
      <w:pPr>
        <w:pStyle w:val="Heading1"/>
      </w:pPr>
      <w:r>
        <w:rPr>
          <w:b/>
          <w:color w:val="C9A432"/>
          <w:sz w:val="26"/>
        </w:rPr>
        <w:t>13. Components of the Agreement</w:t>
      </w:r>
    </w:p>
    <w:p>
      <w:r>
        <w:rPr>
          <w:b w:val="0"/>
          <w:color w:val="000000"/>
          <w:sz w:val="20"/>
        </w:rPr>
        <w:t>This Agreement consists of:</w:t>
      </w:r>
    </w:p>
    <w:p>
      <w:pPr>
        <w:pStyle w:val="ListBullet"/>
        <w:ind w:left="283"/>
      </w:pPr>
      <w:r>
        <w:rPr>
          <w:sz w:val="20"/>
        </w:rPr>
        <w:t>Part I — Functional, Technical and Commercial Scope (this document)</w:t>
      </w:r>
    </w:p>
    <w:p>
      <w:pPr>
        <w:pStyle w:val="ListBullet"/>
        <w:ind w:left="283"/>
      </w:pPr>
      <w:r>
        <w:rPr>
          <w:sz w:val="20"/>
        </w:rPr>
        <w:t>Part II — General Terms of Implementation, Service and Warranty</w:t>
      </w:r>
    </w:p>
    <w:p>
      <w:pPr>
        <w:pStyle w:val="ListBullet"/>
        <w:ind w:left="283"/>
      </w:pPr>
      <w:r>
        <w:rPr>
          <w:sz w:val="20"/>
        </w:rPr>
        <w:t>Schedule A — Site-specific pricing and scope (if attached)</w:t>
      </w:r>
    </w:p>
    <w:p>
      <w:r>
        <w:rPr>
          <w:b w:val="0"/>
          <w:color w:val="000000"/>
          <w:sz w:val="20"/>
        </w:rPr>
        <w:t>Both parts form an integral whole. In case of discrepancies between Part I and Part II, the provisions of Part II shall apply unless Schedule A expressly states otherwise.</w:t>
      </w:r>
    </w:p>
    <w:p>
      <w:pPr>
        <w:pStyle w:val="Heading1"/>
      </w:pPr>
      <w:r>
        <w:rPr>
          <w:b/>
          <w:color w:val="C9A432"/>
          <w:sz w:val="26"/>
        </w:rPr>
        <w:t>Signatures</w:t>
      </w:r>
    </w:p>
    <w:p/>
    <w:p>
      <w:r>
        <w:rPr>
          <w:b/>
        </w:rPr>
        <w:t>Customer</w:t>
        <w:br/>
      </w:r>
      <w:r>
        <w:t>Authorised signatory</w:t>
        <w:br/>
        <w:br/>
      </w:r>
      <w:r>
        <w:t>Signature: _________________________________</w:t>
        <w:br/>
        <w:br/>
      </w:r>
      <w:r>
        <w:t>Full name (print): _______________________</w:t>
        <w:br/>
        <w:br/>
      </w:r>
      <w:r>
        <w:t>Date: ____________________________________</w:t>
      </w:r>
    </w:p>
    <w:p/>
    <w:p>
      <w:r>
        <w:rPr>
          <w:b/>
        </w:rPr>
        <w:t>Contractor — Lighthief EU BESS Ltd (DISPERON)</w:t>
        <w:br/>
      </w:r>
      <w:r>
        <w:t>Alexander Papacosta, Cyprus Managing Director</w:t>
        <w:br/>
        <w:br/>
      </w:r>
      <w:r>
        <w:t>Signature: _________________________________</w:t>
        <w:br/>
        <w:br/>
      </w:r>
      <w:r>
        <w:t>Full name (print): _______________________</w:t>
        <w:br/>
        <w:br/>
      </w:r>
      <w:r>
        <w:t>Date: ____________________________________</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