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DISPERON EMS/SCADA</w:t>
        <w:br/>
        <w:t>GENERAL TERMS</w:t>
      </w:r>
    </w:p>
    <w:p>
      <w:pPr>
        <w:jc w:val="center"/>
      </w:pPr>
      <w:r>
        <w:rPr>
          <w:i/>
          <w:color w:val="C9A432"/>
          <w:sz w:val="22"/>
        </w:rPr>
        <w:t>Part II — Implementation, Service and Warranty</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Field</w:t>
            </w:r>
          </w:p>
        </w:tc>
        <w:tc>
          <w:tcPr>
            <w:tcW w:type="dxa" w:w="4419"/>
            <w:shd w:val="clear" w:color="auto" w:fill="1A365D"/>
          </w:tcPr>
          <w:p>
            <w:r>
              <w:rPr>
                <w:color w:val="FFFFFF"/>
                <w:sz w:val="18"/>
              </w:rPr>
              <w:t>Value</w:t>
            </w:r>
          </w:p>
        </w:tc>
      </w:tr>
      <w:tr>
        <w:tc>
          <w:tcPr>
            <w:tcW w:type="dxa" w:w="4419"/>
          </w:tcPr>
          <w:p>
            <w:r>
              <w:rPr>
                <w:b/>
                <w:color w:val="000000"/>
                <w:sz w:val="18"/>
              </w:rPr>
              <w:t>Document Reference</w:t>
            </w:r>
          </w:p>
        </w:tc>
        <w:tc>
          <w:tcPr>
            <w:tcW w:type="dxa" w:w="4419"/>
          </w:tcPr>
          <w:p>
            <w:r>
              <w:rPr>
                <w:color w:val="000000"/>
                <w:sz w:val="18"/>
              </w:rPr>
              <w:t>LEB-EMS-ORDER-II</w:t>
            </w:r>
          </w:p>
        </w:tc>
      </w:tr>
      <w:tr>
        <w:tc>
          <w:tcPr>
            <w:tcW w:type="dxa" w:w="4419"/>
          </w:tcPr>
          <w:p>
            <w:r>
              <w:rPr>
                <w:b/>
                <w:color w:val="000000"/>
                <w:sz w:val="18"/>
              </w:rPr>
              <w:t>Version</w:t>
            </w:r>
          </w:p>
        </w:tc>
        <w:tc>
          <w:tcPr>
            <w:tcW w:type="dxa" w:w="4419"/>
          </w:tcPr>
          <w:p>
            <w:r>
              <w:rPr>
                <w:color w:val="000000"/>
                <w:sz w:val="18"/>
              </w:rPr>
              <w:t>1.0</w:t>
            </w:r>
          </w:p>
        </w:tc>
      </w:tr>
      <w:tr>
        <w:tc>
          <w:tcPr>
            <w:tcW w:type="dxa" w:w="4419"/>
          </w:tcPr>
          <w:p>
            <w:r>
              <w:rPr>
                <w:b/>
                <w:color w:val="000000"/>
                <w:sz w:val="18"/>
              </w:rPr>
              <w:t>Date</w:t>
            </w:r>
          </w:p>
        </w:tc>
        <w:tc>
          <w:tcPr>
            <w:tcW w:type="dxa" w:w="4419"/>
          </w:tcPr>
          <w:p>
            <w:r>
              <w:rPr>
                <w:color w:val="000000"/>
                <w:sz w:val="18"/>
              </w:rPr>
              <w:t>19 May 2026</w:t>
            </w:r>
          </w:p>
        </w:tc>
      </w:tr>
      <w:tr>
        <w:tc>
          <w:tcPr>
            <w:tcW w:type="dxa" w:w="4419"/>
          </w:tcPr>
          <w:p>
            <w:r>
              <w:rPr>
                <w:b/>
                <w:color w:val="000000"/>
                <w:sz w:val="18"/>
              </w:rPr>
              <w:t>Applies with</w:t>
            </w:r>
          </w:p>
        </w:tc>
        <w:tc>
          <w:tcPr>
            <w:tcW w:type="dxa" w:w="4419"/>
          </w:tcPr>
          <w:p>
            <w:r>
              <w:rPr>
                <w:color w:val="000000"/>
                <w:sz w:val="18"/>
              </w:rPr>
              <w:t>LEB-EMS-ORDER-I (Part I)</w:t>
            </w:r>
          </w:p>
        </w:tc>
      </w:tr>
    </w:tbl>
    <w:p/>
    <w:p>
      <w:pPr>
        <w:pStyle w:val="Heading1"/>
      </w:pPr>
      <w:r>
        <w:rPr>
          <w:b/>
          <w:color w:val="C9A432"/>
          <w:sz w:val="26"/>
        </w:rPr>
        <w:t>1. Implementation Deadlines</w:t>
      </w:r>
    </w:p>
    <w:p>
      <w:r>
        <w:rPr>
          <w:b w:val="0"/>
          <w:color w:val="000000"/>
          <w:sz w:val="20"/>
        </w:rPr>
        <w:t>1.1 Implementation begins after the Agreement is signed and the advance payment is received.</w:t>
      </w:r>
    </w:p>
    <w:p>
      <w:r>
        <w:rPr>
          <w:b w:val="0"/>
          <w:color w:val="000000"/>
          <w:sz w:val="20"/>
        </w:rPr>
        <w:t>1.2 Standard project start is 6–8 weeks from signing, unless otherwise agreed.</w:t>
      </w:r>
    </w:p>
    <w:p>
      <w:r>
        <w:rPr>
          <w:b w:val="0"/>
          <w:color w:val="000000"/>
          <w:sz w:val="20"/>
        </w:rPr>
        <w:t>1.3 Final completion date is confirmed after verifying full technical and electrical readiness on the Customer's side.</w:t>
      </w:r>
    </w:p>
    <w:p>
      <w:r>
        <w:rPr>
          <w:b w:val="0"/>
          <w:color w:val="000000"/>
          <w:sz w:val="20"/>
        </w:rPr>
        <w:t>1.4 Full readiness includes in particular:</w:t>
      </w:r>
    </w:p>
    <w:p>
      <w:pPr>
        <w:pStyle w:val="ListBullet"/>
        <w:ind w:left="510"/>
      </w:pPr>
      <w:r>
        <w:rPr>
          <w:sz w:val="20"/>
        </w:rPr>
        <w:t>Delivery of complete technical documentation (PV, BESS, EV, switchgear, metering).</w:t>
      </w:r>
    </w:p>
    <w:p>
      <w:pPr>
        <w:pStyle w:val="ListBullet"/>
        <w:ind w:left="510"/>
      </w:pPr>
      <w:r>
        <w:rPr>
          <w:sz w:val="20"/>
        </w:rPr>
        <w:t>Completion of all electrical works, wiring, connections, and initial device configuration.</w:t>
      </w:r>
    </w:p>
    <w:p>
      <w:pPr>
        <w:pStyle w:val="ListBullet"/>
        <w:ind w:left="510"/>
      </w:pPr>
      <w:r>
        <w:rPr>
          <w:sz w:val="20"/>
        </w:rPr>
        <w:t>Completion and acceptance of the grid connection (EAC / TSOC as applicable).</w:t>
      </w:r>
    </w:p>
    <w:p>
      <w:pPr>
        <w:pStyle w:val="ListBullet"/>
        <w:ind w:left="510"/>
      </w:pPr>
      <w:r>
        <w:rPr>
          <w:sz w:val="20"/>
        </w:rPr>
        <w:t>Energization of the facility and commissioning of devices per technical documentation.</w:t>
      </w:r>
    </w:p>
    <w:p>
      <w:pPr>
        <w:pStyle w:val="ListBullet"/>
        <w:ind w:left="510"/>
      </w:pPr>
      <w:r>
        <w:rPr>
          <w:sz w:val="20"/>
        </w:rPr>
        <w:t>Full operability of devices and correct response to DISPERON control commands.</w:t>
      </w:r>
    </w:p>
    <w:p>
      <w:pPr>
        <w:pStyle w:val="ListBullet"/>
        <w:ind w:left="510"/>
      </w:pPr>
      <w:r>
        <w:rPr>
          <w:sz w:val="20"/>
        </w:rPr>
        <w:t>Agreement with EAC/TSOC on signals, functionalities and control logic.</w:t>
      </w:r>
    </w:p>
    <w:p>
      <w:pPr>
        <w:pStyle w:val="ListBullet"/>
        <w:ind w:left="510"/>
      </w:pPr>
      <w:r>
        <w:rPr>
          <w:sz w:val="20"/>
        </w:rPr>
        <w:t>Operational telecommunications infrastructure (LAN/WAN, VLANs, VPN, static IP addressing).</w:t>
      </w:r>
    </w:p>
    <w:p>
      <w:pPr>
        <w:pStyle w:val="ListBullet"/>
        <w:ind w:left="510"/>
      </w:pPr>
      <w:r>
        <w:rPr>
          <w:sz w:val="20"/>
        </w:rPr>
        <w:t>Configuration of IP addressing for all EMS/SCADA-connected devices.</w:t>
      </w:r>
    </w:p>
    <w:p>
      <w:pPr>
        <w:pStyle w:val="ListBullet"/>
        <w:ind w:left="510"/>
      </w:pPr>
      <w:r>
        <w:rPr>
          <w:sz w:val="20"/>
        </w:rPr>
        <w:t>Stable power supply and correct network parameters.</w:t>
      </w:r>
    </w:p>
    <w:p>
      <w:pPr>
        <w:pStyle w:val="ListBullet"/>
        <w:ind w:left="510"/>
      </w:pPr>
      <w:r>
        <w:rPr>
          <w:sz w:val="20"/>
        </w:rPr>
        <w:t>Appointment of a coordinator on the Customer's side.</w:t>
      </w:r>
    </w:p>
    <w:p>
      <w:pPr>
        <w:pStyle w:val="ListBullet"/>
        <w:ind w:left="510"/>
      </w:pPr>
      <w:r>
        <w:rPr>
          <w:sz w:val="20"/>
        </w:rPr>
        <w:t>Provision of local or remote access for the Contractor.</w:t>
      </w:r>
    </w:p>
    <w:p>
      <w:pPr>
        <w:pStyle w:val="ListBullet"/>
        <w:ind w:left="510"/>
      </w:pPr>
      <w:r>
        <w:rPr>
          <w:sz w:val="20"/>
        </w:rPr>
        <w:t>Completion of technical acceptance procedures required by applicable law.</w:t>
      </w:r>
    </w:p>
    <w:p>
      <w:r>
        <w:rPr>
          <w:b w:val="0"/>
          <w:color w:val="000000"/>
          <w:sz w:val="20"/>
        </w:rPr>
        <w:t>1.5 Any delay resulting from failure to meet the above conditions extends the implementation schedule without liability for the Contractor.</w:t>
      </w:r>
    </w:p>
    <w:p>
      <w:r>
        <w:rPr>
          <w:b w:val="0"/>
          <w:color w:val="000000"/>
          <w:sz w:val="20"/>
        </w:rPr>
        <w:t>1.6 The Contractor undertakes to deliver and implement the DISPERON EMS/SCADA system within up to 28 days from the moment the Customer meets all readiness conditions.</w:t>
      </w:r>
    </w:p>
    <w:p>
      <w:r>
        <w:rPr>
          <w:b w:val="0"/>
          <w:color w:val="000000"/>
          <w:sz w:val="20"/>
        </w:rPr>
        <w:t>1.7 Commissioning and acceptance tests shall be carried out within 14 days from confirming installation readiness.</w:t>
      </w:r>
    </w:p>
    <w:p>
      <w:pPr>
        <w:pStyle w:val="Heading1"/>
      </w:pPr>
      <w:r>
        <w:rPr>
          <w:b/>
          <w:color w:val="C9A432"/>
          <w:sz w:val="26"/>
        </w:rPr>
        <w:t>2. Scope and Method of Implementation</w:t>
      </w:r>
    </w:p>
    <w:p>
      <w:r>
        <w:rPr>
          <w:b w:val="0"/>
          <w:color w:val="000000"/>
          <w:sz w:val="20"/>
        </w:rPr>
        <w:t>2.1 The Contractor implements the DISPERON EMS/SCADA system per Part I.</w:t>
      </w:r>
    </w:p>
    <w:p>
      <w:r>
        <w:rPr>
          <w:b w:val="0"/>
          <w:color w:val="000000"/>
          <w:sz w:val="20"/>
        </w:rPr>
        <w:t>2.2 Programming, configuration and commissioning are performed remotely unless otherwise agreed.</w:t>
      </w:r>
    </w:p>
    <w:p>
      <w:r>
        <w:rPr>
          <w:b w:val="0"/>
          <w:color w:val="000000"/>
          <w:sz w:val="20"/>
        </w:rPr>
        <w:t>2.3 On-site works follow the schedule and scope in Part I.</w:t>
      </w:r>
    </w:p>
    <w:p>
      <w:r>
        <w:rPr>
          <w:b w:val="0"/>
          <w:color w:val="000000"/>
          <w:sz w:val="20"/>
        </w:rPr>
        <w:t>2.4 Scope is based on Customer documentation and may be clarified after site verification.</w:t>
      </w:r>
    </w:p>
    <w:p>
      <w:r>
        <w:rPr>
          <w:b w:val="0"/>
          <w:color w:val="000000"/>
          <w:sz w:val="20"/>
        </w:rPr>
        <w:t>2.5 The Customer shall provide infrastructure, documentation, remote access, and a coordinator.</w:t>
      </w:r>
    </w:p>
    <w:p>
      <w:r>
        <w:rPr>
          <w:b w:val="0"/>
          <w:color w:val="000000"/>
          <w:sz w:val="20"/>
        </w:rPr>
        <w:t>2.6 Discrepancies between documentation and the actual installation may require scope, deadline, and cost adjustment.</w:t>
      </w:r>
    </w:p>
    <w:p>
      <w:pPr>
        <w:pStyle w:val="Heading1"/>
      </w:pPr>
      <w:r>
        <w:rPr>
          <w:b/>
          <w:color w:val="C9A432"/>
          <w:sz w:val="26"/>
        </w:rPr>
        <w:t>3. On-site Works</w:t>
      </w:r>
    </w:p>
    <w:p>
      <w:r>
        <w:rPr>
          <w:b w:val="0"/>
          <w:color w:val="000000"/>
          <w:sz w:val="20"/>
        </w:rPr>
        <w:t>3.1 On-site works include: first technical visit, integration and commissioning, personnel training.</w:t>
      </w:r>
    </w:p>
    <w:p>
      <w:r>
        <w:rPr>
          <w:b w:val="0"/>
          <w:color w:val="000000"/>
          <w:sz w:val="20"/>
        </w:rPr>
        <w:t>3.2 Number of on-site days is defined in Part I or Schedule A.</w:t>
      </w:r>
    </w:p>
    <w:p>
      <w:r>
        <w:rPr>
          <w:b w:val="0"/>
          <w:color w:val="000000"/>
          <w:sz w:val="20"/>
        </w:rPr>
        <w:t>3.3 Visits require 14 days' notice and confirmed readiness.</w:t>
      </w:r>
    </w:p>
    <w:p>
      <w:r>
        <w:rPr>
          <w:b w:val="0"/>
          <w:color w:val="000000"/>
          <w:sz w:val="20"/>
        </w:rPr>
        <w:t>3.4 Changes to on-site days require mutual agreement and may affect cost.</w:t>
      </w:r>
    </w:p>
    <w:p>
      <w:r>
        <w:rPr>
          <w:b w:val="0"/>
          <w:color w:val="000000"/>
          <w:sz w:val="20"/>
        </w:rPr>
        <w:t>3.5 Travel and delegation expenses are billed separately unless included in the fixed price.</w:t>
      </w:r>
    </w:p>
    <w:p>
      <w:pPr>
        <w:pStyle w:val="Heading1"/>
      </w:pPr>
      <w:r>
        <w:rPr>
          <w:b/>
          <w:color w:val="C9A432"/>
          <w:sz w:val="26"/>
        </w:rPr>
        <w:t>4. Exclusions from the Agreement</w:t>
      </w:r>
    </w:p>
    <w:p>
      <w:r>
        <w:rPr>
          <w:b w:val="0"/>
          <w:color w:val="000000"/>
          <w:sz w:val="20"/>
        </w:rPr>
        <w:t>4.1 The Agreement does not include additional installation works, re-commissioning of Customer devices, integrations not listed in Part I, on-site works beyond Part I, configuration of third-party protection relays unless agreed, or works on the DSO/TSOC operator's own SCADA system.</w:t>
      </w:r>
    </w:p>
    <w:p>
      <w:r>
        <w:rPr>
          <w:b w:val="0"/>
          <w:color w:val="000000"/>
          <w:sz w:val="20"/>
        </w:rPr>
        <w:t>4.2 Cost may change depending on actual device configuration.</w:t>
      </w:r>
    </w:p>
    <w:p>
      <w:r>
        <w:rPr>
          <w:b w:val="0"/>
          <w:color w:val="000000"/>
          <w:sz w:val="20"/>
        </w:rPr>
        <w:t>4.3 The Customer must provide all data and access required to begin works.</w:t>
      </w:r>
    </w:p>
    <w:p>
      <w:r>
        <w:rPr>
          <w:b w:val="0"/>
          <w:color w:val="000000"/>
          <w:sz w:val="20"/>
        </w:rPr>
        <w:t>4.4 Additional requirements are priced individually.</w:t>
      </w:r>
    </w:p>
    <w:p>
      <w:r>
        <w:rPr>
          <w:b w:val="0"/>
          <w:color w:val="000000"/>
          <w:sz w:val="20"/>
        </w:rPr>
        <w:t>4.5 Customer-caused inability to perform does not release payment for work already done.</w:t>
      </w:r>
    </w:p>
    <w:p>
      <w:r>
        <w:rPr>
          <w:b w:val="0"/>
          <w:color w:val="000000"/>
          <w:sz w:val="20"/>
        </w:rPr>
        <w:t>4.6 The system is installed per communication standards and manufacturer requirements.</w:t>
      </w:r>
    </w:p>
    <w:p>
      <w:pPr>
        <w:pStyle w:val="Heading1"/>
      </w:pPr>
      <w:r>
        <w:rPr>
          <w:b/>
          <w:color w:val="C9A432"/>
          <w:sz w:val="26"/>
        </w:rPr>
        <w:t>5. Subscription and Technical Support</w:t>
      </w:r>
    </w:p>
    <w:p>
      <w:pPr>
        <w:pStyle w:val="Heading2"/>
      </w:pPr>
      <w:r>
        <w:rPr>
          <w:b/>
          <w:color w:val="1A365D"/>
          <w:sz w:val="22"/>
        </w:rPr>
        <w:t>5.1 Subscription scope</w:t>
      </w:r>
    </w:p>
    <w:p>
      <w:r>
        <w:rPr>
          <w:b w:val="0"/>
          <w:color w:val="000000"/>
          <w:sz w:val="20"/>
        </w:rPr>
        <w:t>The annual subscription (where not prepaid in Part I) includes:</w:t>
      </w:r>
    </w:p>
    <w:p>
      <w:pPr>
        <w:pStyle w:val="ListBullet"/>
        <w:ind w:left="283"/>
      </w:pPr>
      <w:r>
        <w:rPr>
          <w:sz w:val="20"/>
        </w:rPr>
        <w:t>System updates and functional development</w:t>
      </w:r>
    </w:p>
    <w:p>
      <w:pPr>
        <w:pStyle w:val="ListBullet"/>
        <w:ind w:left="283"/>
      </w:pPr>
      <w:r>
        <w:rPr>
          <w:sz w:val="20"/>
        </w:rPr>
        <w:t>Cybersecurity maintenance (access policies, NIS2-aligned controls)</w:t>
      </w:r>
    </w:p>
    <w:p>
      <w:pPr>
        <w:pStyle w:val="ListBullet"/>
        <w:ind w:left="283"/>
      </w:pPr>
      <w:r>
        <w:rPr>
          <w:sz w:val="20"/>
        </w:rPr>
        <w:t>Database administration and backup</w:t>
      </w:r>
    </w:p>
    <w:p>
      <w:pPr>
        <w:pStyle w:val="ListBullet"/>
        <w:ind w:left="283"/>
      </w:pPr>
      <w:r>
        <w:rPr>
          <w:sz w:val="20"/>
        </w:rPr>
        <w:t>Maintenance of integration protocols (Modbus, MQTT, TCP/IP, IEC 60870-5-104)</w:t>
      </w:r>
    </w:p>
    <w:p>
      <w:pPr>
        <w:pStyle w:val="ListBullet"/>
        <w:ind w:left="283"/>
      </w:pPr>
      <w:r>
        <w:rPr>
          <w:sz w:val="20"/>
        </w:rPr>
        <w:t>Access to advanced EMS modes (arbitrage, peak shaving, import/export limits)</w:t>
      </w:r>
    </w:p>
    <w:p>
      <w:pPr>
        <w:pStyle w:val="ListBullet"/>
        <w:ind w:left="283"/>
      </w:pPr>
      <w:r>
        <w:rPr>
          <w:sz w:val="20"/>
        </w:rPr>
        <w:t>External data (market prices, forecasts, operator signals where licensed)</w:t>
      </w:r>
    </w:p>
    <w:p>
      <w:pPr>
        <w:pStyle w:val="ListBullet"/>
        <w:ind w:left="283"/>
      </w:pPr>
      <w:r>
        <w:rPr>
          <w:sz w:val="20"/>
        </w:rPr>
        <w:t>Service and operational support per Section 5.3</w:t>
      </w:r>
    </w:p>
    <w:p>
      <w:pPr>
        <w:pStyle w:val="ListBullet"/>
        <w:ind w:left="283"/>
      </w:pPr>
      <w:r>
        <w:rPr>
          <w:sz w:val="20"/>
        </w:rPr>
        <w:t>Multi-site management (SCADA Global tier)</w:t>
      </w:r>
    </w:p>
    <w:p>
      <w:pPr>
        <w:pStyle w:val="Heading2"/>
      </w:pPr>
      <w:r>
        <w:rPr>
          <w:b/>
          <w:color w:val="1A365D"/>
          <w:sz w:val="22"/>
        </w:rPr>
        <w:t>5.2 Subscription period and billing</w:t>
      </w:r>
    </w:p>
    <w:p>
      <w:r>
        <w:rPr>
          <w:b w:val="0"/>
          <w:color w:val="000000"/>
          <w:sz w:val="20"/>
        </w:rPr>
        <w:t>5.2.1 Available periods: 1–15 years (aligned with LTSA where applicable).</w:t>
      </w:r>
    </w:p>
    <w:p>
      <w:r>
        <w:rPr>
          <w:b w:val="0"/>
          <w:color w:val="000000"/>
          <w:sz w:val="20"/>
        </w:rPr>
        <w:t>5.2.2 Billing: monthly, annual upfront, or one-time for the selected period.</w:t>
      </w:r>
    </w:p>
    <w:p>
      <w:r>
        <w:rPr>
          <w:b w:val="0"/>
          <w:color w:val="000000"/>
          <w:sz w:val="20"/>
        </w:rPr>
        <w:t>5.2.3 Standard annual rate: EUR 400 per MWh of installed BESS capacity (ex VAT).</w:t>
      </w:r>
    </w:p>
    <w:p>
      <w:r>
        <w:rPr>
          <w:b w:val="0"/>
          <w:color w:val="000000"/>
          <w:sz w:val="20"/>
        </w:rPr>
        <w:t>5.2.4 After subscription expiry:</w:t>
      </w:r>
    </w:p>
    <w:p>
      <w:pPr>
        <w:pStyle w:val="ListBullet"/>
        <w:ind w:left="510"/>
      </w:pPr>
      <w:r>
        <w:rPr>
          <w:sz w:val="20"/>
        </w:rPr>
        <w:t>Service, updates and cloud integration functions expire</w:t>
      </w:r>
    </w:p>
    <w:p>
      <w:pPr>
        <w:pStyle w:val="ListBullet"/>
        <w:ind w:left="510"/>
      </w:pPr>
      <w:r>
        <w:rPr>
          <w:sz w:val="20"/>
        </w:rPr>
        <w:t>The system may operate as local EMS only, without cloud SCADA, historical cloud data, or external data feeds</w:t>
      </w:r>
    </w:p>
    <w:p>
      <w:pPr>
        <w:pStyle w:val="Heading2"/>
      </w:pPr>
      <w:r>
        <w:rPr>
          <w:b/>
          <w:color w:val="1A365D"/>
          <w:sz w:val="22"/>
        </w:rPr>
        <w:t>5.3 Technical support</w:t>
      </w:r>
    </w:p>
    <w:p>
      <w:r>
        <w:rPr>
          <w:b w:val="0"/>
          <w:color w:val="000000"/>
          <w:sz w:val="20"/>
        </w:rPr>
        <w:t>5.3.1 Basic subscription includes up to 1 hour per month remote support per park.</w:t>
      </w:r>
    </w:p>
    <w:p>
      <w:r>
        <w:rPr>
          <w:b w:val="0"/>
          <w:color w:val="000000"/>
          <w:sz w:val="20"/>
        </w:rPr>
        <w:t>5.3.2 Support includes remote connections, log analysis, diagnostics, and operational consultations.</w:t>
      </w:r>
    </w:p>
    <w:p>
      <w:r>
        <w:rPr>
          <w:b w:val="0"/>
          <w:color w:val="000000"/>
          <w:sz w:val="20"/>
        </w:rPr>
        <w:t>5.3.3 Unused support time does not carry over.</w:t>
      </w:r>
    </w:p>
    <w:p>
      <w:r>
        <w:rPr>
          <w:b w:val="0"/>
          <w:color w:val="000000"/>
          <w:sz w:val="20"/>
        </w:rPr>
        <w:t>5.3.4 Excess work is billed at EUR 80/hour net per Part I.</w:t>
      </w:r>
    </w:p>
    <w:p>
      <w:r>
        <w:rPr>
          <w:b w:val="0"/>
          <w:color w:val="000000"/>
          <w:sz w:val="20"/>
        </w:rPr>
        <w:t>5.3.5 Support excludes Customer infrastructure faults, third-party device failures, and unauthorised interference.</w:t>
      </w:r>
    </w:p>
    <w:p>
      <w:pPr>
        <w:pStyle w:val="Heading1"/>
      </w:pPr>
      <w:r>
        <w:rPr>
          <w:b/>
          <w:color w:val="C9A432"/>
          <w:sz w:val="26"/>
        </w:rPr>
        <w:t>6. Acceptance of Works</w:t>
      </w:r>
    </w:p>
    <w:p>
      <w:r>
        <w:rPr>
          <w:b w:val="0"/>
          <w:color w:val="000000"/>
          <w:sz w:val="20"/>
        </w:rPr>
        <w:t>6.1 Acceptance is confirmed by a protocol signed by both Parties.</w:t>
      </w:r>
    </w:p>
    <w:p>
      <w:r>
        <w:rPr>
          <w:b w:val="0"/>
          <w:color w:val="000000"/>
          <w:sz w:val="20"/>
        </w:rPr>
        <w:t>6.2 Comments may be submitted within 7 days of receiving test results.</w:t>
      </w:r>
    </w:p>
    <w:p>
      <w:pPr>
        <w:pStyle w:val="Heading1"/>
      </w:pPr>
      <w:r>
        <w:rPr>
          <w:b/>
          <w:color w:val="C9A432"/>
          <w:sz w:val="26"/>
        </w:rPr>
        <w:t>7. Warranty</w:t>
      </w:r>
    </w:p>
    <w:p>
      <w:r>
        <w:rPr>
          <w:b w:val="0"/>
          <w:color w:val="000000"/>
          <w:sz w:val="20"/>
        </w:rPr>
        <w:t>7.1 Warranty covers:</w:t>
      </w:r>
    </w:p>
    <w:p>
      <w:pPr>
        <w:pStyle w:val="ListBullet"/>
        <w:ind w:left="283"/>
      </w:pPr>
      <w:r>
        <w:rPr>
          <w:sz w:val="20"/>
        </w:rPr>
        <w:t>Removal of critical software errors attributable to the Contractor</w:t>
      </w:r>
    </w:p>
    <w:p>
      <w:pPr>
        <w:pStyle w:val="ListBullet"/>
        <w:ind w:left="283"/>
      </w:pPr>
      <w:r>
        <w:rPr>
          <w:sz w:val="20"/>
        </w:rPr>
        <w:t>Corrections resulting from the Contractor's fault</w:t>
      </w:r>
    </w:p>
    <w:p>
      <w:pPr>
        <w:pStyle w:val="ListBullet"/>
        <w:ind w:left="283"/>
      </w:pPr>
      <w:r>
        <w:rPr>
          <w:sz w:val="20"/>
        </w:rPr>
        <w:t>Software stability for the warranted period</w:t>
      </w:r>
    </w:p>
    <w:p>
      <w:pPr>
        <w:pStyle w:val="ListBullet"/>
        <w:ind w:left="283"/>
      </w:pPr>
      <w:r>
        <w:rPr>
          <w:sz w:val="20"/>
        </w:rPr>
        <w:t>Repair or replacement of defective hardware supplied by the Contractor</w:t>
      </w:r>
    </w:p>
    <w:p>
      <w:r>
        <w:rPr>
          <w:b w:val="0"/>
          <w:color w:val="000000"/>
          <w:sz w:val="20"/>
        </w:rPr>
        <w:t>7.2 Target response time: up to 36 working hours for critical issues.</w:t>
      </w:r>
    </w:p>
    <w:p>
      <w:r>
        <w:rPr>
          <w:b w:val="0"/>
          <w:color w:val="000000"/>
          <w:sz w:val="20"/>
        </w:rPr>
        <w:t>7.3 Warranty may be extended for 1 / 3 / 5 / 10 years where agreed in Part I.</w:t>
      </w:r>
    </w:p>
    <w:p>
      <w:r>
        <w:rPr>
          <w:b w:val="0"/>
          <w:color w:val="000000"/>
          <w:sz w:val="20"/>
        </w:rPr>
        <w:t>7.4 Extended warranty requires an active subscription and current software version.</w:t>
      </w:r>
    </w:p>
    <w:p>
      <w:r>
        <w:rPr>
          <w:b w:val="0"/>
          <w:color w:val="000000"/>
          <w:sz w:val="20"/>
        </w:rPr>
        <w:t>7.5 Warranty excludes third-party interference, improper operation, external device failures, and Customer-side communication faults.</w:t>
      </w:r>
    </w:p>
    <w:p>
      <w:pPr>
        <w:pStyle w:val="Heading1"/>
      </w:pPr>
      <w:r>
        <w:rPr>
          <w:b/>
          <w:color w:val="C9A432"/>
          <w:sz w:val="26"/>
        </w:rPr>
        <w:t>8. Liability of the Parties</w:t>
      </w:r>
    </w:p>
    <w:p>
      <w:r>
        <w:rPr>
          <w:b w:val="0"/>
          <w:color w:val="000000"/>
          <w:sz w:val="20"/>
        </w:rPr>
        <w:t>8.1 The Contractor is responsible for implementing the system per the Agreement.</w:t>
      </w:r>
    </w:p>
    <w:p>
      <w:r>
        <w:rPr>
          <w:b w:val="0"/>
          <w:color w:val="000000"/>
          <w:sz w:val="20"/>
        </w:rPr>
        <w:t>8.2 The Customer is responsible for data accuracy and technical infrastructure operation.</w:t>
      </w:r>
    </w:p>
    <w:p>
      <w:r>
        <w:rPr>
          <w:b w:val="0"/>
          <w:color w:val="000000"/>
          <w:sz w:val="20"/>
        </w:rPr>
        <w:t>8.3 Except for fraud or wilful misconduct, each Party's aggregate liability under this Agreement is limited to the amounts paid or payable under Part I for the affected site, unless mandatory law provides otherwise.</w:t>
      </w:r>
    </w:p>
    <w:p>
      <w:pPr>
        <w:pStyle w:val="Heading1"/>
      </w:pPr>
      <w:r>
        <w:rPr>
          <w:b/>
          <w:color w:val="C9A432"/>
          <w:sz w:val="26"/>
        </w:rPr>
        <w:t>9. Confidentiality</w:t>
      </w:r>
    </w:p>
    <w:p>
      <w:r>
        <w:rPr>
          <w:b w:val="0"/>
          <w:color w:val="000000"/>
          <w:sz w:val="20"/>
        </w:rPr>
        <w:t>The Parties undertake to maintain confidentiality of technical and commercial information.</w:t>
      </w:r>
    </w:p>
    <w:p>
      <w:pPr>
        <w:pStyle w:val="Heading1"/>
      </w:pPr>
      <w:r>
        <w:rPr>
          <w:b/>
          <w:color w:val="C9A432"/>
          <w:sz w:val="26"/>
        </w:rPr>
        <w:t>10. Final Provisions</w:t>
      </w:r>
    </w:p>
    <w:p>
      <w:r>
        <w:rPr>
          <w:b w:val="0"/>
          <w:color w:val="000000"/>
          <w:sz w:val="20"/>
        </w:rPr>
        <w:t>10.1 Amendments require written form.</w:t>
      </w:r>
    </w:p>
    <w:p>
      <w:r>
        <w:rPr>
          <w:b w:val="0"/>
          <w:color w:val="000000"/>
          <w:sz w:val="20"/>
        </w:rPr>
        <w:t>10.2 Governing law: Republic of Cyprus. Courts: Limassol, Cyprus.</w:t>
      </w:r>
    </w:p>
    <w:p>
      <w:r>
        <w:rPr>
          <w:b w:val="0"/>
          <w:color w:val="000000"/>
          <w:sz w:val="20"/>
        </w:rPr>
        <w:t>10.3 Executed in two identical copies.</w:t>
      </w:r>
    </w:p>
    <w:p>
      <w:pPr>
        <w:pStyle w:val="Heading1"/>
      </w:pPr>
      <w:r>
        <w:rPr>
          <w:b/>
          <w:color w:val="C9A432"/>
          <w:sz w:val="26"/>
        </w:rPr>
        <w:t>11. Relationship of Documents</w:t>
      </w:r>
    </w:p>
    <w:p>
      <w:r>
        <w:rPr>
          <w:b w:val="0"/>
          <w:color w:val="000000"/>
          <w:sz w:val="20"/>
        </w:rPr>
        <w:t>Part II is an integral part of the DISPERON Order Agreement and applies together with Part I. Where an EMS Software Subscription Agreement is also executed, subscription billing terms in that agreement prevail for annual recurring fees if expressly stated therein.</w:t>
      </w:r>
    </w:p>
    <w:p>
      <w:pPr>
        <w:pStyle w:val="Heading1"/>
      </w:pPr>
      <w:r>
        <w:rPr>
          <w:b/>
          <w:color w:val="C9A432"/>
          <w:sz w:val="26"/>
        </w:rPr>
        <w:t>Signatures</w:t>
      </w:r>
    </w:p>
    <w:p/>
    <w:p>
      <w:r>
        <w:rPr>
          <w:b/>
        </w:rPr>
        <w:t>Customer</w:t>
        <w:br/>
      </w:r>
      <w:r>
        <w:t>Authorised signatory</w:t>
        <w:br/>
        <w:br/>
      </w:r>
      <w:r>
        <w:t>Signature: _________________________________</w:t>
        <w:br/>
        <w:br/>
      </w:r>
      <w:r>
        <w:t>Full name (print): _______________________</w:t>
        <w:br/>
        <w:br/>
      </w:r>
      <w:r>
        <w:t>Date: ____________________________________</w:t>
      </w:r>
    </w:p>
    <w:p/>
    <w:p>
      <w:r>
        <w:rPr>
          <w:b/>
        </w:rPr>
        <w:t>Contractor — Lighthief EU BESS Ltd (DISPERON)</w:t>
        <w:br/>
      </w:r>
      <w:r>
        <w:t>Alexander Papacosta, Cyprus Managing Director</w:t>
        <w:br/>
        <w:br/>
      </w:r>
      <w:r>
        <w:t>Signature: _________________________________</w:t>
        <w:br/>
        <w:br/>
      </w:r>
      <w:r>
        <w:t>Full name (print): _______________________</w:t>
        <w:br/>
        <w:br/>
      </w:r>
      <w:r>
        <w:t>Date: ____________________________________</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