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t>Document Reference: LCY-EPC-GAL-B1-2026</w:t>
        <w:br/>
        <w:t>Version: 5.1</w:t>
        <w:br/>
        <w:t>Date: May 2026</w:t>
        <w:br/>
        <w:br/>
        <w:t>VERSION HISTORY</w:t>
        <w:br/>
        <w:t>v1.0 — Oct 2025: Initial draft</w:t>
        <w:br/>
        <w:t>v2.0 — Jan 2026: Linyang RFI confirmed terms</w:t>
        <w:br/>
        <w:t>v3.0 — 22 Feb 2026: Installation scope, delay LD framework, bankability</w:t>
        <w:br/>
        <w:t>v4.0 — 17 Mar 2026: Single counterparty warranty, title at PAC, unified warranty, performance guarantees</w:t>
        <w:br/>
        <w:t>v5.0 — 6 May 2026: Two-component price split, FAC removed (3-month DLP), tiered liability cap (10/50/uncapped), client lawyer review comments addressed</w:t>
        <w:br/>
        <w:t>v5.1 — May 2026: Indicative Price + Confirmed Price mechanism (raw material / FX adjustment), LD Value split (Comp A delivery / Comp B commissioning), upstream FM flow-through, 12-month Connection Terms longstop, 30-day advance payment trigger</w:t>
      </w:r>
    </w:p>
    <w:p>
      <w:r>
        <w:br w:type="page"/>
      </w:r>
    </w:p>
    <w:p>
      <w:pPr>
        <w:spacing w:before="320"/>
      </w:pPr>
      <w:r>
        <w:rPr>
          <w:b/>
          <w:color w:val="1A365D"/>
          <w:sz w:val="24"/>
        </w:rPr>
        <w:t>1. PARTIES</w:t>
      </w:r>
    </w:p>
    <w:p>
      <w:r>
        <w:rPr>
          <w:b w:val="0"/>
          <w:sz w:val="20"/>
        </w:rPr>
        <w:t>This Engineering, Procurement and Construction Agreement (“Agreement”) is made as of [●] 2026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Galascope Ltd, a company incorporated under the laws of the Republic of Cyprus, with registered office at Karaiskaki 6, City House, 3032 Limassol, Cyprus, Registration No. HE 303759 ("Client").</w:t>
      </w:r>
    </w:p>
    <w:p>
      <w:r>
        <w:rPr>
          <w:b w:val="0"/>
          <w:sz w:val="20"/>
        </w:rPr>
        <w:t>Contractor and Client are referred to individually as a “Party” and collectively as the “Parties.”</w:t>
      </w:r>
    </w:p>
    <w:p>
      <w:pPr>
        <w:spacing w:before="320"/>
      </w:pPr>
      <w:r>
        <w:rPr>
          <w:b/>
          <w:color w:val="1A365D"/>
          <w:sz w:val="24"/>
        </w:rPr>
        <w:t>1A. CONDITIONS PRECEDENT</w:t>
      </w:r>
    </w:p>
    <w:p>
      <w:r>
        <w:t xml:space="preserve">1A.1 This Agreement is conditional upon the Client obtaining grid connection terms from EAC/DSO for the Site (“Connection Terms”) within twelve (12) months of the Effective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t xml:space="preserve">1A.3 The advance payment under Section 7.1(a) shall become due within thirty (30) days of the later of: (i) the Effective Date; and (ii) receipt of Connection Terms.</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has the meaning given in Section 1.</w:t>
      </w:r>
    </w:p>
    <w:p>
      <w:r>
        <w:rPr>
          <w:b/>
          <w:sz w:val="20"/>
        </w:rPr>
        <w:t xml:space="preserve">"EMS" </w:t>
      </w:r>
      <w:r>
        <w:rPr>
          <w:sz w:val="20"/>
        </w:rPr>
        <w:t>means Energy Management System. EMS integration is provided by Lighthief EU BESS Ltd under a separate EMS Integration Agreement, guaranteed by the Contractor per Section 4.4.</w:t>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r>
        <w:rPr>
          <w:b/>
          <w:sz w:val="20"/>
        </w:rPr>
        <w:t xml:space="preserve">"Retention" </w:t>
      </w:r>
      <w:r>
        <w:rPr>
          <w:sz w:val="20"/>
        </w:rPr>
        <w:t>means five percent (5%) of the Contract Price withheld by the Client and released at the end of the Defects Liability Period per Section 7.4.</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Lighthief EU BESS Ltd, an affiliate of the Contractor, under a separate EMS Integration Agreement.</w:t>
      </w:r>
    </w:p>
    <w:p>
      <w:r>
        <w:rPr>
          <w:b/>
          <w:sz w:val="20"/>
        </w:rPr>
        <w:t>(b) The Contractor hereby guarantees the performance of Lighthief EU BESS Ltd’s obligations under the EMS Integration Agreement. If Lighthief EU BESS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r>
        <w:rPr>
          <w:b w:val="0"/>
          <w:sz w:val="20"/>
        </w:rPr>
        <w:t>4.5 Any works not expressly listed are excluded unless agreed in writing.</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w:t>
      </w:r>
    </w:p>
    <w:p>
      <w:pPr>
        <w:ind w:left="567"/>
      </w:pPr>
      <w:r>
        <w:rPr>
          <w:sz w:val="20"/>
        </w:rPr>
        <w:t>(e) Provide electrical connection point and grid connection approval.</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w:t>
      </w:r>
    </w:p>
    <w:p>
      <w:pPr>
        <w:ind w:left="567"/>
      </w:pPr>
      <w:r>
        <w:rPr>
          <w:sz w:val="20"/>
        </w:rPr>
        <w:t>(b) Maintain monitoring systems;</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+ 8%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320"/>
      </w:pPr>
      <w:r>
        <w:rPr>
          <w:b/>
          <w:color w:val="1A365D"/>
          <w:sz w:val="24"/>
        </w:rPr>
        <w:t>6. CONTRACT PRICE</w:t>
      </w:r>
    </w:p>
    <w:p>
      <w:r>
        <w:t xml:space="preserve">6.1 Contract Price — Indicative and Confirmed
(a) Indicative Contract Price: The Contract Price set out in Sections 6.2 and 6.3 is an Indicative Price based on Linyang Quotation LY202601271 (January 2026), exclusive of VAT. The Indicative Price is binding on the Contractor for the period between the Effective Date and the Confirmed Price Certificate Date (as defined below).
(b) Confirmed Price Trigger: Within fourteen (14) days following the Client's receipt of Connection Terms (per Section 1A), the Contractor shall issue a Confirmed Price Certificate, fixing the final Contract Price to be applied to all subsequent payment milestones.
(c) Adjustment Methodology: The Confirmed Price shall equal the Indicative Price, save where:
  (i) the Linyang battery cell raw material reference index (reference: 155,000 CNY/tonne (Mysteel China battery-grade spot, January 2026 monthly average)) has moved by more than ten percent (10%); or
  (ii) the EUR/CNY exchange rate (reference: 8.18 CNY per EUR (January 2026 average)) has moved by more than eight percent (8%); or
  (iii) the equipment configuration in Schedule A is modified at the Client's request.
(d) Adjustment Cap: Any upward adjustment to the Indicative Price shall not exceed five percent (5%) of the Indicative Contract Price. Where the calculated adjustment exceeds 5%, either Party may terminate this Agreement without penalty by written notice within fourteen (14) days of the Confirmed Price Certificate. Upon such termination, the Contractor shall refund any advance payments received within thirty (30) days, less reasonable and documented costs incurred prior to termination.
(e) Pass-Through Limitation: The Contractor shall not pass through any cost increases that result from the Contractor's own delay or fault.
(f) All milestone percentages in Section 7.1 are calculated on the Confirmed Contract Price (or, prior to issue of the Confirmed Price Certificate, on the Indicative Contract Price).</w:t>
      </w:r>
    </w:p>
    <w:p>
      <w:pPr>
        <w:spacing w:before="200"/>
      </w:pPr>
      <w:r>
        <w:t xml:space="preserve">6.2 Indicative Component A — Equipment Supply Price</w:t>
      </w:r>
    </w:p>
    <w:p>
      <w:r>
        <w:rPr>
          <w:b w:val="0"/>
          <w:sz w:val="20"/>
        </w:rPr>
        <w:t>EUR [●]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t xml:space="preserve">6.3 Indicative Component B — EPC Services Price</w:t>
      </w:r>
    </w:p>
    <w:p>
      <w:r>
        <w:rPr>
          <w:b w:val="0"/>
          <w:sz w:val="20"/>
        </w:rPr>
        <w:t>EUR [●]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Effective Date entitle the Parties to agree a variation by written change order.</w:t>
      </w:r>
    </w:p>
    <w:p>
      <w:pPr>
        <w:spacing w:before="320"/>
      </w:pPr>
      <w:r>
        <w:rPr>
          <w:b/>
          <w:color w:val="1A365D"/>
          <w:sz w:val="24"/>
        </w:rPr>
        <w:t>7. PAYMENT TERMS</w:t>
      </w:r>
    </w:p>
    <w:p>
      <w:pPr>
        <w:spacing w:before="200"/>
      </w:pPr>
      <w:r>
        <w:rPr>
          <w:b/>
          <w:color w:val="1A365D"/>
          <w:sz w:val="21"/>
        </w:rPr>
        <w:t>7.1 Payment Milestones</w:t>
      </w:r>
    </w:p>
    <w:p>
      <w:r>
        <w:rPr>
          <w:b w:val="0"/>
          <w:sz w:val="20"/>
        </w:rPr>
        <w:t>Payments shall be made by bank transfer as follows:</w:t>
      </w:r>
    </w:p>
    <w:p>
      <w:r>
        <w:rPr>
          <w:b w:val="0"/>
          <w:sz w:val="20"/>
        </w:rPr>
        <w:t>(a) 30% advance payment within seven (7) days of the payment trigger under Section 1A.3;</w:t>
      </w:r>
    </w:p>
    <w:p>
      <w:r>
        <w:rPr>
          <w:b w:val="0"/>
          <w:sz w:val="20"/>
        </w:rPr>
        <w:t>(b) 55% payment prior to shipment of BESS equipment, upon Contractor’s written confirmation of successful Factory Acceptance Testing (FAT) and photographic evidence of readiness;</w:t>
      </w:r>
    </w:p>
    <w:p>
      <w:r>
        <w:rPr>
          <w:b w:val="0"/>
          <w:sz w:val="20"/>
        </w:rPr>
        <w:t>(c) 10% payment upon issuance of PAC;</w:t>
      </w:r>
    </w:p>
    <w:p>
      <w:r>
        <w:rPr>
          <w:b w:val="0"/>
          <w:sz w:val="20"/>
        </w:rPr>
        <w:t>(d) 5% Retention released at the end of the Defects Liability Period (three (3) months after PAC), subject to Section 7.4.</w:t>
      </w:r>
    </w:p>
    <w:p>
      <w:r>
        <w:rPr>
          <w:b w:val="0"/>
          <w:sz w:val="20"/>
        </w:rPr>
        <w:t>7.2 Payments exclusive of VAT.</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r>
        <w:rPr>
          <w:b w:val="0"/>
          <w:sz w:val="20"/>
        </w:rPr>
        <w:t>(b) Retention shall be released within thirty (30) days of the end of the Defects Liability Period (three (3) months after PAC).</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upon issuance of PAC and receipt of the PAC payment under Section 7.1(c).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r>
        <w:rPr>
          <w:b w:val="0"/>
          <w:sz w:val="20"/>
        </w:rPr>
        <w:t>8.1 Equipment supply CIF Limassol, Cyprus (Incoterms® 2020).</w:t>
      </w:r>
    </w:p>
    <w:p>
      <w:r>
        <w:rPr>
          <w:b w:val="0"/>
          <w:sz w:val="20"/>
        </w:rPr>
        <w:t>8.2 Installation commences upon site readiness and delivery.</w:t>
      </w:r>
    </w:p>
    <w:p>
      <w:r>
        <w:rPr>
          <w:b w:val="0"/>
          <w:sz w:val="20"/>
        </w:rPr>
        <w:t>8.3 Typical installation period: 4–6 weeks.</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t xml:space="preserve">(g) "LD Value" — Calculated separately by delay type:
  (i) Equipment Delivery Delay (delivery of equipment to Site delayed): Confirmed Component A Equipment Supply Price for Full Park; or Confirmed Component A Equipment Supply Price × Affected Capacity % for Partial Delay.
  (ii) EPC Commissioning Delay (PAC not achieved after equipment delivered to Site for reasons within the Contractor's reasonable control): Confirmed Component B EPC Services Price for Full Park; or Confirmed Component B EPC Services Price × Affected Capacity % for Partial Delay.
The combined Delay LDs across both categories shall not exceed the cap in Section 8.4.4.</w:t>
      </w:r>
    </w:p>
    <w:p>
      <w:pPr>
        <w:spacing w:before="200"/>
      </w:pPr>
      <w:r>
        <w:rPr>
          <w:b/>
          <w:color w:val="1A365D"/>
          <w:sz w:val="21"/>
        </w:rPr>
        <w:t>8.4.2 Obligation</w:t>
      </w:r>
    </w:p>
    <w:p>
      <w:r>
        <w:rPr>
          <w:b w:val="0"/>
          <w:sz w:val="20"/>
        </w:rPr>
        <w:t>Contractor shall achieve PAC by Target PAC Date.</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Schedule B for worked examples.</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t xml:space="preserve">8.4.6 Exclusions; (vii) Upstream Force Majeure declared by the OEM and notified to the Client per Section 8.4.7A.</w:t>
      </w:r>
    </w:p>
    <w:p>
      <w:r>
        <w:t xml:space="preserve">8.4.7A Upstream Force Majeure (OEM Flow-Through). Where the OEM has formally notified the Contractor in writing of a Force Majeure event under the upstream supply contract, and such event directly causes a delay in delivery of equipment to Site, the Contractor may declare the same event as Force Majeure under this Agreement, provided the Contractor gives written notice to the Client within seven (7) Business Days of receiving the OEM's notification, including a copy of the OEM's Force Majeure notice. The Target PAC Date shall extend for the same duration as the OEM's Force Majeure period. No Delay LDs shall accrue during the Upstream Force Majeure period.</w:t>
      </w:r>
    </w:p>
    <w:p>
      <w:r>
        <w:rPr>
          <w:b w:val="0"/>
          <w:sz w:val="20"/>
        </w:rPr>
        <w:t>LDs not applicable for: (i) Force Majeure; (ii) Client-caused delays; (iii) grid authority delays; (iv) Client change orders; (v) customs delays with timely shipment proved; (vi) Client’s late confirmation of technical agreements or drawings.</w:t>
      </w:r>
    </w:p>
    <w:p>
      <w:pPr>
        <w:spacing w:before="200"/>
      </w:pPr>
      <w:r>
        <w:rPr>
          <w:b/>
          <w:color w:val="1A365D"/>
          <w:sz w:val="21"/>
        </w:rPr>
        <w:t>8.4.7 Extension of Time</w:t>
      </w:r>
    </w:p>
    <w:p>
      <w:r>
        <w:rPr>
          <w:b w:val="0"/>
          <w:sz w:val="20"/>
        </w:rPr>
        <w:t>Target PAC Date extends day-for-day. Contractor notifies within seven (7) Business Days.</w:t>
      </w:r>
    </w:p>
    <w:p>
      <w:pPr>
        <w:spacing w:before="320"/>
      </w:pPr>
      <w:r>
        <w:rPr>
          <w:b/>
          <w:color w:val="1A365D"/>
          <w:sz w:val="24"/>
        </w:rPr>
        <w:t>9. ACCEPTANCE</w:t>
      </w:r>
    </w:p>
    <w:p>
      <w:pPr>
        <w:spacing w:before="200"/>
      </w:pPr>
      <w:r>
        <w:rPr>
          <w:b/>
          <w:color w:val="1A365D"/>
          <w:sz w:val="21"/>
        </w:rPr>
        <w:t>9.1 Provisional Acceptance (PAC)</w:t>
      </w:r>
    </w:p>
    <w:p>
      <w:r>
        <w:rPr>
          <w:b w:val="0"/>
          <w:sz w:val="20"/>
        </w:rPr>
        <w:t>PAC shall be issued when the following criteria are met:</w:t>
      </w:r>
    </w:p>
    <w:p>
      <w:pPr>
        <w:ind w:left="567"/>
      </w:pPr>
      <w:r>
        <w:rPr>
          <w:sz w:val="20"/>
        </w:rPr>
        <w:t>(a) The BESS operates at not less than 95% of rated energy capacity;</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There is no Final Acceptance Certificate. Retention is released automatically at the end of the Defects Liability Period subject to Section 7.4(c).</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w:t>
      </w:r>
    </w:p>
    <w:p>
      <w:pPr>
        <w:ind w:left="850"/>
      </w:pPr>
      <w:r>
        <w:rPr>
          <w:sz w:val="20"/>
        </w:rPr>
        <w:t>(iii) any Force Majeure event; or</w:t>
      </w:r>
    </w:p>
    <w:p>
      <w:pPr>
        <w:ind w:left="850"/>
      </w:pPr>
      <w:r>
        <w:rPr>
          <w:sz w:val="20"/>
        </w:rPr>
        <w:t>(iv) failure by the Contractor to provide a monitoring alert under an LTSA with 24/7 monitoring (Tier A or above), where such alert would have enabled the Client to prevent the condition.</w:t>
      </w:r>
    </w:p>
    <w:p>
      <w:r>
        <w:rPr>
          <w:b w:val="0"/>
          <w:sz w:val="20"/>
        </w:rPr>
        <w:t>Where the Client has entered into an LTSA with 24/7 monitoring (Tier A+), the Contractor shall alert the Client within 24 hours of SOC dropping below 10%.</w:t>
      </w:r>
    </w:p>
    <w:p>
      <w:pPr>
        <w:spacing w:before="200"/>
      </w:pPr>
      <w:r>
        <w:rPr>
          <w:b/>
          <w:color w:val="1A365D"/>
          <w:sz w:val="21"/>
        </w:rPr>
        <w:t>10.6 Performance Guarantees</w:t>
      </w:r>
    </w:p>
    <w:p>
      <w:r>
        <w:rPr>
          <w:b w:val="0"/>
          <w:sz w:val="20"/>
        </w:rPr>
        <w:t>The Contractor guarantees (backed by OEM warranty):</w:t>
      </w:r>
    </w:p>
    <w:p>
      <w:r>
        <w:rPr>
          <w:b/>
          <w:sz w:val="20"/>
        </w:rPr>
        <w:t>(a) State of Health (SOH) at 1 cycle per day: Year 5 ≥85%, Year 10 ≥79.58%, Year 15 ≥70% (Year 15 subject to extended warranty under LTSA).</w:t>
      </w:r>
    </w:p>
    <w:p>
      <w:r>
        <w:rPr>
          <w:b/>
          <w:sz w:val="20"/>
        </w:rPr>
        <w:t>(b) Round-Trip Efficiency: ≥86.32% at 0.5C, 25±2°C. PAC field floor per Section 9.1.</w:t>
      </w:r>
    </w:p>
    <w:p>
      <w:r>
        <w:rPr>
          <w:b/>
          <w:sz w:val="20"/>
        </w:rPr>
        <w:t>(c) Cycle Life: 7,000 cycles at 0.5C, 90% DoD, to 70% EOL.</w:t>
      </w:r>
    </w:p>
    <w:p>
      <w:r>
        <w:rPr>
          <w:b w:val="0"/>
          <w:sz w:val="20"/>
        </w:rPr>
        <w:t>(d) Remedy: Contractor procures replacement modules from OEM at Contractor’s cost.</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r>
        <w:rPr>
          <w:b/>
          <w:sz w:val="20"/>
        </w:rPr>
        <w:t>(a) The Contractor shall procure that the OEM provides an unconditional, irrevocable Advance Payment Guarantee (APG) equal to the sum of the advance payment and pre-shipment payment made under Sections 7.1(a) and 7.1(b) in respect of Component A (Equipment Supply Price) only.</w:t>
      </w:r>
    </w:p>
    <w:p>
      <w:r>
        <w:rPr>
          <w:b w:val="0"/>
          <w:sz w:val="20"/>
        </w:rPr>
        <w:t>(b) The APG covers: 20% advance on Component A + 50% pre-shipment on Component A = 70% of the Component A Equipment Supply Price.</w:t>
      </w:r>
    </w:p>
    <w:p>
      <w:r>
        <w:rPr>
          <w:b w:val="0"/>
          <w:sz w:val="20"/>
        </w:rPr>
        <w:t>(c) The APG shall be delivered prior to the advance payment becoming due (condition precedent per Section 9B.4 of the upstream supply agreement).</w:t>
      </w:r>
    </w:p>
    <w:p>
      <w:r>
        <w:rPr>
          <w:b w:val="0"/>
          <w:sz w:val="20"/>
        </w:rPr>
        <w:t>(d) The APG shall remain valid until equipment delivery to Site plus thirty (30) days.</w:t>
      </w:r>
    </w:p>
    <w:p>
      <w:r>
        <w:rPr>
          <w:b w:val="0"/>
          <w:sz w:val="20"/>
        </w:rPr>
        <w:t>(e) No APG is required against Component B (EPC Services Price).</w:t>
      </w:r>
    </w:p>
    <w:p>
      <w:r>
        <w:rPr>
          <w:b w:val="0"/>
          <w:sz w:val="20"/>
        </w:rPr>
        <w:t>(f) The Contractor shall also procure that the OEM provides a performance bond equal to five percent (5%) of the Component A Equipment Supply Price, valid until the end of the Defects Liability Period (three (3) months after PAC), covering defects in materials and workmanship.</w:t>
      </w:r>
    </w:p>
    <w:p>
      <w:pPr>
        <w:spacing w:before="320"/>
      </w:pPr>
      <w:r>
        <w:rPr>
          <w:b/>
          <w:color w:val="1A365D"/>
          <w:sz w:val="24"/>
        </w:rPr>
        <w:t>11. LTSA SEPARATION</w:t>
      </w:r>
    </w:p>
    <w:p>
      <w:r>
        <w:rPr>
          <w:b w:val="0"/>
          <w:sz w:val="20"/>
        </w:rPr>
        <w:t>11.1 97% availability guarantee, availability LDs, and extended warranty (years 6–15) are not in this Agreement.</w:t>
      </w:r>
    </w:p>
    <w:p>
      <w:r>
        <w:rPr>
          <w:b w:val="0"/>
          <w:sz w:val="20"/>
        </w:rPr>
        <w:t>11.2 Apply only under a separately executed LTSA.</w:t>
      </w:r>
    </w:p>
    <w:p>
      <w:r>
        <w:rPr>
          <w:b w:val="0"/>
          <w:sz w:val="20"/>
        </w:rPr>
        <w:t>11.3 SOH, RTE, and cycle life guarantees (Section 10.6) are in this Agreement, independent of the LTSA.</w:t>
      </w:r>
    </w:p>
    <w:p>
      <w:r>
        <w:rPr>
          <w:b w:val="0"/>
          <w:sz w:val="20"/>
        </w:rPr>
        <w:t>11.4 This Agreement is intended to be executed alongside the LTSA (LCY-LTSA-GAL-2026) and the OEM Direct Warranty Undertaking (LCY-OEM-DWU-001 v1.0). The Parties intend to execute all three documents simultaneously.</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r>
        <w:rPr>
          <w:b/>
          <w:sz w:val="20"/>
        </w:rPr>
        <w:t>13.2 The Contractor’s total aggregate liability under this Agreement shall be subject to the following tiers, each calculated as a percentage of the Contract Price:</w:t>
      </w:r>
    </w:p>
    <w:p>
      <w:pPr>
        <w:ind w:left="567"/>
      </w:pPr>
      <w:r>
        <w:rPr>
          <w:sz w:val="20"/>
        </w:rPr>
        <w:t>(a) Warranty claims (defects in materials, workmanship, or OEM equipment): ten percent (10%) of the Contract Price;</w:t>
      </w:r>
    </w:p>
    <w:p>
      <w:pPr>
        <w:ind w:left="567"/>
      </w:pPr>
      <w:r>
        <w:rPr>
          <w:sz w:val="20"/>
        </w:rPr>
        <w:t>(b) All other contractual breaches (excluding warranty, fraud, wilful misconduct, and manufacturing defects): fifty percent (50%) of the Contract Price;</w:t>
      </w:r>
    </w:p>
    <w:p>
      <w:pPr>
        <w:ind w:left="567"/>
      </w:pPr>
      <w:r>
        <w:rPr>
          <w:sz w:val="20"/>
        </w:rPr>
        <w:t>(c) Fraud, wilful misconduct, and manufacturing defects in OEM equipment: uncapped.</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sz w:val="20"/>
        </w:rPr>
        <w:t>The Contractor shall provide insurance certificates or cover notes within fourteen (14) days of the first payment under Section 7.1(a).</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br w:type="page"/>
      </w:r>
    </w:p>
    <w:p>
      <w:pPr>
        <w:spacing w:before="320"/>
      </w:pPr>
      <w:r>
        <w:t xml:space="preserve">SCHEDULE A — TECHNICAL SPECIFICATIONS, COMMERCIAL DETAILS AND PRICE BASIS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 xml:space="preserve">Reference: LCY-EPC-GAL-B1-2026 | Version: 5.1 | Date: May 2026</w:t>
      </w:r>
    </w:p>
    <w:p>
      <w:r>
        <w:t xml:space="preserve"/>
      </w:r>
    </w:p>
    <w:p>
      <w:r>
        <w:t xml:space="preserve">============================================================</w:t>
      </w:r>
    </w:p>
    <w:p>
      <w:r>
        <w:t xml:space="preserve">PART 1 — PARK DETAILS</w:t>
      </w:r>
    </w:p>
    <w:p>
      <w:r>
        <w:t xml:space="preserve">============================================================</w:t>
      </w:r>
    </w:p>
    <w:p>
      <w:r>
        <w:t xml:space="preserve"/>
      </w:r>
    </w:p>
    <w:p>
      <w:r>
        <w:t xml:space="preserve">Park Name:              Galascope 1</w:t>
      </w:r>
    </w:p>
    <w:p>
      <w:r>
        <w:t xml:space="preserve">Site / District:        Famagusta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5-year warranty)</w:t>
      </w:r>
    </w:p>
    <w:p>
      <w:r>
        <w:t xml:space="preserve"/>
      </w:r>
    </w:p>
    <w:p>
      <w:r>
        <w:t xml:space="preserve">  Indicative Component A (Equipment CIF):    EUR 1,848,712.43</w:t>
      </w:r>
    </w:p>
    <w:p>
      <w:r>
        <w:t xml:space="preserve">  Indicative Component B (EPC Services):     EUR 389,287.57</w:t>
      </w:r>
    </w:p>
    <w:p>
      <w:r>
        <w:t xml:space="preserve">  INDICATIVE CONTRACT PRICE (A+B, ex VAT):   EUR 2,238,000.00</w:t>
      </w:r>
    </w:p>
    <w:p>
      <w:r>
        <w:t xml:space="preserve"/>
      </w:r>
    </w:p>
    <w:p>
      <w:r>
        <w:t xml:space="preserve">  APG (70% × Indicative Component A):        EUR 1,294,098.70</w:t>
      </w:r>
    </w:p>
    <w:p>
      <w:r>
        <w:t xml:space="preserve">  Performance Bond (5% × Component A):       EUR 92,435.62</w:t>
      </w:r>
    </w:p>
    <w:p>
      <w:r>
        <w:t xml:space="preserve">------------------------------------------------------------</w:t>
      </w:r>
    </w:p>
    <w:p>
      <w:r>
        <w:t xml:space="preserve"/>
      </w:r>
    </w:p>
    <w:p>
      <w:r>
        <w:t xml:space="preserve">Park Name:              Galascope 2</w:t>
      </w:r>
    </w:p>
    <w:p>
      <w:r>
        <w:t xml:space="preserve">Site / District:        Famagusta District, Cyprus</w:t>
      </w:r>
    </w:p>
    <w:p>
      <w:r>
        <w:t xml:space="preserve">BESS Capacity:          10 MWh / 2.5 MW</w:t>
      </w:r>
    </w:p>
    <w:p>
      <w:r>
        <w:t xml:space="preserve">Containers (BESS):      2 x Linyang Power Atlantic 5.015 MWh (20HC)</w:t>
      </w:r>
    </w:p>
    <w:p>
      <w:r>
        <w:t xml:space="preserve">MV Skid:                1 x T2 MV Skid (2 x BCS1250K = 2.5 MW, SL-2500)</w:t>
      </w:r>
    </w:p>
    <w:p>
      <w:r>
        <w:t xml:space="preserve">PCS:                    2 x Kehua BCS1250K-C-HUD = 2.5 MW</w:t>
      </w:r>
    </w:p>
    <w:p>
      <w:r>
        <w:t xml:space="preserve">Coastal Distance:       &gt;5 km (C5 enclosure — full 5-year warranty)</w:t>
      </w:r>
    </w:p>
    <w:p>
      <w:r>
        <w:t xml:space="preserve"/>
      </w:r>
    </w:p>
    <w:p>
      <w:r>
        <w:t xml:space="preserve">  Indicative Component A (Equipment CIF):    EUR 974,457.00</w:t>
      </w:r>
    </w:p>
    <w:p>
      <w:r>
        <w:t xml:space="preserve">  Indicative Component B (EPC Services):     EUR 231,843.00</w:t>
      </w:r>
    </w:p>
    <w:p>
      <w:r>
        <w:t xml:space="preserve">  INDICATIVE CONTRACT PRICE (A+B, ex VAT):   EUR 1,206,300.00</w:t>
      </w:r>
    </w:p>
    <w:p>
      <w:r>
        <w:t xml:space="preserve"/>
      </w:r>
    </w:p>
    <w:p>
      <w:r>
        <w:t xml:space="preserve">  APG (70% × Indicative Component A):        EUR 682,119.90</w:t>
      </w:r>
    </w:p>
    <w:p>
      <w:r>
        <w:t xml:space="preserve">  Performance Bond (5% × Component A):       EUR 48,722.85</w:t>
      </w:r>
    </w:p>
    <w:p>
      <w:r>
        <w:t xml:space="preserve">------------------------------------------------------------</w:t>
      </w:r>
    </w:p>
    <w:p>
      <w:r>
        <w:t xml:space="preserve"/>
      </w:r>
    </w:p>
    <w:p>
      <w:r>
        <w:t xml:space="preserve">============================================================</w:t>
      </w:r>
    </w:p>
    <w:p>
      <w:r>
        <w:t xml:space="preserve">PART 2 — COMBINED CONTRACT SUMMARY</w:t>
      </w:r>
    </w:p>
    <w:p>
      <w:r>
        <w:t xml:space="preserve">============================================================</w:t>
      </w:r>
    </w:p>
    <w:p>
      <w:r>
        <w:t xml:space="preserve"/>
      </w:r>
    </w:p>
    <w:p>
      <w:r>
        <w:t>TOTAL INDICATIVE CONTRACT PRICE (ex VAT):  EUR 3,444,300.00</w:t>
      </w:r>
    </w:p>
    <w:p>
      <w:r>
        <w:t xml:space="preserve"/>
      </w:r>
    </w:p>
    <w:p>
      <w:r>
        <w:t xml:space="preserve">PAYMENT MILESTONES (applied to Confirmed Contract Price):</w:t>
      </w:r>
    </w:p>
    <w:p>
      <w:r>
        <w:t xml:space="preserve">  Advance (30%):     EUR 1,033,290.00  — Within 30 days of payment trigger (§1A.3)</w:t>
      </w:r>
    </w:p>
    <w:p>
      <w:r>
        <w:t xml:space="preserve">  Pre-Ship (55%):    EUR 1,894,365.00  — On FAT + Linyang written confirmation</w:t>
      </w:r>
    </w:p>
    <w:p>
      <w:r>
        <w:t xml:space="preserve">  PAC (10%):         EUR 344,430.00  — System commissioned, grid-connected</w:t>
      </w:r>
    </w:p>
    <w:p>
      <w:r>
        <w:t xml:space="preserve">  Retention (5%):    EUR 172,215.00  — Released after 3-month DLP</w:t>
      </w:r>
    </w:p>
    <w:p>
      <w:r>
        <w:t xml:space="preserve">  TOTAL:             EUR 3,444,300.00</w:t>
      </w:r>
    </w:p>
    <w:p>
      <w:r>
        <w:t xml:space="preserve"/>
      </w:r>
    </w:p>
    <w:p>
      <w:r>
        <w:t xml:space="preserve">============================================================</w:t>
      </w:r>
    </w:p>
    <w:p>
      <w:r>
        <w:t xml:space="preserve">PART 3 — KEY DATES</w:t>
      </w:r>
    </w:p>
    <w:p>
      <w:r>
        <w:t xml:space="preserve">============================================================</w:t>
      </w:r>
    </w:p>
    <w:p>
      <w:r>
        <w:t xml:space="preserve"/>
      </w:r>
    </w:p>
    <w:p>
      <w:r>
        <w:t xml:space="preserve">Production Start:       Q2 2026</w:t>
      </w:r>
    </w:p>
    <w:p>
      <w:r>
        <w:t xml:space="preserve">Factory Acceptance:     Q3 2026</w:t>
      </w:r>
    </w:p>
    <w:p>
      <w:r>
        <w:t xml:space="preserve">CIF Limassol:           August / September 2026</w:t>
      </w:r>
    </w:p>
    <w:p>
      <w:r>
        <w:t xml:space="preserve">Target PAC Date:        31 January 2027</w:t>
      </w:r>
    </w:p>
    <w:p>
      <w:r>
        <w:t xml:space="preserve">Warranty Start:         On PAC</w:t>
      </w:r>
    </w:p>
    <w:p>
      <w:r>
        <w:t xml:space="preserve">Base Warranty End:      5 years from PAC (January 2032)</w:t>
      </w:r>
    </w:p>
    <w:p>
      <w:r>
        <w:t xml:space="preserve">DLP End:                3 months post-PAC (approx. April 2027)</w:t>
      </w:r>
    </w:p>
    <w:p>
      <w:r>
        <w:t xml:space="preserve">Retention Release:      On DLP expiry (approx. April 2027)</w:t>
      </w:r>
    </w:p>
    <w:p>
      <w:r>
        <w:t xml:space="preserve"/>
      </w:r>
    </w:p>
    <w:p>
      <w:r>
        <w:t xml:space="preserve">============================================================</w:t>
      </w:r>
    </w:p>
    <w:p>
      <w:r>
        <w:t xml:space="preserve">PART 4 — PRICE BASIS REFERENCE (per Section 6.1)</w:t>
      </w:r>
    </w:p>
    <w:p>
      <w:r>
        <w:t xml:space="preserve">============================================================</w:t>
      </w:r>
    </w:p>
    <w:p>
      <w:r>
        <w:t xml:space="preserve"/>
      </w:r>
    </w:p>
    <w:p>
      <w:r>
        <w:t xml:space="preserve">Quotation Source:       Linyang Quotation LY202601271 (January 2026)</w:t>
      </w:r>
    </w:p>
    <w:p>
      <w:r>
        <w:t xml:space="preserve">Lithium Carbonate Index: 155,000 CNY/tonne (Mysteel China battery-grade spot, January 2026 monthly average)</w:t>
      </w:r>
    </w:p>
    <w:p>
      <w:r>
        <w:t xml:space="preserve">EUR/CNY Reference:      8.18 CNY per EUR (January 2026 average)</w:t>
      </w:r>
    </w:p>
    <w:p>
      <w:r>
        <w:t xml:space="preserve">Reference Date:         January 2026</w:t>
      </w:r>
    </w:p>
    <w:p>
      <w:r>
        <w:t xml:space="preserve"/>
      </w:r>
    </w:p>
    <w:p>
      <w:r>
        <w:t xml:space="preserve">Adjustment Triggers (per §6.1(c)):</w:t>
      </w:r>
    </w:p>
    <w:p>
      <w:r>
        <w:t xml:space="preserve">  • Lithium carbonate index movement &gt; 10% from reference value, OR</w:t>
      </w:r>
    </w:p>
    <w:p>
      <w:r>
        <w:t xml:space="preserve">  • EUR/CNY rate movement &gt; 8% from reference value, OR</w:t>
      </w:r>
    </w:p>
    <w:p>
      <w:r>
        <w:t xml:space="preserve">  • Configuration change requested by Client</w:t>
      </w:r>
    </w:p>
    <w:p>
      <w:r>
        <w:t xml:space="preserve"/>
      </w:r>
    </w:p>
    <w:p>
      <w:r>
        <w:t xml:space="preserve">Adjustment Cap: 5% of Indicative Contract Price (§6.1(d))</w:t>
      </w:r>
    </w:p>
    <w:p>
      <w:r>
        <w:t xml:space="preserve">Walk-away Right: Either Party may terminate without penalty if adjustment &gt; 5%</w:t>
      </w:r>
    </w:p>
    <w:p>
      <w:r>
        <w:t xml:space="preserve"/>
      </w:r>
    </w:p>
    <w:p>
      <w:r>
        <w:t xml:space="preserve">============================================================</w:t>
      </w:r>
    </w:p>
    <w:p>
      <w:r>
        <w:t xml:space="preserve">PART 5 — BESS TECHNICAL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60870-5-104</w:t>
      </w:r>
    </w:p>
    <w:p>
      <w:r>
        <w:t xml:space="preserve"/>
      </w:r>
    </w:p>
    <w:p>
      <w:r>
        <w:t xml:space="preserve">PCS: Kehua BCS1250K-C-HUD (1.25 MW); ≥98% efficiency; EN 50549-2 (TÜV D 115067 0077)</w:t>
      </w:r>
    </w:p>
    <w:p>
      <w:r>
        <w:t xml:space="preserve">Incoterms: CIF Limassol, Cyprus (Incoterms 2020); Port of Shipment: Shanghai</w:t>
      </w:r>
    </w:p>
    <w:p>
      <w:r>
        <w:t xml:space="preserve"/>
      </w:r>
    </w:p>
    <w:p>
      <w:r>
        <w:t xml:space="preserve">============================================================</w:t>
      </w:r>
    </w:p>
    <w:p>
      <w:r>
        <w:t xml:space="preserve">PART 6 — COMPANION DOCUMENTS (executed simultaneously)</w:t>
      </w:r>
    </w:p>
    <w:p>
      <w:r>
        <w:t xml:space="preserve">============================================================</w:t>
      </w:r>
    </w:p>
    <w:p>
      <w:r>
        <w:t xml:space="preserve"/>
      </w:r>
    </w:p>
    <w:p>
      <w:r>
        <w:t xml:space="preserve">1. LTSA v4.0 (Ref: LCY-LTSA-GAL-2026)</w:t>
      </w:r>
    </w:p>
    <w:p>
      <w:r>
        <w:t xml:space="preserve">2. OEM Direct Warranty Undertaking — Schedule C (LCY-OEM-DWU-001, one per park)</w:t>
      </w:r>
    </w:p>
    <w:p>
      <w:r>
        <w:t xml:space="preserve">   Linyang contacts: Conor Yang / Kamil Tyburski / Tomasz Wieckowski</w:t>
      </w:r>
    </w:p>
    <w:p>
      <w:r>
        <w:t xml:space="preserve">3. EMS Subscription Addendum — DISPERON (EUR 400/MWh/yr from PAC)</w:t>
      </w:r>
    </w:p>
    <w:p>
      <w:r>
        <w:t xml:space="preserve">4. APG from Linyang (CP: received before advance payment)</w:t>
      </w:r>
    </w:p>
    <w:p>
      <w:r>
        <w:t xml:space="preserve">5. Performance Bond from Linyang (5% Component A, valid to DLP end)</w:t>
      </w:r>
    </w:p>
    <w:p>
      <w:r>
        <w:t xml:space="preserve">6. Confirmed Price Certificate (issued within 14 days of Connection Terms receipt)</w:t>
      </w:r>
    </w:p>
    <w:p>
      <w:pPr>
        <w:spacing w:before="320"/>
      </w:pPr>
      <w:r>
        <w:rPr>
          <w:b/>
          <w:color w:val="1A365D"/>
          <w:sz w:val="24"/>
        </w:rPr>
        <w:t>SCHEDULE B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simultaneously with this Agreement.]</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Galascope Ltd (“Client”):</w:t>
      </w:r>
    </w:p>
    <w:p>
      <w:r>
        <w:rPr>
          <w:b w:val="0"/>
          <w:sz w:val="20"/>
        </w:rPr>
      </w:r>
    </w:p>
    <w:p>
      <w:r>
        <w:t xml:space="preserve">Name:   Ntinos Konstantinos</w:t>
      </w:r>
    </w:p>
    <w:p>
      <w:r>
        <w:t xml:space="preserve">Title:   Director</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