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365D"/>
          <w:sz w:val="28"/>
        </w:rPr>
        <w:t>LIGHTHIEF CYPRUS LTD</w:t>
      </w:r>
    </w:p>
    <w:p>
      <w:pPr>
        <w:jc w:val="center"/>
      </w:pPr>
      <w:r>
        <w:rPr>
          <w:b/>
          <w:color w:val="1A365D"/>
          <w:sz w:val="24"/>
        </w:rPr>
        <w:t>Redline Summary — Sales Contract 17 March 2026</w:t>
      </w:r>
    </w:p>
    <w:p>
      <w:pPr>
        <w:jc w:val="center"/>
      </w:pPr>
      <w:r>
        <w:rPr>
          <w:color w:val="718096"/>
          <w:sz w:val="18"/>
        </w:rPr>
        <w:t>7 amendments to the Linyang Sales Contract dated 17.03.2026</w:t>
        <w:br/>
        <w:t>No commercial terms changed — payment, warranty, LDs, governing law unchanged</w:t>
      </w:r>
    </w:p>
    <w:p/>
    <w:p>
      <w:r>
        <w:rPr>
          <w:b/>
          <w:sz w:val="18"/>
        </w:rPr>
        <w:t>Legend:</w:t>
      </w:r>
    </w:p>
    <w:p>
      <w:r>
        <w:rPr>
          <w:b w:val="0"/>
          <w:color w:val="999999"/>
          <w:sz w:val="18"/>
        </w:rPr>
        <w:t>Strikethrough grey = original text removed</w:t>
      </w:r>
    </w:p>
    <w:p>
      <w:r>
        <w:rPr>
          <w:b w:val="0"/>
          <w:color w:val="CC0000"/>
          <w:sz w:val="20"/>
        </w:rPr>
        <w:t>Red text = proposed new text</w:t>
      </w:r>
    </w:p>
    <w:p>
      <w:r>
        <w:rPr>
          <w:b/>
          <w:color w:val="006600"/>
          <w:sz w:val="18"/>
        </w:rPr>
        <w:t xml:space="preserve">Rationale: </w:t>
      </w:r>
      <w:r>
        <w:rPr>
          <w:color w:val="006600"/>
          <w:sz w:val="18"/>
        </w:rPr>
        <w:t>Green text = rationale for the change</w:t>
      </w:r>
    </w:p>
    <w:p/>
    <w:p>
      <w:pPr>
        <w:pStyle w:val="Heading2"/>
      </w:pPr>
      <w:r>
        <w:rPr>
          <w:color w:val="1A365D"/>
        </w:rPr>
        <w:t>1. Section 1A.1 — Distribution Agreement Date</w:t>
      </w:r>
    </w:p>
    <w:p>
      <w:r>
        <w:rPr>
          <w:strike/>
          <w:color w:val="999999"/>
          <w:sz w:val="18"/>
        </w:rPr>
        <w:t>1A.1 Subordination to Distribution Agreement: This Sales Contract is entered into pursuant to, and shall be governed by the terms of, the Distribution Agreement between the Parties (and/or their Affiliates) dated November 28, 2025 ("Distribution Agreement").</w:t>
      </w:r>
    </w:p>
    <w:p>
      <w:r>
        <w:rPr>
          <w:b w:val="0"/>
          <w:color w:val="CC0000"/>
          <w:sz w:val="20"/>
        </w:rPr>
        <w:t>1A.1 Subordination to Distribution Agreement: This Sales Contract is entered into pursuant to, and shall be governed by the terms of, the Distribution Agreement between the Parties (and/or their Affiliates) dated [22 February 2026] ("Distribution Agreement").</w:t>
      </w:r>
    </w:p>
    <w:p>
      <w:r>
        <w:rPr>
          <w:b/>
          <w:color w:val="006600"/>
          <w:sz w:val="18"/>
        </w:rPr>
        <w:t xml:space="preserve">Rationale: </w:t>
      </w:r>
      <w:r>
        <w:rPr>
          <w:color w:val="006600"/>
          <w:sz w:val="18"/>
        </w:rPr>
        <w:t>The Distribution Agreement was re-executed/amended in February 2026. The date must match the executed version to ensure the subordination chain is legally valid.</w:t>
      </w:r>
    </w:p>
    <w:p>
      <w:r>
        <w:rPr>
          <w:color w:val="CCCCCC"/>
          <w:sz w:val="16"/>
        </w:rPr>
        <w:t>────────────────────────────────────────────────────────────────────────────────</w:t>
      </w:r>
    </w:p>
    <w:p>
      <w:pPr>
        <w:pStyle w:val="Heading2"/>
      </w:pPr>
      <w:r>
        <w:rPr>
          <w:color w:val="1A365D"/>
        </w:rPr>
        <w:t>2. Article 1 — Framework Agreement Structure</w:t>
      </w:r>
    </w:p>
    <w:p>
      <w:r>
        <w:rPr>
          <w:strike/>
          <w:color w:val="999999"/>
          <w:sz w:val="18"/>
        </w:rPr>
        <w:t>Name of Commodity, Specifications, Quantity</w:t>
        <w:br/>
        <w:t>The commodities stipulated in this article 1 are referred to as "Commodities".</w:t>
      </w:r>
    </w:p>
    <w:p>
      <w:r>
        <w:rPr>
          <w:b w:val="0"/>
          <w:color w:val="CC0000"/>
          <w:sz w:val="20"/>
        </w:rPr>
        <w:t>Article 1 — Commodities and Purchase Orders</w:t>
      </w:r>
    </w:p>
    <w:p>
      <w:r>
        <w:rPr>
          <w:b w:val="0"/>
          <w:color w:val="CC0000"/>
          <w:sz w:val="20"/>
        </w:rPr>
        <w:t>The commodities stipulated in this Contract are referred to as "Commodities". This Contract establishes the general terms and conditions under which the Buyer may place individual Purchase Orders ("PO") for Commodities. No minimum quantity commitment is made under this Contract.</w:t>
      </w:r>
    </w:p>
    <w:p>
      <w:r>
        <w:rPr>
          <w:b w:val="0"/>
          <w:color w:val="CC0000"/>
          <w:sz w:val="20"/>
        </w:rPr>
        <w:t>Each Purchase Order shall:</w:t>
        <w:br/>
        <w:t>(a) reference this Contract by number;</w:t>
        <w:br/>
        <w:t>(b) specify the Commodities, quantities, system configuration, and site location(s);</w:t>
        <w:br/>
        <w:t>(c) reference the applicable Quotation and its pricing;</w:t>
        <w:br/>
        <w:t>(d) include a Payment and Delivery Date Plan per Article 6;</w:t>
        <w:br/>
        <w:t>(e) confirm coastal distance for warranty purposes (per Section 8A);</w:t>
        <w:br/>
        <w:t>(f) be accompanied by evidence of a signed end-customer EPC contract for the relevant park(s).</w:t>
      </w:r>
    </w:p>
    <w:p>
      <w:r>
        <w:rPr>
          <w:b w:val="0"/>
          <w:color w:val="CC0000"/>
          <w:sz w:val="20"/>
        </w:rPr>
        <w:t>A Purchase Order becomes binding upon written acceptance by the Seller. The Seller shall confirm acceptance or rejection within five (5) Business Days of receipt.</w:t>
      </w:r>
    </w:p>
    <w:p>
      <w:r>
        <w:rPr>
          <w:b w:val="0"/>
          <w:color w:val="CC0000"/>
          <w:sz w:val="20"/>
        </w:rPr>
        <w:t>The Buyer may group multiple parks into a single Purchase Order for production efficiency, provided each park is individually identified with its site details and Quotation reference.</w:t>
      </w:r>
    </w:p>
    <w:p>
      <w:r>
        <w:rPr>
          <w:b/>
          <w:color w:val="006600"/>
          <w:sz w:val="18"/>
        </w:rPr>
        <w:t xml:space="preserve">Rationale: </w:t>
      </w:r>
      <w:r>
        <w:rPr>
          <w:color w:val="006600"/>
          <w:sz w:val="18"/>
        </w:rPr>
        <w:t>Lighthief signs individual EPC contracts with each end-customer. A framework structure ensures Lighthief only commits to purchasing equipment for parks where a funded client contract exists, avoiding exposure if a client withdraws. This also aligns with §9B.5(b) which already references "funded end-customer contracts supporting each Purchase Order." No change to pricing or payment terms.</w:t>
      </w:r>
    </w:p>
    <w:p>
      <w:r>
        <w:rPr>
          <w:color w:val="CCCCCC"/>
          <w:sz w:val="16"/>
        </w:rPr>
        <w:t>────────────────────────────────────────────────────────────────────────────────</w:t>
      </w:r>
    </w:p>
    <w:p>
      <w:pPr>
        <w:pStyle w:val="Heading2"/>
      </w:pPr>
      <w:r>
        <w:rPr>
          <w:color w:val="1A365D"/>
        </w:rPr>
        <w:t>3. Article 4 — Shipment Plan Reference</w:t>
      </w:r>
    </w:p>
    <w:p>
      <w:r>
        <w:rPr>
          <w:strike/>
          <w:color w:val="999999"/>
          <w:sz w:val="18"/>
        </w:rPr>
        <w:t>Shipment of Commodities shall be according to the attached shipment plan. (referred to the Attachment).</w:t>
      </w:r>
    </w:p>
    <w:p>
      <w:r>
        <w:rPr>
          <w:b w:val="0"/>
          <w:color w:val="CC0000"/>
          <w:sz w:val="20"/>
        </w:rPr>
        <w:t>Shipment of Commodities shall be according to the shipment plan specified in each Purchase Order.</w:t>
      </w:r>
    </w:p>
    <w:p>
      <w:r>
        <w:rPr>
          <w:b/>
          <w:color w:val="006600"/>
          <w:sz w:val="18"/>
        </w:rPr>
        <w:t xml:space="preserve">Rationale: </w:t>
      </w:r>
      <w:r>
        <w:rPr>
          <w:color w:val="006600"/>
          <w:sz w:val="18"/>
        </w:rPr>
        <w:t>Consequential to Article 1. Each PO carries its own delivery schedule rather than a single attachment.</w:t>
      </w:r>
    </w:p>
    <w:p>
      <w:r>
        <w:rPr>
          <w:color w:val="CCCCCC"/>
          <w:sz w:val="16"/>
        </w:rPr>
        <w:t>────────────────────────────────────────────────────────────────────────────────</w:t>
      </w:r>
    </w:p>
    <w:p>
      <w:pPr>
        <w:pStyle w:val="Heading2"/>
      </w:pPr>
      <w:r>
        <w:rPr>
          <w:color w:val="1A365D"/>
        </w:rPr>
        <w:t>4. New Section 5.7 — Return Freight for Non-Conforming Goods</w:t>
      </w:r>
    </w:p>
    <w:p>
      <w:r>
        <w:rPr>
          <w:b/>
          <w:sz w:val="18"/>
        </w:rPr>
        <w:t>After existing §5.6, insert new §5.7:</w:t>
      </w:r>
    </w:p>
    <w:p>
      <w:r>
        <w:rPr>
          <w:b w:val="0"/>
          <w:color w:val="CC0000"/>
          <w:sz w:val="20"/>
        </w:rPr>
        <w:t>5.7 Where Commodities are returned to the Seller due to defects confirmed as manufacturing faults or non-conformance with the specifications in the applicable Quotation, the freight and logistics costs of return shipping (CIF Limassol to Seller's facility) shall be borne by the Seller. For all other returns, freight costs shall be borne by the Buyer.</w:t>
      </w:r>
    </w:p>
    <w:p>
      <w:r>
        <w:rPr>
          <w:b/>
          <w:color w:val="006600"/>
          <w:sz w:val="18"/>
        </w:rPr>
        <w:t xml:space="preserve">Rationale: </w:t>
      </w:r>
      <w:r>
        <w:rPr>
          <w:color w:val="006600"/>
          <w:sz w:val="18"/>
        </w:rPr>
        <w:t>Per Linyang's Notes on the Cyprus Sales Contract (§3.1), Linyang proposed that return freight be borne by the Buyer. This is not acceptable for Seller defects. The proposed clause allocates cost fairly: Seller pays for Seller defects, Buyer pays for Buyer-initiated returns.</w:t>
      </w:r>
    </w:p>
    <w:p>
      <w:r>
        <w:rPr>
          <w:color w:val="CCCCCC"/>
          <w:sz w:val="16"/>
        </w:rPr>
        <w:t>────────────────────────────────────────────────────────────────────────────────</w:t>
      </w:r>
    </w:p>
    <w:p>
      <w:pPr>
        <w:pStyle w:val="Heading2"/>
      </w:pPr>
      <w:r>
        <w:rPr>
          <w:color w:val="1A365D"/>
        </w:rPr>
        <w:t>5. Section 14 (Force Majeure) — Delete Conflicting Clauses</w:t>
      </w:r>
    </w:p>
    <w:p>
      <w:r>
        <w:rPr>
          <w:b/>
          <w:sz w:val="18"/>
        </w:rPr>
        <w:t>5a. Delete 90-day negotiation clause:</w:t>
      </w:r>
    </w:p>
    <w:p>
      <w:r>
        <w:rPr>
          <w:strike/>
          <w:color w:val="999999"/>
          <w:sz w:val="18"/>
        </w:rPr>
        <w:t>If a Force Majeure event affecting the Seller's delivery obligations continues for a period exceeding ninety (90) days, the Parties shall negotiate separately in good faith on the further performance of the Contract. Force Majeure shall not include normal commercial risks, including factory scheduling, routine material procurement, or internal production delays not caused by external events.</w:t>
      </w:r>
    </w:p>
    <w:p>
      <w:r>
        <w:rPr>
          <w:b w:val="0"/>
          <w:color w:val="CC0000"/>
          <w:sz w:val="20"/>
        </w:rPr>
        <w:t>[DELETED]</w:t>
      </w:r>
    </w:p>
    <w:p>
      <w:r>
        <w:rPr>
          <w:b/>
          <w:color w:val="006600"/>
          <w:sz w:val="18"/>
        </w:rPr>
        <w:t xml:space="preserve">Rationale: </w:t>
      </w:r>
      <w:r>
        <w:rPr>
          <w:color w:val="006600"/>
          <w:sz w:val="18"/>
        </w:rPr>
        <w:t>This clause conflicts with the 60-day Buyer cure right (paras 309-311). Having two mechanisms (60-day cancellation AND 90-day negotiation) creates ambiguity. The 60-day mechanism with documented cost evidence is the sole operative provision.</w:t>
      </w:r>
    </w:p>
    <w:p/>
    <w:p>
      <w:r>
        <w:rPr>
          <w:b/>
          <w:sz w:val="18"/>
        </w:rPr>
        <w:t>5b. Delete "not commercially feasible" paragraph:</w:t>
      </w:r>
    </w:p>
    <w:p>
      <w:r>
        <w:rPr>
          <w:strike/>
          <w:color w:val="999999"/>
          <w:sz w:val="18"/>
        </w:rPr>
        <w:t>Parties mutually agree that the Seller may commence procurement and production preparation before receiving the advance payment. By the time such event continues for 60 or 90 days, production is generally substantially completed, and the actual costs already incurred may already exceed the 30% advance payment. Therefore, a deposit return mechanism would not be commercially feasible under such circumstances. For this reason, Parties shall negotiate separately deposit return mechanism.</w:t>
      </w:r>
    </w:p>
    <w:p>
      <w:r>
        <w:rPr>
          <w:b w:val="0"/>
          <w:color w:val="CC0000"/>
          <w:sz w:val="20"/>
        </w:rPr>
        <w:t>[DELETED]</w:t>
      </w:r>
    </w:p>
    <w:p>
      <w:r>
        <w:rPr>
          <w:b/>
          <w:color w:val="006600"/>
          <w:sz w:val="18"/>
        </w:rPr>
        <w:t xml:space="preserve">Rationale: </w:t>
      </w:r>
      <w:r>
        <w:rPr>
          <w:color w:val="006600"/>
          <w:sz w:val="18"/>
        </w:rPr>
        <w:t>This paragraph undermines the Buyer's 60-day cure right by suggesting deposit return is not feasible. The 60-day mechanism already protects the Seller through the "less documented non-recoverable costs" deduction with 14-day evidence requirement.</w:t>
      </w:r>
    </w:p>
    <w:p>
      <w:r>
        <w:rPr>
          <w:color w:val="CCCCCC"/>
          <w:sz w:val="16"/>
        </w:rPr>
        <w:t>────────────────────────────────────────────────────────────────────────────────</w:t>
      </w:r>
    </w:p>
    <w:p>
      <w:pPr>
        <w:pStyle w:val="Heading2"/>
      </w:pPr>
      <w:r>
        <w:rPr>
          <w:color w:val="1A365D"/>
        </w:rPr>
        <w:t>6. Section 14 — Deposit Percentage Correction</w:t>
      </w:r>
    </w:p>
    <w:p>
      <w:r>
        <w:rPr>
          <w:strike/>
          <w:color w:val="999999"/>
          <w:sz w:val="18"/>
        </w:rPr>
        <w:t>(b) Upon such cancellation, the Seller shall refund the Buyer's advance payment (30% deposit) within thirty (30) days, less any documented costs for materials already procured and non-recoverable.</w:t>
      </w:r>
    </w:p>
    <w:p>
      <w:r>
        <w:rPr>
          <w:b w:val="0"/>
          <w:color w:val="CC0000"/>
          <w:sz w:val="20"/>
        </w:rPr>
        <w:t>(b) Upon such cancellation, the Seller shall refund the Buyer's advance payment (20% deposit) within thirty (30) days, less any documented costs for materials already procured and non-recoverable.</w:t>
      </w:r>
    </w:p>
    <w:p>
      <w:r>
        <w:rPr>
          <w:b/>
          <w:color w:val="006600"/>
          <w:sz w:val="18"/>
        </w:rPr>
        <w:t xml:space="preserve">Rationale: </w:t>
      </w:r>
      <w:r>
        <w:rPr>
          <w:color w:val="006600"/>
          <w:sz w:val="18"/>
        </w:rPr>
        <w:t>Drafting correction. The advance payment is 20% per Article 6(a), not 30%.</w:t>
      </w:r>
    </w:p>
    <w:p>
      <w:r>
        <w:rPr>
          <w:color w:val="CCCCCC"/>
          <w:sz w:val="16"/>
        </w:rPr>
        <w:t>────────────────────────────────────────────────────────────────────────────────</w:t>
      </w:r>
    </w:p>
    <w:p>
      <w:pPr>
        <w:pStyle w:val="Heading2"/>
      </w:pPr>
      <w:r>
        <w:rPr>
          <w:color w:val="1A365D"/>
        </w:rPr>
        <w:t>7. Attachment — Purchase Order Template (Annex A)</w:t>
      </w:r>
    </w:p>
    <w:p>
      <w:r>
        <w:rPr>
          <w:strike/>
          <w:color w:val="999999"/>
          <w:sz w:val="18"/>
        </w:rPr>
        <w:t>Attachment: Payment and Delivery Date Plan</w:t>
        <w:br/>
        <w:t>Payment: [blank]</w:t>
      </w:r>
    </w:p>
    <w:p>
      <w:r>
        <w:rPr>
          <w:b w:val="0"/>
          <w:color w:val="CC0000"/>
          <w:sz w:val="20"/>
        </w:rPr>
        <w:t>The fixed Attachment is replaced by Annex A — Purchase Order Template. Each Purchase Order placed under this Contract shall contain:</w:t>
      </w:r>
    </w:p>
    <w:p>
      <w:r>
        <w:rPr>
          <w:b w:val="0"/>
          <w:color w:val="CC0000"/>
          <w:sz w:val="20"/>
        </w:rPr>
        <w:t>1. PO Number, Date, Contract Reference, Quotation Reference</w:t>
        <w:br/>
        <w:t>2. Commodities: Park name(s), end-customer, district, MW, MWh, container count, MV skid config, PCS units, coastal distance</w:t>
        <w:br/>
        <w:t>3. Pricing: CIF price per Quotation, Incoterms CIF Limassol</w:t>
        <w:br/>
        <w:t>4. Payment Plan: 20% advance, 50% pre-shipment, 20% DAP, 10% SAT/PAC — exact amounts</w:t>
        <w:br/>
        <w:t>5. Delivery Schedule: production start, FAT, ship, CIF arrival, target PAC</w:t>
        <w:br/>
        <w:t>6. End-Customer Contract Evidence: signed EPC or LOI attached</w:t>
        <w:br/>
        <w:t>7. APG Requirement: 100% of advance amount, per §9B.4</w:t>
      </w:r>
    </w:p>
    <w:p>
      <w:r>
        <w:rPr>
          <w:b/>
          <w:color w:val="006600"/>
          <w:sz w:val="18"/>
        </w:rPr>
        <w:t xml:space="preserve">Rationale: </w:t>
      </w:r>
      <w:r>
        <w:rPr>
          <w:color w:val="006600"/>
          <w:sz w:val="18"/>
        </w:rPr>
        <w:t>Consequential to Article 1 framework structure. Replaces the blank attachment with a structured PO template that ensures each order is backed by a client contract.</w:t>
      </w:r>
    </w:p>
    <w:p/>
    <w:p/>
    <w:p>
      <w:pPr>
        <w:jc w:val="left"/>
      </w:pPr>
      <w:r>
        <w:rPr>
          <w:b/>
          <w:sz w:val="20"/>
        </w:rPr>
        <w:t>Submitted by:</w:t>
      </w:r>
    </w:p>
    <w:p/>
    <w:p>
      <w:r>
        <w:rPr>
          <w:b w:val="0"/>
          <w:sz w:val="20"/>
        </w:rPr>
        <w:t>Alexander Papacosta</w:t>
        <w:br/>
        <w:t>Director — Lighthief Cyprus Ltd</w:t>
        <w:br/>
        <w:t>Date: 17 March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