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ny"/>
        <w:jc w:val="center"/>
      </w:pPr>
      <w:r>
        <w:rPr>
          <w:rFonts w:ascii="Times New Roman" w:hAnsi="Times New Roman"/>
          <w:b/>
          <w:color w:val="000000"/>
          <w:sz w:val="28"/>
        </w:rPr>
        <w:t>Sales Contract</w:t>
      </w:r>
    </w:p>
    <w:p>
      <w:pPr>
        <w:pStyle w:val="Normalny"/>
      </w:pPr>
      <w:r>
        <w:rPr>
          <w:rFonts w:ascii="Times New Roman" w:hAnsi="Times New Roman"/>
          <w:color w:val="000000"/>
        </w:rPr>
        <w:t xml:space="preserve">Sales Contact number: </w:t>
      </w:r>
      <w:r>
        <w:rPr>
          <w:rFonts w:ascii="Times New Roman" w:hAnsi="Times New Roman"/>
          <w:b/>
          <w:color w:val="000000"/>
        </w:rPr>
        <w:t>………</w:t>
      </w:r>
    </w:p>
    <w:p>
      <w:pPr>
        <w:pStyle w:val="Normalny"/>
      </w:pPr>
      <w:r>
        <w:rPr>
          <w:rFonts w:ascii="Times New Roman" w:hAnsi="Times New Roman"/>
          <w:color w:val="000000"/>
        </w:rPr>
        <w:t xml:space="preserve">Purchase Order Number: </w:t>
      </w:r>
      <w:r>
        <w:rPr>
          <w:rFonts w:ascii="Times New Roman" w:hAnsi="Times New Roman"/>
          <w:b/>
          <w:color w:val="000000"/>
        </w:rPr>
        <w:t>………</w:t>
      </w:r>
    </w:p>
    <w:p>
      <w:pPr>
        <w:pStyle w:val="Normalny"/>
      </w:pPr>
      <w:r>
        <w:rPr>
          <w:rFonts w:ascii="Times New Roman" w:hAnsi="Times New Roman"/>
          <w:color w:val="000000"/>
        </w:rPr>
        <w:t xml:space="preserve">                   </w:t>
      </w:r>
    </w:p>
    <w:p>
      <w:pPr>
        <w:pStyle w:val="Normalny"/>
      </w:pPr>
      <w:r>
        <w:rPr>
          <w:rFonts w:ascii="Times New Roman" w:hAnsi="Times New Roman"/>
          <w:color w:val="000000"/>
        </w:rPr>
        <w:t>This Sales Contract (hereinafter referred to as the “Contract”) is made by and between the following Parties on</w:t>
      </w:r>
      <w:r>
        <w:rPr>
          <w:rFonts w:ascii="Times New Roman" w:hAnsi="Times New Roman"/>
          <w:color w:val="000000"/>
        </w:rPr>
        <w:t xml:space="preserve"> </w:t>
      </w:r>
      <w:r>
        <w:rPr>
          <w:rFonts w:ascii="Times New Roman" w:hAnsi="Times New Roman"/>
          <w:b/>
          <w:color w:val="000000"/>
        </w:rPr>
        <w:t>….</w:t>
      </w:r>
      <w:r>
        <w:rPr>
          <w:rFonts w:ascii="Times New Roman" w:hAnsi="Times New Roman"/>
          <w:color w:val="000000"/>
        </w:rPr>
        <w:t xml:space="preserve"> on the basis of equality and mutual benefit to develop business on terms and conditions mutually agreed upon as follows: </w:t>
      </w:r>
    </w:p>
    <w:p>
      <w:pPr>
        <w:pStyle w:val="Normalny"/>
      </w:pPr>
      <w:r>
        <w:rPr>
          <w:rFonts w:ascii="Times New Roman" w:hAnsi="Times New Roman"/>
          <w:color w:val="000000"/>
        </w:rPr>
        <w:t xml:space="preserve">The Parties concerned:                                  </w:t>
      </w:r>
    </w:p>
    <w:p>
      <w:pPr>
        <w:pStyle w:val="Normalny"/>
        <w:jc w:val="left"/>
      </w:pPr>
      <w:r>
        <w:rPr>
          <w:rFonts w:ascii="Times New Roman" w:hAnsi="Times New Roman"/>
          <w:b/>
          <w:color w:val="000000"/>
        </w:rPr>
        <w:t>SELLER</w:t>
      </w:r>
      <w:r>
        <w:rPr>
          <w:rFonts w:ascii="Times New Roman" w:hAnsi="Times New Roman"/>
          <w:color w:val="000000"/>
        </w:rPr>
        <w:t xml:space="preserve">: </w:t>
      </w:r>
    </w:p>
    <w:p>
      <w:pPr>
        <w:pStyle w:val="Normalny"/>
        <w:jc w:val="left"/>
      </w:pPr>
      <w:r>
        <w:rPr>
          <w:rFonts w:ascii="Times New Roman Bold" w:hAnsi="Times New Roman Bold"/>
          <w:b/>
          <w:color w:val="000000"/>
          <w:sz w:val="22"/>
        </w:rPr>
        <w:t>SELLER: Jiangsu Linyang Energy Storage Technology Co., Ltd</w:t>
      </w:r>
    </w:p>
    <w:p>
      <w:pPr>
        <w:pStyle w:val="Normalny"/>
        <w:jc w:val="left"/>
      </w:pPr>
      <w:r>
        <w:rPr>
          <w:rFonts w:ascii="Times New Roman Bold" w:hAnsi="Times New Roman Bold"/>
          <w:b/>
          <w:color w:val="000000"/>
          <w:sz w:val="22"/>
        </w:rPr>
        <w:t>Address: No. 1 Building, International R&amp;D Headquarters Park, Xincheng Science and Technology Park, 68 Aoti Street, Jianye District, Nanjing City, Jiangsu Province, China</w:t>
      </w:r>
    </w:p>
    <w:p>
      <w:pPr>
        <w:pStyle w:val="Normalny"/>
        <w:jc w:val="left"/>
      </w:pPr>
    </w:p>
    <w:p>
      <w:pPr>
        <w:pStyle w:val="Normalny"/>
        <w:jc w:val="left"/>
      </w:pPr>
    </w:p>
    <w:p>
      <w:pPr>
        <w:pStyle w:val="Normalny"/>
        <w:jc w:val="left"/>
      </w:pPr>
    </w:p>
    <w:p>
      <w:pPr>
        <w:pStyle w:val="Normalny"/>
        <w:jc w:val="left"/>
      </w:pPr>
    </w:p>
    <w:p>
      <w:pPr>
        <w:pStyle w:val="Normalny"/>
        <w:jc w:val="left"/>
      </w:pPr>
      <w:r>
        <w:rPr>
          <w:rFonts w:ascii="Times New Roman" w:hAnsi="Times New Roman"/>
          <w:b/>
          <w:color w:val="000000"/>
        </w:rPr>
        <w:t>BUYER</w:t>
      </w:r>
      <w:r>
        <w:rPr>
          <w:rFonts w:ascii="Times New Roman" w:hAnsi="Times New Roman"/>
          <w:color w:val="000000"/>
        </w:rPr>
        <w:t>:</w:t>
      </w:r>
      <w:r>
        <w:rPr>
          <w:rFonts w:ascii="Times New Roman Bold" w:hAnsi="Times New Roman Bold"/>
          <w:b/>
          <w:color w:val="000000"/>
          <w:sz w:val="22"/>
        </w:rPr>
        <w:t>Lighthief Cyprus Ltd</w:t>
      </w:r>
      <w:r>
        <w:rPr>
          <w:rFonts w:ascii="Times New Roman Bold" w:hAnsi="Times New Roman Bold"/>
          <w:b/>
          <w:color w:val="000000"/>
          <w:sz w:val="22"/>
        </w:rPr>
        <w:br/>
      </w:r>
      <w:r>
        <w:rPr>
          <w:rFonts w:ascii="Times New Roman Bold" w:hAnsi="Times New Roman Bold"/>
          <w:b/>
          <w:i/>
          <w:color w:val="000000"/>
          <w:sz w:val="22"/>
        </w:rPr>
        <w:t>28 October Avenue 249, Lophitis Business Center 1, Office 201, 3035 Limassol, Cyprus</w:t>
      </w:r>
      <w:r>
        <w:rPr>
          <w:rFonts w:ascii="Times New Roman Bold" w:hAnsi="Times New Roman Bold"/>
          <w:b/>
          <w:i/>
          <w:color w:val="000000"/>
          <w:sz w:val="22"/>
        </w:rPr>
        <w:br/>
      </w:r>
      <w:r>
        <w:rPr>
          <w:rFonts w:ascii="Times New Roman Bold" w:hAnsi="Times New Roman Bold"/>
          <w:b/>
          <w:i/>
          <w:color w:val="000000"/>
          <w:sz w:val="22"/>
        </w:rPr>
        <w:t>Registered Office: Agiou Andreou 241, AG TRIAS COURT, Flat/Office 31, 3036 Limassol</w:t>
      </w:r>
    </w:p>
    <w:p>
      <w:pPr>
        <w:pStyle w:val="Normalny"/>
        <w:jc w:val="left"/>
      </w:pPr>
      <w:r>
        <w:rPr>
          <w:rFonts w:ascii="Times New Roman Bold" w:hAnsi="Times New Roman Bold"/>
          <w:b/>
          <w:color w:val="000000"/>
          <w:sz w:val="22"/>
        </w:rPr>
        <w:t>NIP</w:t>
      </w:r>
      <w:r>
        <w:rPr>
          <w:rFonts w:ascii="Times New Roman Bold" w:hAnsi="Times New Roman Bold"/>
          <w:b/>
          <w:color w:val="000000"/>
          <w:sz w:val="22"/>
        </w:rPr>
        <w:t>:</w:t>
      </w:r>
      <w:r>
        <w:rPr>
          <w:rFonts w:ascii="Courier New" w:hAnsi="Courier New"/>
          <w:i/>
          <w:color w:val="228B22"/>
          <w:sz w:val="27"/>
        </w:rPr>
        <w:t xml:space="preserve"> </w:t>
      </w:r>
      <w:r>
        <w:rPr>
          <w:rFonts w:ascii="Times New Roman Bold" w:hAnsi="Times New Roman Bold"/>
          <w:b/>
          <w:i/>
          <w:color w:val="000000"/>
          <w:sz w:val="22"/>
        </w:rPr>
        <w:t>60187188Q</w:t>
      </w:r>
    </w:p>
    <w:p>
      <w:pPr>
        <w:pStyle w:val="Normalny"/>
        <w:jc w:val="left"/>
      </w:pPr>
    </w:p>
    <w:p>
      <w:pPr>
        <w:pStyle w:val="Normalny"/>
      </w:pPr>
      <w:r>
        <w:rPr>
          <w:rFonts w:ascii="Times New Roman" w:hAnsi="Times New Roman"/>
          <w:color w:val="000000"/>
        </w:rPr>
        <w:t>SELLER and BUYER hereinafter collectively referred to as the “Parties” or the “Party” respectively.</w:t>
      </w:r>
    </w:p>
    <w:p>
      <w:pPr>
        <w:pStyle w:val="Normalny"/>
      </w:pPr>
    </w:p>
    <w:p>
      <w:pPr>
        <w:pStyle w:val="Normalny"/>
      </w:pPr>
    </w:p>
    <w:p>
      <w:pPr>
        <w:pStyle w:val="Normalny"/>
      </w:pPr>
    </w:p>
    <w:p>
      <w:pPr>
        <w:pStyle w:val="Normalny"/>
      </w:pPr>
    </w:p>
    <w:p>
      <w:pPr>
        <w:pStyle w:val="Normalny"/>
      </w:pPr>
    </w:p>
    <w:p>
      <w:pPr>
        <w:pStyle w:val="Normalny"/>
      </w:pPr>
    </w:p>
    <w:p>
      <w:pPr>
        <w:pStyle w:val="Normalny"/>
      </w:pPr>
    </w:p>
    <w:p>
      <w:pPr>
        <w:pStyle w:val="Normalny"/>
      </w:pPr>
    </w:p>
    <w:p>
      <w:pPr>
        <w:pStyle w:val="Normalny"/>
      </w:pPr>
      <w:r>
        <w:rPr>
          <w:rFonts w:ascii="Times New Roman" w:hAnsi="Times New Roman"/>
          <w:b/>
          <w:color w:val="000000"/>
        </w:rPr>
        <w:t>1A – CONTRACTUAL CONTEXT</w:t>
      </w:r>
    </w:p>
    <w:p>
      <w:r>
        <w:rPr>
          <w:rFonts w:ascii="Calibri" w:hAnsi="Calibri"/>
          <w:b w:val="0"/>
          <w:sz w:val="20"/>
        </w:rPr>
        <w:t>1A.1 Subordination to Distribution Agreement: This Sales Contract is entered into pursuant to, and shall be governed by the terms of, the Distribution Agreement between the Parties (and/or their Affiliates) dated 22 February 2026 ("Distribution Agreement").</w:t>
      </w:r>
    </w:p>
    <w:p>
      <w:pPr>
        <w:pStyle w:val="Normalny"/>
      </w:pPr>
      <w:r>
        <w:rPr>
          <w:rFonts w:ascii="Times New Roman" w:hAnsi="Times New Roman"/>
          <w:color w:val="000000"/>
        </w:rPr>
        <w:t>1A.2 Conflict of Terms: In the event of any conflict or inconsistency between this Sales Contract and the Distribution Agreement regarding exclusivity, client protection, anti-circumvention, liability, penalty fees, or survival provisions, the Distribution Agreement shall prevail.</w:t>
      </w:r>
    </w:p>
    <w:p>
      <w:pPr>
        <w:pStyle w:val="Normalny"/>
      </w:pPr>
      <w:r>
        <w:rPr>
          <w:rFonts w:ascii="Times New Roman" w:hAnsi="Times New Roman"/>
          <w:color w:val="000000"/>
        </w:rPr>
        <w:t>1A.3 Affiliate Coverage: For the avoidance of doubt, references to the Seller in this Contract include Solarfun Renewable Energy Poland sp. z o.o., Jiangsu Linyang Energy Storage Technology Co., Ltd, and their respective Affiliates, all of whom are bound by the Distribution Agreement.</w:t>
      </w:r>
    </w:p>
    <w:p>
      <w:pPr>
        <w:pStyle w:val="Normalny"/>
      </w:pPr>
      <w:r>
        <w:rPr>
          <w:rFonts w:ascii="Times New Roman" w:hAnsi="Times New Roman"/>
          <w:color w:val="000000"/>
        </w:rPr>
        <w:t>1</w:t>
      </w:r>
      <w:r>
        <w:rPr>
          <w:rFonts w:ascii="Times New Roman" w:hAnsi="Times New Roman"/>
          <w:color w:val="000000"/>
        </w:rPr>
        <w:t>A.4. Anti-Circumvention: The Seller shall not, and shall procure that its Affiliates, subsidiaries, parent companies, and any related entities shall not, directly or indirectly:</w:t>
      </w:r>
      <w:r>
        <w:rPr>
          <w:rFonts w:ascii="Times New Roman" w:hAnsi="Times New Roman"/>
          <w:color w:val="000000"/>
        </w:rPr>
        <w:br/>
        <w:t>(a) enter into any sales, supply, distribution, service, or maintenance contract with any end-customer</w:t>
      </w:r>
      <w:r>
        <w:rPr>
          <w:rFonts w:ascii="Times New Roman" w:hAnsi="Times New Roman"/>
          <w:color w:val="000000"/>
        </w:rPr>
        <w:br/>
        <w:t>introduced by the Buyer within the Territory (Republic of Cyprus);</w:t>
      </w:r>
      <w:r>
        <w:rPr>
          <w:rFonts w:ascii="Times New Roman" w:hAnsi="Times New Roman"/>
          <w:color w:val="000000"/>
        </w:rPr>
        <w:br/>
        <w:t>(b) solicit, approach, or accept orders from any end-customer with whom the Buyer has an existing or</w:t>
      </w:r>
      <w:r>
        <w:rPr>
          <w:rFonts w:ascii="Times New Roman" w:hAnsi="Times New Roman"/>
          <w:color w:val="000000"/>
        </w:rPr>
        <w:br/>
        <w:t>pending commercial relationship within the Territory; or</w:t>
      </w:r>
      <w:r>
        <w:rPr>
          <w:rFonts w:ascii="Times New Roman" w:hAnsi="Times New Roman"/>
          <w:color w:val="000000"/>
        </w:rPr>
        <w:br/>
        <w:t>(c) supply Commodities or services to any third party for resale or installation within the Territory, where such supply would circumvent the Buyer's exclusive distribution rights under the Distribution Agreement.</w:t>
      </w:r>
      <w:r>
        <w:rPr>
          <w:rFonts w:ascii="Times New Roman" w:hAnsi="Times New Roman"/>
          <w:color w:val="000000"/>
        </w:rPr>
        <w:t xml:space="preserve"> </w:t>
      </w:r>
      <w:r>
        <w:rPr>
          <w:rFonts w:ascii="Times New Roman" w:hAnsi="Times New Roman"/>
          <w:color w:val="000000"/>
        </w:rPr>
        <w:t>This obligation shall survive termination of this Contract for a period of two (2) years and is without prejudice to the broader exclusivity and client protection provisions in the Distribution Agreement, which</w:t>
      </w:r>
      <w:r>
        <w:rPr>
          <w:rFonts w:ascii="Times New Roman" w:hAnsi="Times New Roman"/>
          <w:color w:val="000000"/>
        </w:rPr>
        <w:t xml:space="preserve"> </w:t>
      </w:r>
      <w:r>
        <w:rPr>
          <w:rFonts w:ascii="Times New Roman" w:hAnsi="Times New Roman"/>
          <w:color w:val="000000"/>
        </w:rPr>
        <w:t>shall prevail in the event of any conflict.</w:t>
      </w:r>
    </w:p>
    <w:p>
      <w:pPr>
        <w:pStyle w:val="Normalny"/>
      </w:pPr>
      <w:r>
        <w:rPr>
          <w:rFonts w:ascii="Times New Roman" w:hAnsi="Times New Roman"/>
          <w:color w:val="000000"/>
        </w:rPr>
        <w:tab/>
      </w:r>
    </w:p>
    <w:p>
      <w:r>
        <w:rPr>
          <w:rFonts w:ascii="Calibri" w:hAnsi="Calibri"/>
          <w:b/>
          <w:sz w:val="20"/>
        </w:rPr>
        <w:t>Article 1 — Commodities and Purchase Orders</w:t>
      </w:r>
    </w:p>
    <w:p>
      <w:r>
        <w:rPr>
          <w:rFonts w:ascii="Calibri" w:hAnsi="Calibri"/>
          <w:b w:val="0"/>
          <w:sz w:val="20"/>
        </w:rPr>
        <w:t>The commodities stipulated in this Contract are referred to as "Commodities". This Contract establishes the general terms and conditions under which the Buyer may place individual Purchase Orders ("PO") for Commodities. No minimum quantity commitment is made under this Contract.</w:t>
      </w:r>
    </w:p>
    <w:p>
      <w:r>
        <w:rPr>
          <w:rFonts w:ascii="Calibri" w:hAnsi="Calibri"/>
          <w:b w:val="0"/>
          <w:sz w:val="20"/>
        </w:rPr>
      </w:r>
    </w:p>
    <w:p>
      <w:r>
        <w:rPr>
          <w:rFonts w:ascii="Calibri" w:hAnsi="Calibri"/>
          <w:b w:val="0"/>
          <w:sz w:val="20"/>
        </w:rPr>
        <w:t>Each Purchase Order shall:</w:t>
      </w:r>
    </w:p>
    <w:p>
      <w:r>
        <w:rPr>
          <w:rFonts w:ascii="Calibri" w:hAnsi="Calibri"/>
          <w:b w:val="0"/>
          <w:sz w:val="20"/>
        </w:rPr>
        <w:t>(a) reference this Contract by number;</w:t>
      </w:r>
    </w:p>
    <w:p>
      <w:r>
        <w:rPr>
          <w:rFonts w:ascii="Calibri" w:hAnsi="Calibri"/>
          <w:b w:val="0"/>
          <w:sz w:val="20"/>
        </w:rPr>
        <w:t>(b) specify the Commodities, quantities, system configuration, and site location(s);</w:t>
      </w:r>
    </w:p>
    <w:p>
      <w:r>
        <w:rPr>
          <w:rFonts w:ascii="Calibri" w:hAnsi="Calibri"/>
          <w:b w:val="0"/>
          <w:sz w:val="20"/>
        </w:rPr>
        <w:t>(c) reference the applicable Quotation and its pricing;</w:t>
      </w:r>
    </w:p>
    <w:p>
      <w:r>
        <w:rPr>
          <w:rFonts w:ascii="Calibri" w:hAnsi="Calibri"/>
          <w:b w:val="0"/>
          <w:sz w:val="20"/>
        </w:rPr>
        <w:t>(d) include a Payment and Delivery Date Plan per Article 6;</w:t>
      </w:r>
    </w:p>
    <w:p>
      <w:r>
        <w:rPr>
          <w:rFonts w:ascii="Calibri" w:hAnsi="Calibri"/>
          <w:b w:val="0"/>
          <w:sz w:val="20"/>
        </w:rPr>
        <w:t>(e) confirm coastal distance for warranty purposes (per Section 8A);</w:t>
      </w:r>
    </w:p>
    <w:p>
      <w:r>
        <w:rPr>
          <w:rFonts w:ascii="Calibri" w:hAnsi="Calibri"/>
          <w:b w:val="0"/>
          <w:sz w:val="20"/>
        </w:rPr>
        <w:t>(f) be accompanied by evidence of a signed end-customer EPC contract for the relevant park(s).</w:t>
      </w:r>
    </w:p>
    <w:p>
      <w:r>
        <w:rPr>
          <w:rFonts w:ascii="Calibri" w:hAnsi="Calibri"/>
          <w:b w:val="0"/>
          <w:sz w:val="20"/>
        </w:rPr>
      </w:r>
    </w:p>
    <w:p>
      <w:r>
        <w:rPr>
          <w:rFonts w:ascii="Calibri" w:hAnsi="Calibri"/>
          <w:b w:val="0"/>
          <w:sz w:val="20"/>
        </w:rPr>
        <w:t>A Purchase Order becomes binding upon written acceptance by the Seller. The Seller shall confirm acceptance or rejection within five (5) Business Days of receipt.</w:t>
      </w:r>
    </w:p>
    <w:p>
      <w:r>
        <w:rPr>
          <w:rFonts w:ascii="Calibri" w:hAnsi="Calibri"/>
          <w:b w:val="0"/>
          <w:sz w:val="20"/>
        </w:rPr>
      </w:r>
    </w:p>
    <w:p>
      <w:r>
        <w:rPr>
          <w:rFonts w:ascii="Calibri" w:hAnsi="Calibri"/>
          <w:b w:val="0"/>
          <w:sz w:val="20"/>
        </w:rPr>
        <w:t>The Buyer may group multiple parks into a single Purchase Order for production efficiency, provided each park is individually identified with its site details and Quotation reference.</w:t>
      </w:r>
    </w:p>
    <w:p>
      <w:r>
        <w:rPr>
          <w:rFonts w:ascii="Calibri" w:hAnsi="Calibri"/>
          <w:b w:val="0"/>
          <w:sz w:val="20"/>
        </w:rPr>
      </w:r>
    </w:p>
    <w:p>
      <w:r>
        <w:rPr>
          <w:rFonts w:ascii="Calibri" w:hAnsi="Calibri"/>
          <w:b w:val="0"/>
          <w:sz w:val="20"/>
        </w:rPr>
        <w:t>All terms of this Contract apply to each Purchase Order unless expressly varied in writing in that Purchase Order.</w:t>
      </w:r>
    </w:p>
    <w:p>
      <w:pPr>
        <w:pStyle w:val="1"/>
      </w:pPr>
      <w:r>
        <w:rPr>
          <w:color w:val="000000"/>
          <w:sz w:val="21"/>
        </w:rPr>
        <w:t>Packing</w:t>
      </w:r>
    </w:p>
    <w:p>
      <w:pPr>
        <w:pStyle w:val="2"/>
      </w:pPr>
      <w:r>
        <w:rPr>
          <w:color w:val="000000"/>
          <w:sz w:val="21"/>
        </w:rPr>
        <w:t>Unless otherwise specified in this Contract, SELLER shall be responsible for packing materials (Export Cartons and Pallets) and the packing of the Commodities for shipment is in accordance with SELLER’s packing standard.</w:t>
      </w:r>
    </w:p>
    <w:p>
      <w:pPr>
        <w:pStyle w:val="1"/>
      </w:pPr>
      <w:r>
        <w:rPr/>
        <w:t>Price</w:t>
      </w:r>
    </w:p>
    <w:p>
      <w:pPr>
        <w:pStyle w:val="2"/>
      </w:pPr>
      <w:r>
        <w:rPr>
          <w:color w:val="000000"/>
          <w:sz w:val="21"/>
        </w:rPr>
        <w:t xml:space="preserve">Prices are exclusive of VAT. Upon receipt of an invoice from the SELLER, the BUYER is obliged to pay any additional amounts due in respect of VAT on the supply of the </w:t>
      </w:r>
      <w:r>
        <w:rPr>
          <w:color w:val="000000"/>
          <w:sz w:val="21"/>
        </w:rPr>
        <w:t>Commodities</w:t>
      </w:r>
    </w:p>
    <w:p>
      <w:pPr>
        <w:pStyle w:val="2"/>
      </w:pPr>
    </w:p>
    <w:p>
      <w:pPr>
        <w:pStyle w:val="1"/>
      </w:pPr>
      <w:r>
        <w:rPr>
          <w:color w:val="000000"/>
          <w:sz w:val="21"/>
        </w:rPr>
        <w:t>Shipment</w:t>
      </w:r>
    </w:p>
    <w:p>
      <w:pPr>
        <w:pStyle w:val="2"/>
      </w:pPr>
      <w:r>
        <w:rPr>
          <w:color w:val="000000"/>
          <w:sz w:val="21"/>
        </w:rPr>
        <w:t>The Commodities will be shipped according to the terms listed below:</w:t>
      </w:r>
    </w:p>
    <w:p>
      <w:pPr>
        <w:pStyle w:val="3"/>
      </w:pPr>
      <w:r>
        <w:rPr>
          <w:color w:val="000000"/>
          <w:sz w:val="21"/>
        </w:rPr>
        <w:t>Port of Shipment: Shanghai, China, or other port as mutually agreed</w:t>
      </w:r>
    </w:p>
    <w:p>
      <w:pPr>
        <w:pStyle w:val="3"/>
      </w:pPr>
      <w:r>
        <w:rPr>
          <w:color w:val="000000"/>
          <w:sz w:val="21"/>
        </w:rPr>
        <w:t>Port of Destination: Limassol, Cyprus</w:t>
      </w:r>
    </w:p>
    <w:p>
      <w:pPr>
        <w:pStyle w:val="3"/>
      </w:pPr>
      <w:r>
        <w:rPr>
          <w:color w:val="000000"/>
          <w:sz w:val="21"/>
        </w:rPr>
        <w:t>Country of Origin: People's Republic of China</w:t>
      </w:r>
    </w:p>
    <w:p>
      <w:r>
        <w:rPr>
          <w:rFonts w:ascii="Calibri" w:hAnsi="Calibri"/>
          <w:b w:val="0"/>
          <w:sz w:val="20"/>
        </w:rPr>
        <w:t>Shipment of Commodities shall be according to the shipment plan specified in each Purchase Order.</w:t>
      </w:r>
    </w:p>
    <w:p>
      <w:pPr>
        <w:pStyle w:val="3"/>
        <w:jc w:val="left"/>
      </w:pPr>
    </w:p>
    <w:p>
      <w:pPr>
        <w:pStyle w:val="1"/>
      </w:pPr>
      <w:r>
        <w:rPr>
          <w:color w:val="000000"/>
          <w:sz w:val="21"/>
        </w:rPr>
        <w:t>Delivery Incoterms and Inspection</w:t>
      </w:r>
    </w:p>
    <w:p>
      <w:pPr>
        <w:pStyle w:val="2"/>
      </w:pPr>
      <w:r>
        <w:rPr>
          <w:color w:val="000000"/>
          <w:sz w:val="21"/>
        </w:rPr>
        <w:t>Delivery: Incoterms 2020 [</w:t>
      </w:r>
      <w:r>
        <w:rPr>
          <w:color w:val="000000"/>
          <w:sz w:val="21"/>
        </w:rPr>
        <w:t>CIF</w:t>
      </w:r>
      <w:r>
        <w:rPr>
          <w:color w:val="000000"/>
          <w:sz w:val="21"/>
        </w:rPr>
        <w:t xml:space="preserve">] </w:t>
      </w:r>
      <w:r>
        <w:rPr>
          <w:color w:val="000000"/>
          <w:sz w:val="21"/>
        </w:rPr>
        <w:t>Limassol, Cyprus</w:t>
      </w:r>
      <w:r>
        <w:rPr>
          <w:color w:val="000000"/>
          <w:sz w:val="21"/>
        </w:rPr>
        <w:t xml:space="preserve"> </w:t>
      </w:r>
      <w:r>
        <w:rPr>
          <w:color w:val="000000"/>
          <w:sz w:val="21"/>
        </w:rPr>
        <w:t>Commodities ordered for delivery are supplied and delivered by way of “</w:t>
      </w:r>
      <w:r>
        <w:rPr>
          <w:b/>
          <w:color w:val="000000"/>
          <w:sz w:val="21"/>
        </w:rPr>
        <w:t>CIF</w:t>
      </w:r>
      <w:r>
        <w:rPr>
          <w:color w:val="000000"/>
          <w:sz w:val="21"/>
        </w:rPr>
        <w:t>” (Incoterms 2020).</w:t>
      </w:r>
    </w:p>
    <w:p>
      <w:pPr>
        <w:pStyle w:val="2"/>
      </w:pPr>
      <w:r>
        <w:rPr>
          <w:color w:val="000000"/>
          <w:sz w:val="21"/>
        </w:rPr>
        <w:t>If a delivery date is specified</w:t>
      </w:r>
      <w:r>
        <w:rPr/>
        <w:t xml:space="preserve"> </w:t>
      </w:r>
      <w:r>
        <w:rPr>
          <w:color w:val="000000"/>
          <w:sz w:val="21"/>
        </w:rPr>
        <w:t>SELLER shall make reasonable efforts to deliver within the agreed timeframe. SELLER shall not be liable for or in respect of any delay in delivery or loss or damage of the Commodities in transit</w:t>
      </w:r>
      <w:r>
        <w:rPr>
          <w:color w:val="000000"/>
          <w:sz w:val="21"/>
        </w:rPr>
        <w:t xml:space="preserve"> </w:t>
      </w:r>
      <w:r>
        <w:rPr>
          <w:color w:val="000000"/>
          <w:sz w:val="21"/>
        </w:rPr>
        <w:t>if they arise from circumstances beyond the Seller’s reasonable control.</w:t>
      </w:r>
    </w:p>
    <w:p>
      <w:pPr>
        <w:pStyle w:val="2"/>
      </w:pPr>
      <w:r>
        <w:rPr>
          <w:color w:val="000000"/>
          <w:sz w:val="21"/>
        </w:rPr>
        <w:t>Delays in the delivery of this order resulting from circumstances beyond the SELLER’s reasonable control shall not entitle the BUYER to:</w:t>
      </w:r>
    </w:p>
    <w:p>
      <w:pPr>
        <w:pStyle w:val="3"/>
      </w:pPr>
      <w:r>
        <w:rPr>
          <w:color w:val="000000"/>
          <w:sz w:val="21"/>
        </w:rPr>
        <w:t xml:space="preserve">refuse to take delivery of the order; </w:t>
      </w:r>
    </w:p>
    <w:p>
      <w:pPr>
        <w:pStyle w:val="3"/>
      </w:pPr>
      <w:r>
        <w:rPr>
          <w:color w:val="000000"/>
          <w:sz w:val="21"/>
        </w:rPr>
        <w:t>claim damages; or</w:t>
      </w:r>
    </w:p>
    <w:p>
      <w:pPr>
        <w:pStyle w:val="3"/>
      </w:pPr>
      <w:r>
        <w:rPr>
          <w:color w:val="000000"/>
          <w:sz w:val="21"/>
        </w:rPr>
        <w:t>terminate this Contract.</w:t>
      </w:r>
    </w:p>
    <w:p>
      <w:pPr>
        <w:pStyle w:val="3"/>
      </w:pPr>
      <w:r>
        <w:rPr>
          <w:color w:val="000000"/>
          <w:sz w:val="21"/>
        </w:rPr>
        <w:t xml:space="preserve">SELLER shall promptly notify BUYER If delays in delivery of this order do not exceed 30 days, BUYER shall not have the right to refuse to take delivery of the order; or directly terminate this Contract. However, if SELLER delays the delivery for more than </w:t>
      </w:r>
      <w:r>
        <w:rPr>
          <w:color w:val="000000"/>
          <w:sz w:val="21"/>
        </w:rPr>
        <w:t>30</w:t>
      </w:r>
      <w:r>
        <w:rPr>
          <w:color w:val="000000"/>
          <w:sz w:val="21"/>
        </w:rPr>
        <w:t xml:space="preserve"> days without notifying BUYER, BUYER may have the right to terminate this Contract.  BUYER has no right to refuse to  take delivery and terminate the contract if the delivery is delayed due to the BUYER's delay in payment or  issuing the letter of credit.(LC).</w:t>
      </w:r>
    </w:p>
    <w:p>
      <w:pPr>
        <w:pStyle w:val="3"/>
      </w:pPr>
    </w:p>
    <w:p>
      <w:pPr>
        <w:pStyle w:val="2"/>
      </w:pPr>
      <w:r>
        <w:rPr>
          <w:color w:val="000000"/>
          <w:sz w:val="21"/>
        </w:rPr>
        <w:t>The BUYER must inspect all Commodities on or before [</w:t>
      </w:r>
      <w:r>
        <w:rPr>
          <w:color w:val="000000"/>
          <w:sz w:val="21"/>
        </w:rPr>
        <w:t>30</w:t>
      </w:r>
      <w:r>
        <w:rPr>
          <w:color w:val="000000"/>
          <w:sz w:val="21"/>
        </w:rPr>
        <w:t xml:space="preserve">] days of taking delivery and must give written notice to the SELLER of any defect, </w:t>
      </w:r>
      <w:r>
        <w:rPr>
          <w:color w:val="000000"/>
          <w:sz w:val="21"/>
        </w:rPr>
        <w:t xml:space="preserve">matter or thing by which the BUYER alleges that the Commodities are not in accordance with the Contract within </w:t>
      </w:r>
      <w:r>
        <w:rPr>
          <w:color w:val="000000"/>
          <w:sz w:val="21"/>
        </w:rPr>
        <w:t>thirty</w:t>
      </w:r>
      <w:r>
        <w:rPr>
          <w:color w:val="000000"/>
          <w:sz w:val="21"/>
        </w:rPr>
        <w:t xml:space="preserve"> (</w:t>
      </w:r>
      <w:r>
        <w:rPr>
          <w:color w:val="000000"/>
          <w:sz w:val="21"/>
        </w:rPr>
        <w:t>30</w:t>
      </w:r>
      <w:r>
        <w:rPr>
          <w:color w:val="000000"/>
          <w:sz w:val="21"/>
        </w:rPr>
        <w:t xml:space="preserve">) days of delivery to the BUYER. To the extent permitted by law, the Commodities are deemed to have been delivered and accepted by the BUYER and the quantity, description, date, time and place of delivery as indicated on the SELLER’s invoice or delivery docket or copies thereof shall be deemed to be conclusive evidence of quantity, description, date, time and place of delivery of Commodities unless such notice is received by the SELLER within </w:t>
      </w:r>
      <w:r>
        <w:rPr>
          <w:color w:val="000000"/>
          <w:sz w:val="21"/>
        </w:rPr>
        <w:t>thirty</w:t>
      </w:r>
      <w:r>
        <w:rPr>
          <w:color w:val="000000"/>
          <w:sz w:val="21"/>
        </w:rPr>
        <w:t xml:space="preserve"> (</w:t>
      </w:r>
      <w:r>
        <w:rPr>
          <w:color w:val="000000"/>
          <w:sz w:val="21"/>
        </w:rPr>
        <w:t>30</w:t>
      </w:r>
      <w:r>
        <w:rPr>
          <w:color w:val="000000"/>
          <w:sz w:val="21"/>
        </w:rPr>
        <w:t xml:space="preserve">) days of delivery. Commodities </w:t>
      </w:r>
      <w:r>
        <w:rPr>
          <w:color w:val="000000"/>
          <w:sz w:val="21"/>
        </w:rPr>
        <w:t>shall be deemed “non-compliant with the Contract” if they do not conform to the description, quality, or other technical specifications set out in the Order or the Contract, and if they are not fit for the purpose which the BUYER made known to the SELLER at the time of concluding the contract, and the SELLER did not raise any objection to such intended purpose. For the purposes of this Agreement, “receipt” shall mean the physical delivery of the Goods to the delivery location specified by the Buyer.</w:t>
      </w:r>
    </w:p>
    <w:p>
      <w:pPr>
        <w:pStyle w:val="2"/>
      </w:pPr>
    </w:p>
    <w:p>
      <w:pPr>
        <w:pStyle w:val="2"/>
      </w:pPr>
      <w:r>
        <w:rPr>
          <w:color w:val="000000"/>
          <w:sz w:val="21"/>
        </w:rPr>
        <w:t xml:space="preserve">Claims arising from alleged discrepancies in the quantity, description, date, time and place of delivery of the Commodities will not be accepted unless notified in documentary form </w:t>
      </w:r>
      <w:r>
        <w:rPr>
          <w:color w:val="000000"/>
          <w:sz w:val="21"/>
          <w:u w:val="single"/>
        </w:rPr>
        <w:t>(to the email address specified in the Agreement)</w:t>
      </w:r>
      <w:r>
        <w:rPr>
          <w:color w:val="000000"/>
          <w:sz w:val="21"/>
        </w:rPr>
        <w:t xml:space="preserve"> to the SELLER within seven (7) days of delivery to the BUYER.</w:t>
      </w:r>
    </w:p>
    <w:p>
      <w:pPr>
        <w:pStyle w:val="2"/>
      </w:pPr>
      <w:r>
        <w:rPr>
          <w:color w:val="000000"/>
          <w:sz w:val="21"/>
        </w:rPr>
        <w:t>If BUYER timely notifies SELLER of any nonconforming Commodities, SELLER shall, in its sole discretion, either (i) replace such nonconforming Commodities with conforming Commodities, or (ii) credit or refund the Price</w:t>
      </w:r>
      <w:r>
        <w:rPr>
          <w:color w:val="000000"/>
          <w:sz w:val="21"/>
        </w:rPr>
        <w:t>[s] for such nonconforming Commodities. BUYER shall ship, the nonconforming Commodities to SELLER’s facility within [five] days of SELLER’s receipt of Buyer’s written notice and any written evidence or other documentation of nonconforming Commodities reasonably required by SELLER. If SELLER exercises its option to replace nonconforming Commodities, SELLER shall, within a commercially reasonable time after receiving Buyer’s shipment of nonconforming Commodities, tender delivery of the replacement Commodities to Buyer, at Seller’s expense and risk of loss, at the delivery location</w:t>
      </w:r>
      <w:r>
        <w:rPr>
          <w:color w:val="000000"/>
          <w:sz w:val="21"/>
        </w:rPr>
        <w:t>.</w:t>
      </w:r>
    </w:p>
    <w:p>
      <w:pPr>
        <w:pStyle w:val="2"/>
      </w:pPr>
      <w:r>
        <w:rPr>
          <w:color w:val="000000"/>
          <w:sz w:val="21"/>
        </w:rPr>
        <w:t>BUYER acknowledges and agrees that the remedies set forth in th</w:t>
      </w:r>
      <w:r>
        <w:rPr>
          <w:color w:val="000000"/>
          <w:sz w:val="21"/>
        </w:rPr>
        <w:t>is section</w:t>
      </w:r>
      <w:r>
        <w:rPr>
          <w:color w:val="000000"/>
          <w:sz w:val="21"/>
        </w:rPr>
        <w:t xml:space="preserve"> are Buyer’s exclusive remedies for the delivery of nonconforming Commodities</w:t>
      </w:r>
      <w:r>
        <w:rPr>
          <w:color w:val="000000"/>
          <w:sz w:val="21"/>
        </w:rPr>
        <w:t xml:space="preserve">. </w:t>
      </w:r>
      <w:r>
        <w:rPr>
          <w:color w:val="000000"/>
          <w:sz w:val="21"/>
        </w:rPr>
        <w:t xml:space="preserve">Except as provided under </w:t>
      </w:r>
      <w:r>
        <w:rPr>
          <w:color w:val="000000"/>
          <w:sz w:val="21"/>
        </w:rPr>
        <w:t xml:space="preserve"> 5.</w:t>
      </w:r>
      <w:r>
        <w:rPr>
          <w:color w:val="000000"/>
          <w:sz w:val="21"/>
        </w:rPr>
        <w:t>6</w:t>
      </w:r>
      <w:r>
        <w:rPr>
          <w:color w:val="000000"/>
          <w:sz w:val="21"/>
        </w:rPr>
        <w:t>, BUYER has no right to return Commodities purchased under this Contract to SELLER.</w:t>
      </w:r>
      <w:r>
        <w:rPr>
          <w:color w:val="000000"/>
          <w:sz w:val="21"/>
        </w:rPr>
        <w:t xml:space="preserve"> </w:t>
      </w:r>
      <w:r>
        <w:rPr>
          <w:color w:val="000000"/>
          <w:sz w:val="21"/>
        </w:rPr>
        <w:t xml:space="preserve">Any defect of the Commodities, SELLER shall solve </w:t>
      </w:r>
      <w:r>
        <w:rPr>
          <w:color w:val="000000"/>
          <w:sz w:val="21"/>
        </w:rPr>
        <w:t>it through replacing them with new Goods , repairing or maintaining, etc. BUYER may not unilaterally return defective Commodities without consultation</w:t>
      </w:r>
      <w:r>
        <w:rPr>
          <w:color w:val="000000"/>
          <w:sz w:val="21"/>
        </w:rPr>
        <w:t xml:space="preserve"> </w:t>
      </w:r>
      <w:r>
        <w:rPr>
          <w:color w:val="000000"/>
          <w:sz w:val="21"/>
        </w:rPr>
        <w:t>from SELLER.</w:t>
      </w:r>
      <w:r>
        <w:rPr>
          <w:color w:val="000000"/>
          <w:sz w:val="21"/>
        </w:rPr>
        <w:t xml:space="preserve"> </w:t>
      </w:r>
    </w:p>
    <w:p>
      <w:r>
        <w:rPr>
          <w:rFonts w:ascii="Calibri" w:hAnsi="Calibri"/>
          <w:b w:val="0"/>
          <w:sz w:val="20"/>
        </w:rPr>
      </w:r>
    </w:p>
    <w:p>
      <w:r>
        <w:rPr>
          <w:rFonts w:ascii="Calibri" w:hAnsi="Calibri"/>
          <w:b w:val="0"/>
          <w:sz w:val="20"/>
        </w:rPr>
        <w:t>5.7 Where Commodities are returned to the Seller due to defects confirmed as manufacturing faults or non-conformance with the specifications set out in the applicable Quotation, the freight and logistics costs of return shipping (CIF Limassol to Seller's facility) shall be borne by the Seller. For all other returns, freight costs shall be borne by the Buyer.</w:t>
      </w:r>
    </w:p>
    <w:p>
      <w:pPr>
        <w:pStyle w:val="2"/>
      </w:pPr>
      <w:r>
        <w:rPr/>
        <w:tab/>
      </w:r>
    </w:p>
    <w:p>
      <w:pPr>
        <w:pStyle w:val="1"/>
      </w:pPr>
      <w:r>
        <w:rPr>
          <w:color w:val="000000"/>
          <w:sz w:val="21"/>
        </w:rPr>
        <w:t xml:space="preserve">5a INSTALLATION AND COMMISSIONING </w:t>
      </w:r>
      <w:r>
        <w:rPr>
          <w:color w:val="000000"/>
          <w:sz w:val="21"/>
        </w:rPr>
        <w:t>RESPONSIBILITIES</w:t>
      </w:r>
      <w:r>
        <w:rPr>
          <w:color w:val="000000"/>
        </w:rPr>
      </w:r>
    </w:p>
    <w:p>
      <w:pPr>
        <w:pStyle w:val="2"/>
      </w:pPr>
      <w:r>
        <w:rPr>
          <w:color w:val="000000"/>
        </w:rPr>
        <w:t xml:space="preserve">A </w:t>
      </w:r>
      <w:r>
        <w:rPr>
          <w:color w:val="000000"/>
        </w:rPr>
        <w:t>Seller Scope — Installation and Commissioning:</w:t>
      </w:r>
      <w:r>
        <w:rPr>
          <w:color w:val="000000"/>
          <w:sz w:val="22"/>
        </w:rPr>
      </w:r>
    </w:p>
    <w:p>
      <w:pPr>
        <w:pStyle w:val="2"/>
      </w:pPr>
      <w:r>
        <w:rPr>
          <w:color w:val="000000"/>
        </w:rPr>
        <w:t>The Seller shall be responsible for:</w:t>
      </w:r>
    </w:p>
    <w:p>
      <w:pPr>
        <w:pStyle w:val="2"/>
      </w:pPr>
      <w:r>
        <w:rPr>
          <w:color w:val="000000"/>
        </w:rPr>
        <w:t xml:space="preserve">(a) Equipment </w:t>
      </w:r>
      <w:r>
        <w:rPr>
          <w:color w:val="000000"/>
        </w:rPr>
        <w:t xml:space="preserve">commissioning </w:t>
      </w:r>
      <w:r>
        <w:rPr>
          <w:color w:val="000000"/>
        </w:rPr>
        <w:t>by factory-trained technicians;</w:t>
      </w:r>
    </w:p>
    <w:p>
      <w:pPr>
        <w:pStyle w:val="2"/>
      </w:pPr>
      <w:r>
        <w:rPr>
          <w:color w:val="000000"/>
        </w:rPr>
        <w:t>(b) OEM commissioning and system configuration;</w:t>
      </w:r>
    </w:p>
    <w:p>
      <w:pPr>
        <w:pStyle w:val="2"/>
      </w:pPr>
      <w:r>
        <w:rPr>
          <w:color w:val="000000"/>
        </w:rPr>
        <w:t>(c) Connection of battery modules, BMS, and cooling systems;</w:t>
      </w:r>
    </w:p>
    <w:p>
      <w:pPr>
        <w:pStyle w:val="2"/>
      </w:pPr>
      <w:r>
        <w:rPr>
          <w:color w:val="000000"/>
        </w:rPr>
        <w:t>(d) OEM testing protocols and verification;</w:t>
      </w:r>
    </w:p>
    <w:p>
      <w:pPr>
        <w:pStyle w:val="2"/>
      </w:pPr>
      <w:r>
        <w:rPr>
          <w:color w:val="000000"/>
        </w:rPr>
        <w:t>(e) Installation supervision and quality assurance;</w:t>
      </w:r>
    </w:p>
    <w:p>
      <w:pPr>
        <w:pStyle w:val="2"/>
      </w:pPr>
      <w:r>
        <w:rPr>
          <w:color w:val="000000"/>
        </w:rPr>
        <w:t xml:space="preserve">(f) </w:t>
      </w:r>
      <w:r>
        <w:rPr>
          <w:color w:val="000000"/>
          <w:u w:val="single"/>
        </w:rPr>
        <w:t>Installation workmanship warranty (5 years from PAC).</w:t>
      </w:r>
      <w:r>
        <w:rPr>
          <w:color w:val="000000"/>
          <w:sz w:val="22"/>
          <w:u w:val="single"/>
        </w:rPr>
      </w:r>
    </w:p>
    <w:p>
      <w:pPr>
        <w:pStyle w:val="2"/>
      </w:pPr>
      <w:r>
        <w:rPr>
          <w:color w:val="000000"/>
        </w:rPr>
        <w:t xml:space="preserve">The </w:t>
      </w:r>
      <w:r>
        <w:rPr>
          <w:color w:val="000000"/>
        </w:rPr>
        <w:t>Buyer Scope — EPC Works:</w:t>
      </w:r>
    </w:p>
    <w:p>
      <w:pPr>
        <w:pStyle w:val="2"/>
        <w:jc w:val="left"/>
      </w:pPr>
      <w:r>
        <w:rPr>
          <w:color w:val="000000"/>
        </w:rPr>
        <w:t>The Buyer shall be responsible for:</w:t>
      </w:r>
    </w:p>
    <w:p>
      <w:pPr>
        <w:pStyle w:val="2"/>
        <w:jc w:val="left"/>
      </w:pPr>
      <w:r>
        <w:rPr>
          <w:color w:val="000000"/>
        </w:rPr>
        <w:t>(a) Civil works, foundations, and site preparation;</w:t>
      </w:r>
    </w:p>
    <w:p>
      <w:pPr>
        <w:pStyle w:val="2"/>
        <w:jc w:val="left"/>
      </w:pPr>
      <w:r>
        <w:rPr>
          <w:color w:val="000000"/>
        </w:rPr>
        <w:t>(b) AC/DC cabling from BESS to grid connection point;</w:t>
      </w:r>
    </w:p>
    <w:p>
      <w:pPr>
        <w:pStyle w:val="2"/>
        <w:jc w:val="left"/>
      </w:pPr>
      <w:r>
        <w:rPr>
          <w:color w:val="000000"/>
        </w:rPr>
        <w:t>(c) Grounding and earthing systems;</w:t>
      </w:r>
    </w:p>
    <w:p>
      <w:pPr>
        <w:pStyle w:val="2"/>
        <w:jc w:val="left"/>
      </w:pPr>
      <w:r>
        <w:rPr>
          <w:color w:val="000000"/>
        </w:rPr>
        <w:t>(d) Auxiliary electrical systems;</w:t>
      </w:r>
    </w:p>
    <w:p>
      <w:pPr>
        <w:pStyle w:val="2"/>
        <w:jc w:val="left"/>
      </w:pPr>
      <w:r>
        <w:rPr>
          <w:color w:val="000000"/>
        </w:rPr>
        <w:t>(e) Site access and security;</w:t>
      </w:r>
    </w:p>
    <w:p>
      <w:pPr>
        <w:pStyle w:val="2"/>
        <w:jc w:val="left"/>
      </w:pPr>
      <w:r>
        <w:rPr>
          <w:color w:val="000000"/>
        </w:rPr>
        <w:t>(f) Coordination with local authorities and grid operator.</w:t>
      </w:r>
    </w:p>
    <w:p>
      <w:pPr>
        <w:pStyle w:val="2"/>
        <w:jc w:val="left"/>
      </w:pPr>
      <w:r>
        <w:rPr>
          <w:color w:val="000000"/>
        </w:rPr>
        <w:t>(g) PCS connection to BESS</w:t>
      </w:r>
    </w:p>
    <w:p>
      <w:pPr>
        <w:pStyle w:val="2"/>
        <w:jc w:val="left"/>
      </w:pPr>
      <w:r>
        <w:rPr>
          <w:color w:val="000000"/>
        </w:rPr>
        <w:t>(h) transport and unloading on site</w:t>
      </w:r>
    </w:p>
    <w:p>
      <w:pPr>
        <w:pStyle w:val="2"/>
        <w:jc w:val="left"/>
      </w:pPr>
      <w:r>
        <w:rPr>
          <w:color w:val="000000"/>
        </w:rPr>
        <w:t>No Cross-Liability:</w:t>
      </w:r>
    </w:p>
    <w:p>
      <w:pPr>
        <w:pStyle w:val="2"/>
        <w:jc w:val="left"/>
      </w:pPr>
      <w:r>
        <w:rPr>
          <w:color w:val="000000"/>
        </w:rPr>
        <w:t>(a) The Seller is NOT liable for defects in the Buyer's E</w:t>
      </w:r>
      <w:r>
        <w:rPr>
          <w:color w:val="000000"/>
        </w:rPr>
        <w:t xml:space="preserve">ngineering, </w:t>
      </w:r>
      <w:r>
        <w:rPr>
          <w:color w:val="000000"/>
        </w:rPr>
        <w:t>P</w:t>
      </w:r>
      <w:r>
        <w:rPr>
          <w:color w:val="000000"/>
        </w:rPr>
        <w:t xml:space="preserve">rocurement, and </w:t>
      </w:r>
      <w:r>
        <w:rPr>
          <w:color w:val="000000"/>
        </w:rPr>
        <w:t>C</w:t>
      </w:r>
      <w:r>
        <w:rPr>
          <w:color w:val="000000"/>
        </w:rPr>
        <w:t>onstruction</w:t>
      </w:r>
      <w:r>
        <w:rPr>
          <w:color w:val="000000"/>
        </w:rPr>
        <w:t xml:space="preserve"> works</w:t>
      </w:r>
      <w:r>
        <w:rPr>
          <w:color w:val="000000"/>
        </w:rPr>
        <w:t xml:space="preserve"> “EPC”</w:t>
      </w:r>
      <w:r>
        <w:rPr>
          <w:color w:val="000000"/>
        </w:rPr>
        <w:t>;</w:t>
      </w:r>
    </w:p>
    <w:p>
      <w:pPr>
        <w:pStyle w:val="2"/>
        <w:jc w:val="left"/>
      </w:pPr>
      <w:r>
        <w:rPr>
          <w:color w:val="000000"/>
        </w:rPr>
        <w:t xml:space="preserve">          (b) The Buyer is NOT liable for defects in the Seller's installation and commissioning.</w:t>
      </w:r>
    </w:p>
    <w:p>
      <w:pPr>
        <w:pStyle w:val="2"/>
        <w:jc w:val="left"/>
      </w:pPr>
      <w:r>
        <w:rPr>
          <w:color w:val="000000"/>
        </w:rPr>
        <w:tab/>
      </w:r>
      <w:r>
        <w:rPr>
          <w:color w:val="000000"/>
        </w:rPr>
        <w:tab/>
      </w:r>
    </w:p>
    <w:p>
      <w:pPr>
        <w:pStyle w:val="2"/>
      </w:pPr>
      <w:r>
        <w:rPr>
          <w:color w:val="000000"/>
          <w:sz w:val="21"/>
        </w:rPr>
        <w:t xml:space="preserve">Terms of Payment: </w:t>
      </w:r>
      <w:r>
        <w:rPr>
          <w:color w:val="000000"/>
          <w:sz w:val="21"/>
        </w:rPr>
        <w:t xml:space="preserve"> </w:t>
      </w:r>
    </w:p>
    <w:p>
      <w:pPr>
        <w:pStyle w:val="2"/>
      </w:pPr>
      <w:r>
        <w:rPr>
          <w:color w:val="000000"/>
          <w:sz w:val="21"/>
        </w:rPr>
        <w:t>The payment structure should be aligned with the Distribution Agreement standard milestones:</w:t>
      </w:r>
    </w:p>
    <w:p>
      <w:pPr>
        <w:pStyle w:val="2"/>
      </w:pPr>
      <w:r>
        <w:rPr>
          <w:color w:val="000000"/>
          <w:sz w:val="21"/>
        </w:rPr>
        <w:t xml:space="preserve">(a) </w:t>
      </w:r>
      <w:r>
        <w:rPr>
          <w:color w:val="000000"/>
          <w:sz w:val="21"/>
        </w:rPr>
        <w:t>2</w:t>
      </w:r>
      <w:r>
        <w:rPr>
          <w:color w:val="000000"/>
          <w:sz w:val="21"/>
        </w:rPr>
        <w:t>0</w:t>
      </w:r>
      <w:r>
        <w:rPr>
          <w:color w:val="000000"/>
          <w:sz w:val="21"/>
        </w:rPr>
        <w:t>% advance payment by T/T within seven (7) days of contract effectiveness;</w:t>
      </w:r>
    </w:p>
    <w:p>
      <w:pPr>
        <w:pStyle w:val="2"/>
      </w:pPr>
      <w:r>
        <w:rPr>
          <w:color w:val="000000"/>
          <w:sz w:val="21"/>
        </w:rPr>
        <w:t xml:space="preserve">(b) </w:t>
      </w:r>
      <w:r>
        <w:rPr>
          <w:color w:val="000000"/>
          <w:sz w:val="21"/>
        </w:rPr>
        <w:t>5</w:t>
      </w:r>
      <w:r>
        <w:rPr>
          <w:color w:val="000000"/>
          <w:sz w:val="21"/>
        </w:rPr>
        <w:t>0</w:t>
      </w:r>
      <w:r>
        <w:rPr>
          <w:color w:val="000000"/>
          <w:sz w:val="21"/>
        </w:rPr>
        <w:t xml:space="preserve">% advance payment </w:t>
      </w:r>
      <w:r>
        <w:rPr>
          <w:color w:val="000000"/>
          <w:sz w:val="21"/>
        </w:rPr>
        <w:t xml:space="preserve">by T/T </w:t>
      </w:r>
      <w:r>
        <w:rPr>
          <w:color w:val="000000"/>
          <w:sz w:val="21"/>
        </w:rPr>
        <w:t>within (3) days</w:t>
      </w:r>
      <w:r>
        <w:rPr>
          <w:sz w:val="26"/>
        </w:rPr>
        <w:t xml:space="preserve"> </w:t>
      </w:r>
      <w:r>
        <w:rPr>
          <w:color w:val="000000"/>
          <w:sz w:val="21"/>
        </w:rPr>
        <w:t>when the Products are ready for shipment (Ex-Works) from the</w:t>
      </w:r>
      <w:r>
        <w:rPr>
          <w:color w:val="000000"/>
          <w:sz w:val="21"/>
        </w:rPr>
        <w:br/>
        <w:t>manufacturing facility, upon Seller's written confirmation of successful Factory Acceptance Testing (FAT)</w:t>
      </w:r>
      <w:r>
        <w:rPr>
          <w:color w:val="000000"/>
          <w:sz w:val="21"/>
        </w:rPr>
        <w:br/>
        <w:t>and photographic evidence of readiness</w:t>
      </w:r>
      <w:r>
        <w:rPr>
          <w:color w:val="000000"/>
          <w:sz w:val="21"/>
        </w:rPr>
        <w:t xml:space="preserve"> </w:t>
      </w:r>
    </w:p>
    <w:p>
      <w:pPr>
        <w:pStyle w:val="2"/>
      </w:pPr>
      <w:r>
        <w:rPr>
          <w:color w:val="000000"/>
          <w:sz w:val="21"/>
        </w:rPr>
        <w:t>(</w:t>
      </w:r>
      <w:r>
        <w:rPr>
          <w:color w:val="000000"/>
          <w:sz w:val="21"/>
        </w:rPr>
        <w:t>c</w:t>
      </w:r>
      <w:r>
        <w:rPr>
          <w:color w:val="000000"/>
          <w:sz w:val="21"/>
        </w:rPr>
        <w:t xml:space="preserve">) </w:t>
      </w:r>
      <w:r>
        <w:rPr>
          <w:color w:val="000000"/>
          <w:sz w:val="21"/>
        </w:rPr>
        <w:t>2</w:t>
      </w:r>
      <w:r>
        <w:rPr>
          <w:color w:val="000000"/>
          <w:sz w:val="21"/>
        </w:rPr>
        <w:t>0</w:t>
      </w:r>
      <w:r>
        <w:rPr>
          <w:color w:val="000000"/>
          <w:sz w:val="21"/>
        </w:rPr>
        <w:t xml:space="preserve">% </w:t>
      </w:r>
      <w:r>
        <w:rPr>
          <w:color w:val="000000"/>
          <w:sz w:val="21"/>
        </w:rPr>
        <w:t>payment by T/T</w:t>
      </w:r>
      <w:r>
        <w:rPr>
          <w:color w:val="000000"/>
          <w:sz w:val="21"/>
        </w:rPr>
        <w:t xml:space="preserve"> </w:t>
      </w:r>
      <w:r>
        <w:rPr>
          <w:color w:val="000000"/>
          <w:sz w:val="21"/>
        </w:rPr>
        <w:t xml:space="preserve">upon </w:t>
      </w:r>
      <w:r>
        <w:rPr>
          <w:color w:val="000000"/>
          <w:sz w:val="21"/>
        </w:rPr>
        <w:t xml:space="preserve">arrival of Commodities </w:t>
      </w:r>
      <w:r>
        <w:rPr>
          <w:color w:val="000000"/>
          <w:sz w:val="21"/>
        </w:rPr>
        <w:t>to</w:t>
      </w:r>
      <w:r>
        <w:rPr>
          <w:color w:val="000000"/>
          <w:sz w:val="21"/>
        </w:rPr>
        <w:t xml:space="preserve"> </w:t>
      </w:r>
      <w:r>
        <w:rPr>
          <w:color w:val="000000"/>
          <w:sz w:val="21"/>
        </w:rPr>
        <w:t xml:space="preserve">Limassol </w:t>
      </w:r>
      <w:r>
        <w:rPr>
          <w:color w:val="000000"/>
          <w:sz w:val="21"/>
        </w:rPr>
        <w:t>Port</w:t>
      </w:r>
      <w:r>
        <w:rPr>
          <w:color w:val="000000"/>
          <w:sz w:val="21"/>
        </w:rPr>
        <w:t xml:space="preserve"> (CIF)</w:t>
      </w:r>
      <w:r>
        <w:rPr>
          <w:color w:val="000000"/>
          <w:sz w:val="21"/>
        </w:rPr>
        <w:t>;</w:t>
      </w:r>
      <w:r>
        <w:rPr>
          <w:i/>
          <w:color w:val="000000"/>
          <w:sz w:val="21"/>
        </w:rPr>
        <w:br/>
      </w:r>
      <w:r>
        <w:rPr>
          <w:color w:val="000000"/>
          <w:sz w:val="21"/>
        </w:rPr>
        <w:t>(</w:t>
      </w:r>
      <w:r>
        <w:rPr>
          <w:color w:val="000000"/>
          <w:sz w:val="21"/>
        </w:rPr>
        <w:t>d</w:t>
      </w:r>
      <w:r>
        <w:rPr>
          <w:color w:val="000000"/>
          <w:sz w:val="21"/>
        </w:rPr>
        <w:t xml:space="preserve">) </w:t>
      </w:r>
      <w:r>
        <w:rPr>
          <w:color w:val="000000"/>
          <w:sz w:val="21"/>
        </w:rPr>
        <w:t>10</w:t>
      </w:r>
      <w:r>
        <w:rPr>
          <w:color w:val="000000"/>
          <w:sz w:val="21"/>
        </w:rPr>
        <w:t xml:space="preserve"> %</w:t>
      </w:r>
      <w:r>
        <w:rPr>
          <w:color w:val="000000"/>
          <w:sz w:val="21"/>
        </w:rPr>
        <w:t xml:space="preserve"> payment from</w:t>
      </w:r>
      <w:r>
        <w:rPr>
          <w:color w:val="000000"/>
          <w:sz w:val="21"/>
        </w:rPr>
        <w:t xml:space="preserve"> </w:t>
      </w:r>
      <w:r>
        <w:rPr>
          <w:color w:val="000000"/>
          <w:sz w:val="21"/>
        </w:rPr>
        <w:t xml:space="preserve">proper </w:t>
      </w:r>
      <w:r>
        <w:rPr>
          <w:color w:val="000000"/>
          <w:sz w:val="21"/>
        </w:rPr>
        <w:t>performance holdback by T/T u</w:t>
      </w:r>
      <w:r>
        <w:rPr>
          <w:color w:val="000000"/>
          <w:sz w:val="21"/>
        </w:rPr>
        <w:t>p</w:t>
      </w:r>
      <w:r>
        <w:rPr>
          <w:color w:val="000000"/>
          <w:sz w:val="21"/>
        </w:rPr>
        <w:t>on successful completion of S</w:t>
      </w:r>
      <w:r>
        <w:rPr>
          <w:color w:val="000000"/>
          <w:sz w:val="21"/>
        </w:rPr>
        <w:t xml:space="preserve">ite </w:t>
      </w:r>
      <w:r>
        <w:rPr>
          <w:color w:val="000000"/>
          <w:sz w:val="21"/>
        </w:rPr>
        <w:t>A</w:t>
      </w:r>
      <w:r>
        <w:rPr>
          <w:color w:val="000000"/>
          <w:sz w:val="21"/>
        </w:rPr>
        <w:t xml:space="preserve">cceptance </w:t>
      </w:r>
      <w:r>
        <w:rPr>
          <w:color w:val="000000"/>
          <w:sz w:val="21"/>
        </w:rPr>
        <w:t>T</w:t>
      </w:r>
      <w:r>
        <w:rPr>
          <w:color w:val="000000"/>
          <w:sz w:val="21"/>
        </w:rPr>
        <w:t>est</w:t>
      </w:r>
      <w:r>
        <w:rPr>
          <w:color w:val="000000"/>
          <w:sz w:val="21"/>
        </w:rPr>
        <w:t xml:space="preserve"> and </w:t>
      </w:r>
      <w:r>
        <w:rPr>
          <w:color w:val="000000"/>
          <w:sz w:val="21"/>
        </w:rPr>
        <w:t>P</w:t>
      </w:r>
      <w:r>
        <w:rPr>
          <w:color w:val="000000"/>
          <w:sz w:val="21"/>
        </w:rPr>
        <w:t xml:space="preserve">rovisional </w:t>
      </w:r>
      <w:r>
        <w:rPr>
          <w:color w:val="000000"/>
          <w:sz w:val="21"/>
        </w:rPr>
        <w:t>A</w:t>
      </w:r>
      <w:r>
        <w:rPr>
          <w:color w:val="000000"/>
          <w:sz w:val="21"/>
        </w:rPr>
        <w:t>cceptance on site</w:t>
      </w:r>
      <w:r>
        <w:rPr>
          <w:color w:val="000000"/>
          <w:sz w:val="21"/>
        </w:rPr>
        <w:t xml:space="preserve"> or (90 days) </w:t>
      </w:r>
      <w:r>
        <w:rPr>
          <w:color w:val="000000"/>
          <w:sz w:val="21"/>
        </w:rPr>
        <w:t>days after shipment from the loading port, whichever occurs firs</w:t>
      </w:r>
      <w:r>
        <w:rPr>
          <w:color w:val="000000"/>
          <w:sz w:val="21"/>
        </w:rPr>
        <w:t>t;</w:t>
      </w:r>
    </w:p>
    <w:p>
      <w:pPr>
        <w:pStyle w:val="2"/>
      </w:pPr>
    </w:p>
    <w:p>
      <w:pPr>
        <w:pStyle w:val="2"/>
      </w:pPr>
      <w:r>
        <w:rPr>
          <w:color w:val="000000"/>
          <w:sz w:val="21"/>
        </w:rPr>
        <w:t>In addition to all other remedies available under this Contract or at law, the SELLER is entitled to suspend or cancel future deliveries of Commodities, relevant Software or Documentation and provisioning of Services to the BUYER without notice where the BUYER has failed to make payments within [ten] business days after the due date in accordance with this A</w:t>
      </w:r>
      <w:r>
        <w:rPr>
          <w:color w:val="000000"/>
          <w:sz w:val="21"/>
        </w:rPr>
        <w:t>greement</w:t>
      </w:r>
      <w:r>
        <w:rPr>
          <w:color w:val="000000"/>
          <w:sz w:val="21"/>
        </w:rPr>
        <w:t>.</w:t>
      </w:r>
    </w:p>
    <w:p>
      <w:pPr>
        <w:pStyle w:val="2"/>
      </w:pPr>
    </w:p>
    <w:p>
      <w:pPr>
        <w:pStyle w:val="2"/>
      </w:pPr>
      <w:r>
        <w:rPr>
          <w:color w:val="000000"/>
          <w:sz w:val="21"/>
        </w:rPr>
        <w:t xml:space="preserve">Where Buyer payments are contractually linked to end-customer milestone payments, any delay in end-customer payment shall automatically extend the Buyer's </w:t>
      </w:r>
      <w:r>
        <w:rPr>
          <w:color w:val="000000"/>
          <w:sz w:val="21"/>
        </w:rPr>
        <w:t>corresponding payment deadline without penalty</w:t>
      </w:r>
    </w:p>
    <w:p>
      <w:pPr>
        <w:pStyle w:val="2"/>
      </w:pPr>
    </w:p>
    <w:p>
      <w:pPr>
        <w:pStyle w:val="2"/>
      </w:pPr>
    </w:p>
    <w:p>
      <w:pPr>
        <w:pStyle w:val="2"/>
      </w:pPr>
    </w:p>
    <w:p>
      <w:pPr>
        <w:pStyle w:val="2"/>
      </w:pPr>
    </w:p>
    <w:p>
      <w:pPr>
        <w:pStyle w:val="2"/>
      </w:pPr>
      <w:r>
        <w:rPr>
          <w:color w:val="000000"/>
          <w:sz w:val="21"/>
        </w:rPr>
        <w:t>The Buyer shall not be deemed in default, nor shall shipment suspension, interest, penalties, or termination rights arise, due solely to delays in end-customer payment beyond the Buyer's reasonable control.</w:t>
      </w:r>
    </w:p>
    <w:p>
      <w:pPr>
        <w:pStyle w:val="2"/>
      </w:pPr>
    </w:p>
    <w:p>
      <w:pPr>
        <w:pStyle w:val="2"/>
      </w:pPr>
    </w:p>
    <w:p>
      <w:pPr>
        <w:pStyle w:val="2"/>
      </w:pPr>
    </w:p>
    <w:p>
      <w:pPr>
        <w:pStyle w:val="2"/>
      </w:pPr>
    </w:p>
    <w:p>
      <w:pPr>
        <w:pStyle w:val="2"/>
      </w:pPr>
      <w:r>
        <w:rPr>
          <w:color w:val="000000"/>
          <w:sz w:val="21"/>
        </w:rPr>
        <w:t>Any late payment shall bear interest at a rate equal to the rate prescribed by EU Directive 2011/7/EU, being the European Central Bank main refinancing rate plus eight percent (8%) per annum, calculated on a simple interest basis and accruing from the due date until the date of actual payment.</w:t>
      </w:r>
      <w:r>
        <w:rPr>
          <w:color w:val="000000"/>
          <w:sz w:val="21"/>
        </w:rPr>
        <w:t>.</w:t>
      </w:r>
      <w:r>
        <w:rPr>
          <w:color w:val="000000"/>
          <w:sz w:val="21"/>
        </w:rPr>
        <w:t>.</w:t>
      </w:r>
    </w:p>
    <w:p>
      <w:pPr>
        <w:pStyle w:val="2"/>
      </w:pPr>
      <w:r>
        <w:rPr>
          <w:color w:val="000000"/>
        </w:rPr>
        <w:t>.</w:t>
      </w: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pPr>
    </w:p>
    <w:p>
      <w:pPr>
        <w:pStyle w:val="2"/>
      </w:pPr>
      <w:r>
        <w:rPr/>
        <w:t xml:space="preserve"> </w:t>
      </w:r>
    </w:p>
    <w:p>
      <w:pPr>
        <w:pStyle w:val="2"/>
      </w:pPr>
      <w:r>
        <w:rPr>
          <w:color w:val="000000"/>
          <w:sz w:val="21"/>
        </w:rPr>
        <w:t>All amounts due under this Contract shall be paid in full without any set-off, counterclaim, deduction or withholding (other than any deduction or withholding of tax as required by law).</w:t>
      </w:r>
    </w:p>
    <w:p>
      <w:pPr>
        <w:pStyle w:val="1"/>
      </w:pPr>
      <w:r>
        <w:rPr>
          <w:color w:val="000000"/>
          <w:sz w:val="21"/>
        </w:rPr>
        <w:t>Titles</w:t>
      </w:r>
    </w:p>
    <w:p>
      <w:pPr>
        <w:pStyle w:val="2"/>
      </w:pPr>
      <w:r>
        <w:rPr>
          <w:color w:val="000000"/>
        </w:rPr>
        <w:t xml:space="preserve">Legal and equitable title to any of the Commodities shall only pass to the BUYER upon the later of the following: (1) the receipt of payment in full (without set off, counterclaim or any deduction) by the SELLER; (2) the delivery of the Commodities. However, </w:t>
      </w:r>
      <w:r>
        <w:rPr>
          <w:color w:val="000000"/>
          <w:sz w:val="21"/>
        </w:rPr>
        <w:t xml:space="preserve">Risk in Commodities shall pass to the BUYER on </w:t>
      </w:r>
      <w:r>
        <w:rPr>
          <w:color w:val="000000"/>
        </w:rPr>
        <w:t>d</w:t>
      </w:r>
      <w:r>
        <w:rPr>
          <w:color w:val="000000"/>
          <w:sz w:val="21"/>
        </w:rPr>
        <w:t xml:space="preserve">elivery. </w:t>
      </w:r>
    </w:p>
    <w:p>
      <w:pPr>
        <w:pStyle w:val="2"/>
      </w:pPr>
    </w:p>
    <w:p>
      <w:pPr>
        <w:pStyle w:val="2"/>
      </w:pPr>
      <w:r>
        <w:rPr>
          <w:color w:val="000000"/>
          <w:sz w:val="21"/>
        </w:rPr>
        <w:t>The BUYER acknowledges that it is in possession of the Commodities solely as bailee until the time that title passes as described in clause 7.1 and until that time: (a) the BUYER is entitled to sell the Commodities but only in the ordinary course of business; (b) the BUYER must not encumber or otherwise charge the Commodities; (c) the BUYER shall be fully responsible for any loss or damage to the Commodities whatsoever and howsoever caused following delivery.</w:t>
      </w:r>
    </w:p>
    <w:p>
      <w:pPr>
        <w:pStyle w:val="2"/>
      </w:pPr>
    </w:p>
    <w:p>
      <w:pPr>
        <w:pStyle w:val="1"/>
      </w:pPr>
      <w:r>
        <w:rPr>
          <w:color w:val="000000"/>
          <w:sz w:val="21"/>
        </w:rPr>
        <w:t>Warranty</w:t>
      </w:r>
    </w:p>
    <w:p>
      <w:pPr>
        <w:pStyle w:val="2"/>
      </w:pPr>
      <w:r>
        <w:rPr>
          <w:color w:val="000000"/>
          <w:sz w:val="21"/>
        </w:rPr>
        <w:t xml:space="preserve">The SELLER shall, under the approval of both Parties, repair or replace any Commodities or part of the Commodities (other than the Software) which it affirms are materially defective arising from faulty design, material or workmanship where </w:t>
      </w:r>
      <w:r>
        <w:rPr>
          <w:color w:val="000000"/>
          <w:sz w:val="21"/>
        </w:rPr>
        <w:t xml:space="preserve">the defect appears within the period of 5 years. Except for the warranty set forth herein </w:t>
      </w:r>
      <w:r>
        <w:rPr>
          <w:color w:val="000000"/>
        </w:rPr>
        <w:t>(attached as an appendix to this Agreement)</w:t>
      </w:r>
      <w:r>
        <w:rPr>
          <w:color w:val="000000"/>
          <w:sz w:val="21"/>
        </w:rPr>
        <w:t xml:space="preserve">, SELLER makes no warranty whatsoever with respect to the Commodities, including any (i) warranty of merchantability;  (ii) warranty of fitness for a particular purpose; or (iv) warranty against infringement of intellectual property rights of a </w:t>
      </w:r>
      <w:r>
        <w:rPr>
          <w:color w:val="000000"/>
          <w:sz w:val="21"/>
        </w:rPr>
        <w:t>third party</w:t>
      </w:r>
      <w:r>
        <w:rPr>
          <w:color w:val="000000"/>
          <w:sz w:val="21"/>
        </w:rPr>
        <w:t>The warranty period shall commence on the earlier of:</w:t>
      </w:r>
    </w:p>
    <w:p>
      <w:pPr>
        <w:pStyle w:val="2"/>
      </w:pPr>
      <w:r>
        <w:rPr>
          <w:color w:val="000000"/>
          <w:sz w:val="21"/>
        </w:rPr>
        <w:t xml:space="preserve">(a) the date of commissioning </w:t>
      </w:r>
      <w:r>
        <w:rPr>
          <w:color w:val="000000"/>
          <w:sz w:val="21"/>
        </w:rPr>
        <w:t>(PAC)</w:t>
      </w:r>
      <w:r>
        <w:rPr>
          <w:color w:val="000000"/>
          <w:sz w:val="21"/>
        </w:rPr>
        <w:t xml:space="preserve">; </w:t>
      </w:r>
      <w:r>
        <w:rPr>
          <w:color w:val="000000"/>
        </w:rPr>
      </w:r>
      <w:r>
        <w:rPr>
          <w:color w:val="000000"/>
          <w:sz w:val="21"/>
        </w:rPr>
        <w:t>or</w:t>
      </w:r>
    </w:p>
    <w:p>
      <w:pPr>
        <w:pStyle w:val="2"/>
      </w:pPr>
      <w:r>
        <w:rPr>
          <w:color w:val="000000"/>
          <w:sz w:val="21"/>
        </w:rPr>
        <w:t>(b) six (6) months after the shipment date of the Commodities from the Seller's factory.</w:t>
      </w:r>
    </w:p>
    <w:p>
      <w:pPr>
        <w:pStyle w:val="2"/>
      </w:pPr>
    </w:p>
    <w:p>
      <w:pPr>
        <w:pStyle w:val="2"/>
      </w:pPr>
      <w:r>
        <w:rPr>
          <w:color w:val="000000"/>
          <w:sz w:val="21"/>
        </w:rPr>
        <w:t>The Warranty shall only apply: (a) to Commodities which have been manufactured by the SELLER; and (b) to Commodities which have been installed, maintained, used and protected in accordance with specifications issued by the SELLER</w:t>
      </w:r>
      <w:r>
        <w:rPr>
          <w:color w:val="000000"/>
          <w:sz w:val="21"/>
        </w:rPr>
        <w:t>.</w:t>
      </w:r>
    </w:p>
    <w:p>
      <w:pPr>
        <w:pStyle w:val="2"/>
      </w:pPr>
    </w:p>
    <w:p>
      <w:pPr>
        <w:pStyle w:val="2"/>
      </w:pPr>
      <w:r>
        <w:rPr>
          <w:color w:val="000000"/>
          <w:sz w:val="21"/>
        </w:rPr>
        <w:t>To be entitled to claim the Warranty, the BUYER must (i) have complied with, and have used the Commodities (including any related Software) in accordance with all applicable laws, regulations, industry standards, codes and rules; (ii) have used the Commodities under normal conditions; (iii) comply with the procedure set out in this clause.</w:t>
      </w:r>
    </w:p>
    <w:p>
      <w:pPr>
        <w:pStyle w:val="2"/>
      </w:pPr>
    </w:p>
    <w:p>
      <w:pPr>
        <w:pStyle w:val="2"/>
      </w:pPr>
      <w:r>
        <w:rPr>
          <w:color w:val="000000"/>
          <w:sz w:val="21"/>
        </w:rPr>
        <w:t>The warranty will not apply: (i) where the defect was caused by the failure of the BUYER to follow the instructions of the SELLER (ii) where the defect was caused by handling or installation or otherwise by a person other than the SELLER; (iii) where the defect has been disclosed as a feature or limitation ( (</w:t>
      </w:r>
      <w:r>
        <w:rPr>
          <w:color w:val="000000"/>
          <w:sz w:val="21"/>
        </w:rPr>
        <w:t>v) the BUYER alters or repairs those Commodities without the written consent of the SELLER, (vi) the defect arises as a result of fair wear and tear, wilful damage, negligence, or abnormal conditions.</w:t>
      </w:r>
    </w:p>
    <w:p>
      <w:pPr>
        <w:pStyle w:val="2"/>
      </w:pPr>
    </w:p>
    <w:p>
      <w:pPr>
        <w:pStyle w:val="2"/>
      </w:pPr>
      <w:r>
        <w:rPr>
          <w:color w:val="000000"/>
          <w:sz w:val="21"/>
        </w:rPr>
        <w:t>In order to claim the Warranty,</w:t>
      </w:r>
      <w:r>
        <w:rPr>
          <w:color w:val="000000"/>
          <w:sz w:val="21"/>
        </w:rPr>
        <w:t xml:space="preserve"> the BUYER must (i) notify SELLER in documentary form, to the e-mail address indicated in the Agreement of the defect in the Commodities within seven (7) days of the first person to become aware of the defect becoming so aware;</w:t>
      </w:r>
      <w:r>
        <w:rPr>
          <w:color w:val="000000"/>
          <w:sz w:val="21"/>
        </w:rPr>
        <w:t xml:space="preserve"> and (ii) within seven (7) days of the notice being provided under (i) shall be confirmed by letter by the SELLER. The notification under (i) may be sent to the SELLER’s address as set out in the delivery note provided by the SELLER to the BUYER at the time of delivering the Commodities. The SELLER will investigate the claim and determine whether the BUYER is entitled to claim the Warranty under the Contract.</w:t>
      </w:r>
    </w:p>
    <w:p>
      <w:pPr>
        <w:pStyle w:val="2"/>
      </w:pPr>
    </w:p>
    <w:p>
      <w:pPr>
        <w:pStyle w:val="2"/>
      </w:pPr>
      <w:r>
        <w:rPr>
          <w:color w:val="000000"/>
          <w:sz w:val="21"/>
        </w:rPr>
        <w:t>Subject to other provisions in this section, with respect to any Commodities affected by a defect during the warranty period, SELLER shall, in its sole discretion, either: (i) repair or replace such Commodities (or the defective part) or (ii) credit or refund the Price of such Commodities at the pro rata contract rate provided that, if SELLER so requests, BUYER shall, at SELLER’s expense, return such Commodities to SELLER. The remedies set forth in this clause shall be the BUYER’s sole and exclusive remedy and SELLER’s entire liability for any breach of the limited warranty set forth this section.</w:t>
      </w:r>
    </w:p>
    <w:p>
      <w:pPr>
        <w:pStyle w:val="2"/>
      </w:pPr>
      <w:r>
        <w:rPr>
          <w:color w:val="000000"/>
          <w:sz w:val="21"/>
        </w:rPr>
        <w:t>Products manufactured by a third party (“Third-Party Product”) may constitute, contain, be contained in or incorporated into, or attached to, or packaged together with, the Commodities and such Third-Party Products are not covered by the warranty in this section. Where any Commodities, Documentation or Services have been manufactured or procured from a third party, the SELLER shall transfer to the BUYER the benefits of any warranties granted by third parties with respect to such goods</w:t>
      </w:r>
      <w:r>
        <w:rPr>
          <w:color w:val="000000"/>
          <w:sz w:val="21"/>
        </w:rPr>
        <w:t xml:space="preserve">, </w:t>
      </w:r>
      <w:r>
        <w:rPr>
          <w:color w:val="000000"/>
          <w:sz w:val="21"/>
        </w:rPr>
        <w:t xml:space="preserve">documentation or services, and shall provide the warranty certificate together with the delivery of the Commodities covered by the contract. </w:t>
      </w:r>
    </w:p>
    <w:p>
      <w:pPr>
        <w:pStyle w:val="2"/>
      </w:pPr>
    </w:p>
    <w:p>
      <w:pPr>
        <w:pStyle w:val="2"/>
      </w:pPr>
    </w:p>
    <w:p>
      <w:pPr>
        <w:pStyle w:val="2"/>
      </w:pPr>
      <w:r>
        <w:rPr>
          <w:color w:val="000000"/>
        </w:rPr>
        <w:t>If the Commodities require regular maintenance, the BUYER shall be responsible for ensuring such maintenance is performed in accordance with the SELLER's guidelines. The SELLER shall provide necessary technical support and spare parts availability as per the terms agreed upon separately in the maintenance service agreement, if applicable.</w:t>
      </w:r>
    </w:p>
    <w:p>
      <w:pPr>
        <w:pStyle w:val="2"/>
      </w:pPr>
    </w:p>
    <w:p>
      <w:pPr>
        <w:pStyle w:val="1"/>
      </w:pPr>
      <w:r>
        <w:rPr>
          <w:color w:val="000000"/>
          <w:sz w:val="21"/>
        </w:rPr>
        <w:t>COASTAL INSTALLATION RESTRICTIONS</w:t>
      </w:r>
    </w:p>
    <w:p>
      <w:pPr>
        <w:pStyle w:val="2"/>
      </w:pPr>
      <w:r>
        <w:rPr>
          <w:color w:val="000000"/>
        </w:rPr>
        <w:tab/>
        <w:t xml:space="preserve">For all installations in the Republic of Cyprus, C5-rated corrosion-protected enclosures shall be specified as standard. </w:t>
      </w:r>
    </w:p>
    <w:p>
      <w:pPr>
        <w:pStyle w:val="2"/>
      </w:pPr>
      <w:r>
        <w:rPr>
          <w:color w:val="000000"/>
        </w:rPr>
        <w:tab/>
      </w:r>
      <w:r>
        <w:rPr>
          <w:color w:val="000000"/>
        </w:rPr>
        <w:tab/>
      </w:r>
    </w:p>
    <w:p>
      <w:pPr>
        <w:pStyle w:val="2"/>
      </w:pPr>
    </w:p>
    <w:p>
      <w:pPr>
        <w:pStyle w:val="2"/>
      </w:pPr>
      <w:r>
        <w:rPr>
          <w:color w:val="000000"/>
        </w:rPr>
        <w:t>For systems WITH C5-rated enclosure (Cyprus standard):</w:t>
      </w:r>
    </w:p>
    <w:p>
      <w:pPr>
        <w:pStyle w:val="2"/>
      </w:pPr>
      <w:r>
        <w:rPr>
          <w:color w:val="000000"/>
        </w:rPr>
        <w:t>(a) Installations more than 500 metres from the sea: full 5-year warranty applies;</w:t>
      </w:r>
    </w:p>
    <w:p>
      <w:pPr>
        <w:pStyle w:val="2"/>
      </w:pPr>
      <w:r>
        <w:rPr>
          <w:color w:val="000000"/>
        </w:rPr>
        <w:t>(b) Installations within 500 metres from the sea: warranty for PCS, transformer, and switchgear reduced to 2 years.</w:t>
      </w:r>
    </w:p>
    <w:p>
      <w:pPr>
        <w:pStyle w:val="2"/>
      </w:pPr>
      <w:r>
        <w:rPr>
          <w:color w:val="000000"/>
        </w:rPr>
        <w:t>The Buyer shall confirm the installation site distance from the sea in each Quotation request. For Cyprus, C5 enclosure is presumed unless expressly stated otherwise.</w:t>
      </w:r>
    </w:p>
    <w:p>
      <w:pPr>
        <w:pStyle w:val="2"/>
      </w:pPr>
    </w:p>
    <w:p>
      <w:pPr>
        <w:pStyle w:val="1"/>
      </w:pPr>
      <w:r>
        <w:rPr>
          <w:color w:val="000000"/>
          <w:sz w:val="21"/>
        </w:rPr>
        <w:t>WARRANTY LIABILITY CAP</w:t>
      </w:r>
    </w:p>
    <w:p>
      <w:pPr>
        <w:pStyle w:val="2"/>
      </w:pPr>
    </w:p>
    <w:p>
      <w:pPr>
        <w:pStyle w:val="2"/>
      </w:pPr>
      <w:r>
        <w:rPr>
          <w:color w:val="000000"/>
        </w:rPr>
        <w:t xml:space="preserve">Subject to Section </w:t>
      </w:r>
      <w:r>
        <w:rPr>
          <w:color w:val="000000"/>
        </w:rPr>
        <w:t>8B.2</w:t>
      </w:r>
      <w:r>
        <w:rPr>
          <w:color w:val="000000"/>
        </w:rPr>
        <w:t>, the Seller's aggregate liability for warranty services and related costs shall not exceed ten percent (10%) of the total payment received for the defective Commodities.</w:t>
      </w:r>
    </w:p>
    <w:p>
      <w:pPr>
        <w:pStyle w:val="2"/>
      </w:pPr>
    </w:p>
    <w:p>
      <w:pPr>
        <w:pStyle w:val="2"/>
      </w:pPr>
      <w:r>
        <w:rPr>
          <w:color w:val="000000"/>
        </w:rPr>
        <w:t xml:space="preserve">Manufacturing Defect Carve-Out: Notwithstanding Section 8B.1, the Seller's aggregate liability for warranty services shall </w:t>
      </w:r>
      <w:r>
        <w:rPr>
          <w:color w:val="000000"/>
        </w:rPr>
        <w:t xml:space="preserve">cover the full cost of repair or replacement of defective parts, </w:t>
      </w:r>
      <w:r>
        <w:rPr>
          <w:color w:val="000000"/>
        </w:rPr>
        <w:t>including shipping to CIF Limassol</w:t>
      </w:r>
      <w:r>
        <w:rPr>
          <w:color w:val="000000"/>
          <w:sz w:val="22"/>
        </w:rPr>
      </w:r>
      <w:r>
        <w:rPr>
          <w:color w:val="000000"/>
        </w:rPr>
        <w:t>, where the defect is confirmed as a manufacturing fault. The 10% cap shall NOT apply to defects confirmed as manufacturing faults.</w:t>
      </w:r>
      <w:r>
        <w:rPr>
          <w:color w:val="000000"/>
        </w:rPr>
        <w:t>The 10% liability cap shall NOT apply to claims arising from confirmed manufacturing defects. For manufacturing defects, the Seller shall bear the full cost of repair or replacement, including shipping</w:t>
      </w:r>
    </w:p>
    <w:p>
      <w:pPr>
        <w:pStyle w:val="2"/>
      </w:pPr>
    </w:p>
    <w:p>
      <w:pPr>
        <w:pStyle w:val="2"/>
      </w:pPr>
      <w:r>
        <w:rPr>
          <w:b/>
          <w:color w:val="000000"/>
        </w:rPr>
        <w:t>L</w:t>
      </w:r>
      <w:r>
        <w:rPr>
          <w:b/>
          <w:color w:val="000000"/>
        </w:rPr>
        <w:t>ong</w:t>
      </w:r>
      <w:r>
        <w:rPr>
          <w:b/>
          <w:color w:val="000000"/>
        </w:rPr>
        <w:t xml:space="preserve"> </w:t>
      </w:r>
      <w:r>
        <w:rPr>
          <w:b/>
          <w:color w:val="000000"/>
        </w:rPr>
        <w:t>T</w:t>
      </w:r>
      <w:r>
        <w:rPr>
          <w:b/>
          <w:color w:val="000000"/>
        </w:rPr>
        <w:t>erm</w:t>
      </w:r>
      <w:r>
        <w:rPr>
          <w:b/>
          <w:color w:val="000000"/>
        </w:rPr>
        <w:t xml:space="preserve"> </w:t>
      </w:r>
      <w:r>
        <w:rPr>
          <w:b/>
          <w:color w:val="000000"/>
        </w:rPr>
        <w:t>S</w:t>
      </w:r>
      <w:r>
        <w:rPr>
          <w:b/>
          <w:color w:val="000000"/>
        </w:rPr>
        <w:t>ervi</w:t>
      </w:r>
      <w:r>
        <w:rPr>
          <w:b/>
          <w:color w:val="000000"/>
        </w:rPr>
        <w:t>c</w:t>
      </w:r>
      <w:r>
        <w:rPr>
          <w:b/>
          <w:color w:val="000000"/>
        </w:rPr>
        <w:t xml:space="preserve"> </w:t>
      </w:r>
      <w:r>
        <w:rPr>
          <w:b/>
          <w:color w:val="000000"/>
        </w:rPr>
        <w:t>A</w:t>
      </w:r>
      <w:r>
        <w:rPr>
          <w:b/>
          <w:color w:val="000000"/>
        </w:rPr>
        <w:t>greement</w:t>
      </w:r>
      <w:r>
        <w:rPr>
          <w:b/>
          <w:color w:val="000000"/>
        </w:rPr>
        <w:t xml:space="preserve"> SEPARATION</w:t>
      </w:r>
    </w:p>
    <w:p>
      <w:pPr>
        <w:pStyle w:val="2"/>
      </w:pPr>
      <w:r>
        <w:rPr>
          <w:color w:val="000000"/>
        </w:rPr>
        <w:t xml:space="preserve">Availability guarantees, performance guarantees, state-of-health guarantees, liquidated damages, or service-level commitments shall apply only if an LTSA is executed with the end customer and shall be governed exclusively by the LTSA. </w:t>
      </w:r>
      <w:r>
        <w:rPr>
          <w:color w:val="000000"/>
        </w:rPr>
        <w:t>No such guarantees are implied under this Contract.</w:t>
      </w:r>
    </w:p>
    <w:p>
      <w:pPr>
        <w:pStyle w:val="2"/>
      </w:pPr>
      <w:r>
        <w:rPr>
          <w:b/>
          <w:color w:val="000000"/>
        </w:rPr>
        <w:t>D.1 State of Health (SOH) Guarantees:</w:t>
      </w:r>
    </w:p>
    <w:p>
      <w:pPr>
        <w:pStyle w:val="2"/>
      </w:pPr>
      <w:r>
        <w:rPr>
          <w:color w:val="000000"/>
        </w:rPr>
        <w:t xml:space="preserve">The Seller warrants that the battery cells and modules, when operated in accordance with the Seller's guidelines (1 cycle/day average with toleration up to 1% , 90% DoD, 25±2°C, Charge / discharge power 0,5P /, shall retain the following minimum State of Health: </w:t>
      </w:r>
    </w:p>
    <w:p>
      <w:pPr>
        <w:pStyle w:val="2"/>
      </w:pPr>
      <w:r>
        <w:rPr>
          <w:color w:val="000000"/>
        </w:rPr>
        <w:t xml:space="preserve">(a) Year 5: ≥ 85% SOH; </w:t>
      </w:r>
    </w:p>
    <w:p>
      <w:pPr>
        <w:pStyle w:val="2"/>
      </w:pPr>
      <w:r>
        <w:rPr>
          <w:color w:val="000000"/>
        </w:rPr>
        <w:t xml:space="preserve">(b) Year 10: ≥ 79.58% SOH; </w:t>
      </w:r>
    </w:p>
    <w:p>
      <w:pPr>
        <w:pStyle w:val="2"/>
      </w:pPr>
      <w:r>
        <w:rPr>
          <w:color w:val="000000"/>
        </w:rPr>
        <w:t xml:space="preserve">(c) Year 15: ≥ 70% SOH. SOH remedy: </w:t>
      </w:r>
    </w:p>
    <w:p>
      <w:pPr>
        <w:pStyle w:val="2"/>
      </w:pPr>
      <w:r>
        <w:rPr>
          <w:color w:val="000000"/>
        </w:rPr>
        <w:t xml:space="preserve">The Seller shall supply replacement modules (FOB or CIF Limassol as applicable) to restore capacity above the guaranteed threshold. </w:t>
      </w:r>
      <w:r>
        <w:rPr>
          <w:color w:val="000000"/>
        </w:rPr>
        <w:t>Replacement parts are at Seller's cost</w:t>
      </w:r>
      <w:r>
        <w:rPr>
          <w:color w:val="000000"/>
          <w:sz w:val="22"/>
        </w:rPr>
      </w:r>
      <w:r>
        <w:rPr>
          <w:color w:val="000000"/>
        </w:rPr>
        <w:t>; installation labour is at Buyer's cost unless an LTSA provides otherwise.</w:t>
      </w:r>
    </w:p>
    <w:p>
      <w:pPr>
        <w:pStyle w:val="2"/>
      </w:pPr>
      <w:r>
        <w:rPr>
          <w:b/>
          <w:color w:val="000000"/>
        </w:rPr>
        <w:t xml:space="preserve">D.2 </w:t>
      </w:r>
      <w:r>
        <w:rPr>
          <w:b/>
          <w:color w:val="000000"/>
        </w:rPr>
        <w:t xml:space="preserve">Round-Trip Efficiency (RTE): </w:t>
      </w:r>
    </w:p>
    <w:p>
      <w:pPr>
        <w:pStyle w:val="2"/>
      </w:pPr>
      <w:r>
        <w:rPr>
          <w:color w:val="000000"/>
        </w:rPr>
        <w:t>The Seller warrants that the full system AC-AC Round-Trip Efficiency, including PCS conversion, auxiliary consumption, and internal DC/AC cabling losses within the Seller's supply scope, shall be not less than 86.32% at rated power under standard test conditions (0.5C charge / 0.5C discharge, 25±2°C). This warranty is conditional upon the Buyer's external MV cabling (from MV Skid to Point of Common conforming to the cable specifications and maximum allowable loss parameters set out in the Seller's system design drawings. The Seller shall provide the Buyer with the applicable cable loss budget and specifications within fourteen (14) days of contract signing. Any RTE shortfall attributable solely to Buyer- supplied cables exceeding the specified loss ratings shall not constitute a breach of this warranty.</w:t>
      </w:r>
    </w:p>
    <w:p>
      <w:pPr>
        <w:pStyle w:val="2"/>
      </w:pPr>
      <w:r>
        <w:rPr>
          <w:color w:val="000000"/>
        </w:rPr>
        <w:t xml:space="preserve">Voiding Condition: If the System remains in a deep discharge state (SOC &lt; 5%) for more than 7 consecutive days, the warranty for the affected cells and modules shall be null and void. The Seller reserves the right to verify this through the BMS "black box" records. </w:t>
      </w:r>
      <w:r>
        <w:rPr>
          <w:color w:val="000000"/>
          <w:sz w:val="22"/>
        </w:rPr>
      </w:r>
    </w:p>
    <w:p>
      <w:pPr>
        <w:pStyle w:val="2"/>
      </w:pPr>
      <w:r>
        <w:rPr>
          <w:b/>
          <w:color w:val="000000"/>
        </w:rPr>
        <w:t xml:space="preserve">8D.3 Cycle Life: </w:t>
      </w:r>
    </w:p>
    <w:p>
      <w:pPr>
        <w:pStyle w:val="2"/>
      </w:pPr>
      <w:r>
        <w:rPr>
          <w:color w:val="000000"/>
        </w:rPr>
        <w:t xml:space="preserve">The Seller warrants a minimum cycle life of 7,000 equivalent full cycles at a standard charge/discharge rateof 0.5C/0.5C, at 90% Depth of Discharge (DoD) to 70% End of Life (EOL), at 25±2°C, under the operating conditions specified in the Seller's Warranty Terms (Version 2). For the avoidance of doubt, the maximum charge/discharge rate is 1C. Operation at rates exceeding 0.5C may affect achievable cycle life and shall be governed by the degradation curves provided in the Seller's Warranty Terms V2. </w:t>
      </w:r>
    </w:p>
    <w:p>
      <w:pPr>
        <w:pStyle w:val="2"/>
      </w:pPr>
      <w:r>
        <w:rPr>
          <w:b/>
          <w:color w:val="000000"/>
        </w:rPr>
        <w:t xml:space="preserve">8D.4 PCS Efficiency: </w:t>
      </w:r>
    </w:p>
    <w:p>
      <w:pPr>
        <w:pStyle w:val="2"/>
      </w:pPr>
      <w:r>
        <w:rPr>
          <w:color w:val="000000"/>
        </w:rPr>
        <w:t xml:space="preserve">The Seller warrants PCS conversion efficiency of not less than 98% at rated power. </w:t>
      </w:r>
    </w:p>
    <w:p>
      <w:pPr>
        <w:pStyle w:val="2"/>
      </w:pPr>
      <w:r>
        <w:rPr>
          <w:b/>
          <w:color w:val="000000"/>
        </w:rPr>
        <w:t>8D.5 Remedies:</w:t>
      </w:r>
    </w:p>
    <w:p>
      <w:pPr>
        <w:pStyle w:val="2"/>
      </w:pPr>
      <w:r>
        <w:rPr>
          <w:color w:val="000000"/>
        </w:rPr>
        <w:t xml:space="preserve"> If the Products fail to meet the performance thresholds in §8D.1–8D.4, the Seller's obligation shall be limited to repair or replacement of defective components in accordance with Article 8 (Warranty). For the avoidance of doubt, availability LDs and revenue-based compensation remain governed exclusively by any applicable LTSA under Article 8C. </w:t>
      </w:r>
    </w:p>
    <w:p>
      <w:pPr>
        <w:pStyle w:val="2"/>
      </w:pPr>
      <w:r>
        <w:rPr>
          <w:b/>
          <w:color w:val="000000"/>
        </w:rPr>
        <w:t>8D.6 Reference Documents:</w:t>
      </w:r>
    </w:p>
    <w:p>
      <w:pPr>
        <w:pStyle w:val="2"/>
      </w:pPr>
      <w:r>
        <w:rPr>
          <w:color w:val="000000"/>
        </w:rPr>
        <w:t xml:space="preserve"> The following Seller documents form part of the performance warranty and are incorporated by reference: (a) Warranty Terms — Version 2; (b) Battery Container Specification (</w:t>
      </w:r>
      <w:r>
        <w:rPr>
          <w:color w:val="000000"/>
        </w:rPr>
        <w:t>5</w:t>
      </w:r>
      <w:r>
        <w:rPr>
          <w:color w:val="000000"/>
        </w:rPr>
        <w:t>.</w:t>
      </w:r>
      <w:r>
        <w:rPr>
          <w:color w:val="000000"/>
        </w:rPr>
        <w:t xml:space="preserve">015 </w:t>
      </w:r>
      <w:r>
        <w:rPr>
          <w:color w:val="000000"/>
        </w:rPr>
        <w:t>MWh); (c) PCS Datasheets (BCS-C-HUD series); (d) RTE Calculation Report (including cable loss budget assumptions).</w:t>
      </w:r>
    </w:p>
    <w:p>
      <w:pPr>
        <w:pStyle w:val="2"/>
      </w:pPr>
    </w:p>
    <w:p>
      <w:pPr>
        <w:pStyle w:val="1"/>
      </w:pPr>
      <w:r>
        <w:rPr>
          <w:color w:val="000000"/>
          <w:sz w:val="21"/>
        </w:rPr>
        <w:t>Limitation of Liability</w:t>
      </w:r>
    </w:p>
    <w:p>
      <w:pPr>
        <w:pStyle w:val="2"/>
      </w:pPr>
      <w:r>
        <w:rPr>
          <w:color w:val="000000"/>
          <w:sz w:val="21"/>
        </w:rPr>
        <w:t xml:space="preserve">References to liability in this section include every kind of liability arising under or in connection with this Contract including, but not limited to, for negligence. </w:t>
      </w:r>
    </w:p>
    <w:p>
      <w:pPr>
        <w:pStyle w:val="2"/>
      </w:pPr>
    </w:p>
    <w:p>
      <w:pPr>
        <w:pStyle w:val="2"/>
      </w:pPr>
      <w:r>
        <w:rPr>
          <w:color w:val="000000"/>
          <w:sz w:val="21"/>
        </w:rPr>
        <w:t>Nothing in this section shall limit the BUYER’s payment obligations under this Contract. Nothing in this Contract limits any liability for:</w:t>
      </w:r>
    </w:p>
    <w:p>
      <w:pPr>
        <w:pStyle w:val="3"/>
      </w:pPr>
      <w:r>
        <w:rPr>
          <w:color w:val="000000"/>
          <w:sz w:val="21"/>
        </w:rPr>
        <w:t>death or personal injury caused by gross negligence;</w:t>
      </w:r>
    </w:p>
    <w:p>
      <w:pPr>
        <w:pStyle w:val="3"/>
      </w:pPr>
      <w:r>
        <w:rPr>
          <w:color w:val="000000"/>
          <w:sz w:val="21"/>
        </w:rPr>
        <w:t>fraud or fraudulent misrepresentation; or</w:t>
      </w:r>
    </w:p>
    <w:p>
      <w:pPr>
        <w:pStyle w:val="3"/>
      </w:pPr>
      <w:r>
        <w:rPr>
          <w:color w:val="000000"/>
          <w:sz w:val="21"/>
        </w:rPr>
        <w:t>any liability that cannot legally be limited.</w:t>
      </w:r>
    </w:p>
    <w:p>
      <w:pPr>
        <w:pStyle w:val="3"/>
      </w:pPr>
    </w:p>
    <w:p>
      <w:pPr>
        <w:pStyle w:val="2"/>
      </w:pPr>
      <w:r>
        <w:rPr>
          <w:color w:val="000000"/>
          <w:sz w:val="21"/>
        </w:rPr>
        <w:t>Subject to other clauses in this section, the total aggregate liability of the SELLER for all breaches of duty under this Contract shall not exceed</w:t>
      </w:r>
      <w:r>
        <w:rPr>
          <w:color w:val="000000"/>
          <w:sz w:val="21"/>
        </w:rPr>
        <w:t>:</w:t>
      </w:r>
      <w:r>
        <w:rPr>
          <w:color w:val="000000"/>
          <w:sz w:val="21"/>
        </w:rPr>
        <w:br/>
        <w:t>(i)1</w:t>
      </w:r>
      <w:r>
        <w:rPr>
          <w:color w:val="000000"/>
          <w:sz w:val="21"/>
        </w:rPr>
        <w:t>0% for warranty claims (Art. 8B</w:t>
      </w:r>
      <w:r>
        <w:rPr>
          <w:color w:val="000000"/>
          <w:sz w:val="21"/>
        </w:rPr>
        <w:t>)</w:t>
      </w:r>
      <w:r>
        <w:rPr>
          <w:color w:val="000000"/>
          <w:sz w:val="21"/>
        </w:rPr>
        <w:br/>
      </w:r>
      <w:r>
        <w:rPr>
          <w:color w:val="000000"/>
          <w:sz w:val="21"/>
        </w:rPr>
        <w:t>(ii)</w:t>
      </w:r>
      <w:r>
        <w:rPr>
          <w:color w:val="000000"/>
          <w:sz w:val="21"/>
        </w:rPr>
        <w:t>50% for general contractual breaches</w:t>
      </w:r>
      <w:r>
        <w:rPr>
          <w:color w:val="000000"/>
          <w:sz w:val="21"/>
        </w:rPr>
        <w:br/>
      </w:r>
      <w:r>
        <w:rPr>
          <w:color w:val="000000"/>
          <w:sz w:val="21"/>
        </w:rPr>
        <w:t xml:space="preserve">(iii) </w:t>
      </w:r>
      <w:r>
        <w:rPr>
          <w:color w:val="000000"/>
          <w:sz w:val="21"/>
        </w:rPr>
        <w:t>100% for fraud, wilful misconduct, and manufacturing defect indemnities (Art. 9A carve-out)</w:t>
      </w:r>
    </w:p>
    <w:p>
      <w:pPr>
        <w:pStyle w:val="2"/>
      </w:pPr>
      <w:r>
        <w:rPr>
          <w:color w:val="000000"/>
          <w:sz w:val="21"/>
        </w:rPr>
        <w:t>of the total price paid by the BUYER to the SELLER for the Products giving rise to the claim. For the avoidance of doubt, this general liability cap is</w:t>
      </w:r>
      <w:r>
        <w:rPr>
          <w:color w:val="000000"/>
          <w:sz w:val="21"/>
        </w:rPr>
        <w:br/>
        <w:t>without prejudice to the warranty-specific liability cap in Section 8B, which shall apply to warranty claims independently</w:t>
      </w:r>
      <w:r>
        <w:rPr>
          <w:color w:val="000000"/>
          <w:sz w:val="21"/>
        </w:rPr>
        <w:t xml:space="preserve">. </w:t>
      </w:r>
    </w:p>
    <w:p>
      <w:pPr>
        <w:pStyle w:val="2"/>
      </w:pPr>
      <w:r>
        <w:rPr>
          <w:color w:val="000000"/>
          <w:sz w:val="21"/>
        </w:rPr>
        <w:t>The caps on the parties’ liabilities shall be reduced by:</w:t>
      </w:r>
    </w:p>
    <w:p>
      <w:pPr>
        <w:pStyle w:val="3"/>
      </w:pPr>
      <w:r>
        <w:rPr>
          <w:color w:val="000000"/>
          <w:sz w:val="21"/>
        </w:rPr>
        <w:t>amounts awarded by a court or arbitrator, using their procedural or statutory powers in respect of costs of proceedings or interest for late payment.</w:t>
      </w:r>
    </w:p>
    <w:p>
      <w:pPr>
        <w:pStyle w:val="3"/>
      </w:pPr>
    </w:p>
    <w:p>
      <w:pPr>
        <w:pStyle w:val="2"/>
      </w:pPr>
      <w:r>
        <w:rPr>
          <w:color w:val="000000"/>
          <w:sz w:val="21"/>
        </w:rPr>
        <w:t>Manufacturing Defect Carve-Out: The 10% liability cap shall NOT apply to claims arising from confirmed manufacturing defects. For manufacturing defects, the Seller shall bear the full cost of repair or replacement, including shipping.</w:t>
      </w:r>
    </w:p>
    <w:p>
      <w:pPr>
        <w:pStyle w:val="2"/>
      </w:pPr>
    </w:p>
    <w:p>
      <w:pPr>
        <w:pStyle w:val="2"/>
      </w:pPr>
      <w:r>
        <w:rPr>
          <w:color w:val="000000"/>
          <w:sz w:val="21"/>
        </w:rPr>
        <w:t>Subject to other clauses in this section, loss excluded in this Contract includes:</w:t>
      </w:r>
    </w:p>
    <w:p>
      <w:pPr>
        <w:pStyle w:val="3"/>
      </w:pPr>
      <w:r>
        <w:rPr>
          <w:color w:val="000000"/>
          <w:sz w:val="21"/>
        </w:rPr>
        <w:t>Loss of profits.</w:t>
      </w:r>
    </w:p>
    <w:p>
      <w:pPr>
        <w:pStyle w:val="3"/>
      </w:pPr>
      <w:r>
        <w:rPr>
          <w:color w:val="000000"/>
          <w:sz w:val="21"/>
        </w:rPr>
        <w:t>Loss of sales or business.</w:t>
      </w:r>
    </w:p>
    <w:p>
      <w:pPr>
        <w:pStyle w:val="3"/>
      </w:pPr>
      <w:r>
        <w:rPr>
          <w:color w:val="000000"/>
          <w:sz w:val="21"/>
        </w:rPr>
        <w:t>Loss of agreements or contracts.</w:t>
      </w:r>
    </w:p>
    <w:p>
      <w:pPr>
        <w:pStyle w:val="3"/>
      </w:pPr>
      <w:r>
        <w:rPr>
          <w:color w:val="000000"/>
          <w:sz w:val="21"/>
        </w:rPr>
        <w:t>Loss of anticipated savings.</w:t>
      </w:r>
    </w:p>
    <w:p>
      <w:pPr>
        <w:pStyle w:val="3"/>
      </w:pPr>
      <w:r>
        <w:rPr>
          <w:color w:val="000000"/>
          <w:sz w:val="21"/>
        </w:rPr>
        <w:t>Loss of or damage to goodwill.</w:t>
      </w:r>
    </w:p>
    <w:p>
      <w:pPr>
        <w:pStyle w:val="3"/>
      </w:pPr>
      <w:r>
        <w:rPr>
          <w:color w:val="000000"/>
          <w:sz w:val="21"/>
        </w:rPr>
        <w:t>Indirect or consequential loss.</w:t>
      </w:r>
    </w:p>
    <w:p>
      <w:pPr>
        <w:pStyle w:val="3"/>
      </w:pPr>
    </w:p>
    <w:p>
      <w:pPr>
        <w:pStyle w:val="3"/>
      </w:pPr>
      <w:r>
        <w:rPr>
          <w:b/>
          <w:color w:val="000000"/>
        </w:rPr>
        <w:t>SECTION 9A – INDEMNITIES</w:t>
      </w:r>
    </w:p>
    <w:p>
      <w:pPr>
        <w:pStyle w:val="3"/>
      </w:pPr>
      <w:r>
        <w:rPr>
          <w:color w:val="000000"/>
        </w:rPr>
        <w:t xml:space="preserve">9A.1 The Seller shall indemnify and hold harmless the Buyer against third-party claims arising directly from manufacturing defects in the Commodities, provided such claims are not caused by Buyer acts or omissions. The Buyer shall NOT be liable for Commodity performance issues, liquidated damages, or losses attributable to manufacturing defects or software </w:t>
      </w:r>
      <w:r>
        <w:rPr>
          <w:color w:val="000000"/>
        </w:rPr>
        <w:t xml:space="preserve">failures within the Seller's product stack. </w:t>
      </w:r>
    </w:p>
    <w:p>
      <w:pPr>
        <w:pStyle w:val="3"/>
      </w:pPr>
    </w:p>
    <w:p>
      <w:pPr>
        <w:pStyle w:val="3"/>
      </w:pPr>
      <w:r>
        <w:rPr>
          <w:color w:val="000000"/>
        </w:rPr>
        <w:t>9A.2 The Buyer shall indemnify the Seller against claims arising from:</w:t>
      </w:r>
    </w:p>
    <w:p>
      <w:pPr>
        <w:pStyle w:val="3"/>
      </w:pPr>
      <w:r>
        <w:rPr>
          <w:color w:val="000000"/>
        </w:rPr>
        <w:t>(a) EPC works performed by or on behalf of the Buyer;</w:t>
      </w:r>
    </w:p>
    <w:p>
      <w:pPr>
        <w:pStyle w:val="3"/>
      </w:pPr>
      <w:r>
        <w:rPr>
          <w:color w:val="000000"/>
        </w:rPr>
        <w:t>(b) Site conditions not meeting Seller's technical requirements;</w:t>
      </w:r>
    </w:p>
    <w:p>
      <w:pPr>
        <w:pStyle w:val="3"/>
      </w:pPr>
      <w:r>
        <w:rPr>
          <w:color w:val="000000"/>
        </w:rPr>
        <w:t>(c) Operation of the Commodities in breach of Seller instructions; or</w:t>
      </w:r>
    </w:p>
    <w:p>
      <w:pPr>
        <w:pStyle w:val="3"/>
      </w:pPr>
      <w:r>
        <w:rPr>
          <w:color w:val="000000"/>
        </w:rPr>
        <w:t>(d) Third-party systems not supplied by the Seller.</w:t>
      </w:r>
    </w:p>
    <w:p>
      <w:pPr>
        <w:pStyle w:val="3"/>
      </w:pPr>
      <w:r>
        <w:rPr>
          <w:b/>
          <w:color w:val="000000"/>
        </w:rPr>
        <w:t>G</w:t>
      </w:r>
      <w:r>
        <w:rPr>
          <w:b/>
          <w:color w:val="000000"/>
        </w:rPr>
        <w:t>uarantees</w:t>
      </w:r>
    </w:p>
    <w:p>
      <w:pPr>
        <w:pStyle w:val="2"/>
        <w:jc w:val="left"/>
      </w:pPr>
      <w:r>
        <w:rPr>
          <w:b/>
          <w:color w:val="000000"/>
        </w:rPr>
        <w:t>9B.1</w:t>
      </w:r>
      <w:r>
        <w:rPr>
          <w:color w:val="000000"/>
        </w:rPr>
        <w:t xml:space="preserve"> </w:t>
      </w:r>
      <w:r>
        <w:rPr>
          <w:color w:val="000000"/>
        </w:rPr>
        <w:tab/>
      </w:r>
      <w:r>
        <w:rPr>
          <w:b/>
          <w:color w:val="000000"/>
        </w:rPr>
        <w:t>Advance Payment Guarantee</w:t>
      </w:r>
      <w:r>
        <w:rPr>
          <w:b/>
          <w:color w:val="000000"/>
        </w:rPr>
        <w:br/>
      </w:r>
      <w:r>
        <w:rPr>
          <w:color w:val="000000"/>
        </w:rPr>
        <w:t>As security for the repayment of the advance payments made under this Agreement, the Seller shall provide the Buyer with an advance payment bank guarantee (the “Advance Payment Guarantee”).</w:t>
      </w:r>
    </w:p>
    <w:p>
      <w:pPr>
        <w:pStyle w:val="2"/>
      </w:pPr>
      <w:r>
        <w:rPr>
          <w:color w:val="000000"/>
        </w:rPr>
        <w:t>The Advance Payment Guarantee shall:</w:t>
      </w:r>
    </w:p>
    <w:p>
      <w:pPr>
        <w:pStyle w:val="2"/>
      </w:pPr>
      <w:r>
        <w:rPr>
          <w:color w:val="000000"/>
        </w:rPr>
        <w:t xml:space="preserve">a) </w:t>
      </w:r>
      <w:r>
        <w:rPr>
          <w:color w:val="000000"/>
        </w:rPr>
        <w:t>be issued by a reputable international bank acceptable to the Buyer;</w:t>
      </w:r>
      <w:r>
        <w:rPr>
          <w:color w:val="000000"/>
        </w:rPr>
        <w:br/>
        <w:t>b) be in a form and substance acceptable to the Buyer;</w:t>
      </w:r>
      <w:r>
        <w:rPr>
          <w:color w:val="000000"/>
        </w:rPr>
        <w:br/>
        <w:t>c) be payable on first demand without conditions or set-off; and</w:t>
      </w:r>
      <w:r>
        <w:rPr>
          <w:color w:val="000000"/>
        </w:rPr>
        <w:br/>
        <w:t>d) remain valid from the date of issuance until thirty (30) days after the date of delivery of the Commodities.</w:t>
      </w:r>
    </w:p>
    <w:p>
      <w:pPr>
        <w:pStyle w:val="2"/>
      </w:pPr>
      <w:r>
        <w:rPr>
          <w:color w:val="000000"/>
        </w:rPr>
        <w:t>The amount of the Advance Payment Guarantee shall be equal to one hundred percent (100%) of the advance payments received by the Seller under this Agreement.</w:t>
      </w:r>
    </w:p>
    <w:p>
      <w:pPr>
        <w:pStyle w:val="2"/>
      </w:pPr>
      <w:r>
        <w:rPr>
          <w:color w:val="000000"/>
        </w:rPr>
        <w:t>The Buyer shall be entitled to request payment under the Advance Payment Guarantee only if the Buyer first calls upon the Seller to return the relevant advance payment, providing a detailed justification for such request and granting the Seller a period of fourteen (14) days to return the advance payment, and the Seller fails to return the advance payment within such period; if the Buyer does not follow this procedure, any request for payment under the Advance Payment Guarantee shall be null and void.</w:t>
      </w:r>
    </w:p>
    <w:p>
      <w:pPr>
        <w:pStyle w:val="2"/>
      </w:pPr>
      <w:r>
        <w:rPr>
          <w:color w:val="000000"/>
        </w:rPr>
        <w:t>The Buyer shall be entitled to call the Advance Payment Guarantee in whole or in part in accordance with the above procedure in the event that the Seller fails to repay any advance payment in accordance with the terms of this Agreement.</w:t>
      </w:r>
    </w:p>
    <w:p>
      <w:pPr>
        <w:pStyle w:val="2"/>
        <w:jc w:val="left"/>
      </w:pPr>
    </w:p>
    <w:p>
      <w:pPr>
        <w:pStyle w:val="2"/>
        <w:jc w:val="left"/>
      </w:pPr>
      <w:r>
        <w:rPr>
          <w:b/>
          <w:color w:val="000000"/>
        </w:rPr>
        <w:t xml:space="preserve">9B.2 </w:t>
      </w:r>
      <w:r>
        <w:rPr>
          <w:b/>
          <w:color w:val="000000"/>
        </w:rPr>
        <w:t>Performance Bond:</w:t>
      </w:r>
      <w:r>
        <w:rPr>
          <w:b/>
          <w:color w:val="000000"/>
        </w:rPr>
        <w:br/>
      </w:r>
      <w:r>
        <w:rPr>
          <w:color w:val="000000"/>
        </w:rPr>
        <w:t xml:space="preserve">The Seller shall provide the Buyer with a bank guarantee for the proper performance of this Agreement in the amount of up to 5% of the Total Contract Value. The bank guarantee shall be issued no later than one month prior to delivery and shall remain valid until the Warranty period comes into effect according to provision </w:t>
      </w:r>
      <w:r>
        <w:rPr>
          <w:color w:val="000000"/>
        </w:rPr>
        <w:t>7.1 above in this agreement</w:t>
      </w:r>
      <w:r>
        <w:rPr>
          <w:color w:val="000000"/>
        </w:rPr>
        <w:t>.</w:t>
      </w:r>
    </w:p>
    <w:p>
      <w:pPr>
        <w:pStyle w:val="2"/>
        <w:jc w:val="left"/>
      </w:pPr>
      <w:r>
        <w:rPr>
          <w:b/>
          <w:color w:val="000000"/>
        </w:rPr>
        <w:t>9B.3 Product Liability Insurance</w:t>
      </w:r>
    </w:p>
    <w:p>
      <w:pPr>
        <w:pStyle w:val="2"/>
        <w:jc w:val="left"/>
      </w:pPr>
      <w:r>
        <w:rPr/>
        <w:t>The Seller shall maintain product liability insurance with a minimum coverage of EUR 5,000,000 per</w:t>
      </w:r>
      <w:r>
        <w:rPr/>
        <w:br/>
        <w:t>occurrence. The Seller has confirmed that such insurance is currently held with AXA. The Seller represents</w:t>
      </w:r>
      <w:r>
        <w:rPr/>
        <w:br/>
        <w:t>and warrants that:</w:t>
      </w:r>
      <w:r>
        <w:rPr/>
        <w:br/>
        <w:t>(a) the policy covers products supplied under this Contract for installation in the Republic of Cyprus;</w:t>
      </w:r>
      <w:r>
        <w:rPr/>
        <w:br/>
        <w:t xml:space="preserve">(b) coverage shall be maintained for the duration of this Contract and the warranty </w:t>
      </w:r>
      <w:r>
        <w:rPr/>
        <w:t>period;</w:t>
      </w:r>
      <w:r>
        <w:rPr/>
        <w:br/>
        <w:t>(c) the Seller shall provide a copy of the AXA insurance certificate to the Buyer within fourteen (14) days of</w:t>
      </w:r>
      <w:r>
        <w:rPr/>
        <w:br/>
        <w:t>contract signing and upon each policy renewal.</w:t>
      </w:r>
      <w:r>
        <w:rPr/>
        <w:br/>
        <w:t>The Buyer shall be entitled to verify the following upon receipt of the insurance certificate:</w:t>
      </w:r>
      <w:r>
        <w:rPr/>
        <w:br/>
        <w:t>(i) geographic scope — confirmation that products sold into / installed in the Republic of Cyprus are covered;</w:t>
      </w:r>
      <w:r>
        <w:rPr/>
        <w:br/>
        <w:t>(ii) coverage limits — per-occurrence and aggregate limits;</w:t>
      </w:r>
      <w:r>
        <w:rPr/>
        <w:br/>
        <w:t>(iii) exclusions — whether BESS-specific risks (thermal runaway, fire, battery deflagration) are excluded;</w:t>
      </w:r>
      <w:r>
        <w:rPr/>
        <w:br/>
        <w:t>(iv) named insured — confirmation that Linyang ESS / Jiangsu Linyang Energy Storage Technology Co., Ltd</w:t>
      </w:r>
      <w:r>
        <w:rPr/>
        <w:br/>
        <w:t>is a named insured;</w:t>
      </w:r>
      <w:r>
        <w:rPr/>
        <w:br/>
        <w:t>(v) policy period — annual renewable or project-specific.</w:t>
      </w:r>
      <w:r>
        <w:rPr/>
        <w:br/>
        <w:t>If, upon review, the insurance coverage is found to be materially inadequate for the risks associated with this</w:t>
      </w:r>
      <w:r>
        <w:rPr/>
        <w:br/>
        <w:t>Contract, the Parties shall discuss in good faith any necessary enhancements to the coverage</w:t>
      </w:r>
      <w:r>
        <w:rPr/>
        <w:t>.</w:t>
      </w:r>
    </w:p>
    <w:p>
      <w:pPr>
        <w:pStyle w:val="2"/>
        <w:jc w:val="left"/>
      </w:pPr>
    </w:p>
    <w:p>
      <w:pPr>
        <w:pStyle w:val="2"/>
        <w:jc w:val="left"/>
      </w:pPr>
      <w:r>
        <w:rPr>
          <w:b/>
        </w:rPr>
        <w:t>9B.4 Condition Precedent:</w:t>
      </w:r>
      <w:r>
        <w:rPr>
          <w:b/>
        </w:rPr>
        <w:br/>
      </w:r>
      <w:r>
        <w:rPr/>
        <w:t>The Buyer's obligation to make the advance payment under Article 6</w:t>
      </w:r>
      <w:r>
        <w:rPr/>
        <w:t>.1</w:t>
      </w:r>
      <w:r>
        <w:rPr/>
        <w:t>(a) shall not become due until the Seller</w:t>
      </w:r>
      <w:r>
        <w:rPr/>
        <w:t xml:space="preserve"> </w:t>
      </w:r>
      <w:r>
        <w:rPr/>
        <w:t>delivers the APG under Section 9B.1.</w:t>
      </w:r>
    </w:p>
    <w:p>
      <w:pPr>
        <w:pStyle w:val="2"/>
      </w:pPr>
      <w:r>
        <w:rPr>
          <w:b/>
        </w:rPr>
        <w:t>9B.5 Buyer Financial Standing:</w:t>
      </w:r>
    </w:p>
    <w:p>
      <w:pPr>
        <w:pStyle w:val="2"/>
      </w:pPr>
      <w:r>
        <w:rPr/>
        <w:t>The Seller has requested a credit assessment of the Buyer. The Buyer notes that under the agreed payment</w:t>
      </w:r>
      <w:r>
        <w:rPr/>
        <w:t xml:space="preserve"> </w:t>
      </w:r>
      <w:r>
        <w:rPr/>
        <w:t>structure, eighty to ninety percent (80–90%) of the contract value is prepaid before delivery, and the</w:t>
      </w:r>
      <w:r>
        <w:rPr/>
        <w:t xml:space="preserve"> </w:t>
      </w:r>
      <w:r>
        <w:rPr/>
        <w:t>advance payment under Article 6</w:t>
      </w:r>
      <w:r>
        <w:rPr/>
        <w:t>.1.</w:t>
      </w:r>
      <w:r>
        <w:rPr/>
        <w:t>(a) is non-refundable upon Buyer default (Article 6(g)). The Seller's credit</w:t>
      </w:r>
      <w:r>
        <w:rPr/>
        <w:br/>
        <w:t>exposure to the Buyer is therefore limited to the ten percent (10%) holdback under Article 6(d).</w:t>
      </w:r>
      <w:r>
        <w:rPr/>
        <w:t xml:space="preserve"> </w:t>
      </w:r>
      <w:r>
        <w:rPr/>
        <w:t>Notwithstanding the above, the Buyer shall, upon reasonable request:</w:t>
      </w:r>
      <w:r>
        <w:rPr/>
        <w:br/>
        <w:t>(a) provide a bank reference letter or confirmation of good standing from its principal banking institution;</w:t>
      </w:r>
    </w:p>
    <w:p>
      <w:pPr>
        <w:pStyle w:val="2"/>
      </w:pPr>
      <w:r>
        <w:rPr/>
        <w:t>a</w:t>
      </w:r>
      <w:r>
        <w:rPr/>
        <w:t>nd/or</w:t>
      </w:r>
      <w:r>
        <w:rPr/>
        <w:br/>
        <w:t xml:space="preserve">(b) provide evidence of funded end-customer contracts supporting each Purchase </w:t>
      </w:r>
      <w:r>
        <w:rPr/>
        <w:t>o</w:t>
      </w:r>
      <w:r>
        <w:rPr/>
        <w:t>rder placed under this</w:t>
      </w:r>
      <w:r>
        <w:rPr/>
        <w:t xml:space="preserve"> C</w:t>
      </w:r>
      <w:r>
        <w:rPr/>
        <w:t>ontract.For the avoidance of doubt, Lighthief Cyprus Ltd (Company No. HE 477423) is a wholly-owned subsidiary of</w:t>
      </w:r>
      <w:r>
        <w:rPr/>
        <w:br/>
        <w:t>Lighthief International Ltd. A letter of support from the parent entity may be provided upon request</w:t>
      </w:r>
    </w:p>
    <w:p>
      <w:pPr>
        <w:pStyle w:val="2"/>
        <w:jc w:val="left"/>
      </w:pPr>
    </w:p>
    <w:p>
      <w:pPr>
        <w:pStyle w:val="2"/>
      </w:pPr>
      <w:r>
        <w:rPr>
          <w:b/>
          <w:color w:val="000000"/>
        </w:rPr>
        <w:t>SECTION 9C – LIQUIDATED DAMAGES</w:t>
      </w:r>
    </w:p>
    <w:p>
      <w:pPr>
        <w:pStyle w:val="2"/>
      </w:pPr>
      <w:r>
        <w:rPr>
          <w:color w:val="000000"/>
        </w:rPr>
        <w:t>9C.1</w:t>
      </w:r>
      <w:r>
        <w:rPr>
          <w:color w:val="000000"/>
        </w:rPr>
        <w:tab/>
      </w:r>
      <w:r>
        <w:rPr>
          <w:color w:val="000000"/>
        </w:rPr>
        <w:t xml:space="preserve"> </w:t>
      </w:r>
      <w:r>
        <w:rPr>
          <w:color w:val="000000"/>
        </w:rPr>
        <w:t>Parties hereby shall states d</w:t>
      </w:r>
      <w:r>
        <w:rPr>
          <w:color w:val="000000"/>
        </w:rPr>
        <w:t>efinitions for L</w:t>
      </w:r>
      <w:r>
        <w:rPr>
          <w:color w:val="000000"/>
        </w:rPr>
        <w:t>iqu</w:t>
      </w:r>
      <w:r>
        <w:rPr>
          <w:color w:val="000000"/>
        </w:rPr>
        <w:t>i</w:t>
      </w:r>
      <w:r>
        <w:rPr>
          <w:color w:val="000000"/>
        </w:rPr>
        <w:t xml:space="preserve">dated </w:t>
      </w:r>
      <w:r>
        <w:rPr>
          <w:color w:val="000000"/>
        </w:rPr>
        <w:t>D</w:t>
      </w:r>
      <w:r>
        <w:rPr>
          <w:color w:val="000000"/>
        </w:rPr>
        <w:t>amages</w:t>
      </w:r>
      <w:r>
        <w:rPr>
          <w:color w:val="000000"/>
        </w:rPr>
        <w:t xml:space="preserve"> Purposes</w:t>
      </w:r>
      <w:r>
        <w:rPr>
          <w:color w:val="000000"/>
        </w:rPr>
        <w:t>:</w:t>
      </w:r>
    </w:p>
    <w:p>
      <w:pPr>
        <w:pStyle w:val="2"/>
      </w:pPr>
      <w:r>
        <w:rPr>
          <w:b/>
          <w:color w:val="000000"/>
        </w:rPr>
        <w:tab/>
      </w:r>
      <w:r>
        <w:rPr>
          <w:b/>
          <w:color w:val="000000"/>
        </w:rPr>
        <w:tab/>
      </w:r>
      <w:r>
        <w:rPr>
          <w:color w:val="000000"/>
        </w:rPr>
        <w:t>Critical Path Equipment</w:t>
      </w:r>
      <w:r>
        <w:rPr>
          <w:b/>
          <w:color w:val="000000"/>
        </w:rPr>
        <w:t xml:space="preserve"> - </w:t>
      </w:r>
      <w:r>
        <w:rPr>
          <w:color w:val="000000"/>
        </w:rPr>
        <w:t>Equipment whose delay prevents commissioning of the entire order or park. Includes: Power Conversion System (PCS), Medium-Voltage Switchgear/Skid (MV Skid), and main step-up transformer. Delay to any Critical Path Equipment constitutes a Full Order Delay</w:t>
      </w:r>
      <w:r>
        <w:rPr>
          <w:color w:val="000000"/>
        </w:rPr>
        <w:t>.</w:t>
      </w:r>
      <w:r>
        <w:rPr>
          <w:color w:val="000000"/>
        </w:rPr>
        <w:br/>
      </w:r>
      <w:r>
        <w:rPr>
          <w:color w:val="000000"/>
        </w:rPr>
        <w:br/>
      </w:r>
      <w:r>
        <w:rPr>
          <w:color w:val="000000"/>
        </w:rPr>
        <w:t>Non</w:t>
      </w:r>
      <w:r>
        <w:rPr>
          <w:color w:val="000000"/>
        </w:rPr>
        <w:t xml:space="preserve"> </w:t>
      </w:r>
      <w:r>
        <w:rPr>
          <w:color w:val="000000"/>
        </w:rPr>
        <w:t>Critical Path Equipment</w:t>
      </w:r>
      <w:r>
        <w:rPr>
          <w:color w:val="000000"/>
        </w:rPr>
        <w:t xml:space="preserve"> -</w:t>
      </w:r>
      <w:r>
        <w:rPr>
          <w:color w:val="000000"/>
        </w:rPr>
        <w:t xml:space="preserve"> </w:t>
      </w:r>
      <w:r>
        <w:rPr>
          <w:color w:val="000000"/>
        </w:rPr>
        <w:t>Equipment whose delay prevents commissioning of only a portion of the total ordered</w:t>
      </w:r>
      <w:r>
        <w:rPr>
          <w:color w:val="000000"/>
        </w:rPr>
        <w:t xml:space="preserve"> </w:t>
      </w:r>
      <w:r>
        <w:rPr>
          <w:color w:val="000000"/>
        </w:rPr>
        <w:t>capacity. Battery containers (BESS units) are Non-Critical Path Equipment when delivered individually as part of a multi-container order, provided the PCS and MV infrastructure are available to commission the remaining containers.</w:t>
      </w:r>
    </w:p>
    <w:p>
      <w:pPr>
        <w:pStyle w:val="2"/>
      </w:pPr>
      <w:r>
        <w:rPr>
          <w:b/>
          <w:color w:val="000000"/>
        </w:rPr>
        <w:tab/>
      </w:r>
      <w:r>
        <w:rPr>
          <w:b/>
          <w:color w:val="000000"/>
        </w:rPr>
        <w:tab/>
      </w:r>
      <w:r>
        <w:rPr>
          <w:color w:val="000000"/>
        </w:rPr>
        <w:t>Full Order Delay</w:t>
      </w:r>
      <w:r>
        <w:rPr>
          <w:b/>
          <w:color w:val="000000"/>
        </w:rPr>
        <w:t xml:space="preserve"> - </w:t>
      </w:r>
      <w:r>
        <w:rPr>
          <w:color w:val="000000"/>
        </w:rPr>
        <w:t>Delay caused by late delivery, defect, or unavailability of any Critical Path Equipment, resulting in no portion of the order being capable of commissioning</w:t>
      </w:r>
    </w:p>
    <w:p>
      <w:pPr>
        <w:pStyle w:val="2"/>
      </w:pPr>
      <w:r>
        <w:rPr>
          <w:b/>
          <w:color w:val="000000"/>
        </w:rPr>
        <w:tab/>
      </w:r>
      <w:r>
        <w:rPr>
          <w:color w:val="000000"/>
        </w:rPr>
        <w:t>Partial Delay</w:t>
      </w:r>
      <w:r>
        <w:rPr>
          <w:b/>
          <w:color w:val="000000"/>
        </w:rPr>
        <w:t xml:space="preserve"> - </w:t>
      </w:r>
      <w:r>
        <w:rPr>
          <w:color w:val="000000"/>
        </w:rPr>
        <w:t>Delay caused by late delivery, defect, or unavailability of Non-Critical Path Equipment, where the remaining equipment is capable of commissioning at reduced capacity.</w:t>
      </w:r>
    </w:p>
    <w:p>
      <w:pPr>
        <w:pStyle w:val="2"/>
      </w:pPr>
      <w:r>
        <w:rPr>
          <w:color w:val="000000"/>
        </w:rPr>
        <w:t>Affected Capacity</w:t>
      </w:r>
      <w:r>
        <w:rPr>
          <w:color w:val="000000"/>
        </w:rPr>
        <w:t xml:space="preserve"> -</w:t>
      </w:r>
      <w:r>
        <w:rPr>
          <w:color w:val="000000"/>
        </w:rPr>
        <w:t xml:space="preserve"> </w:t>
      </w:r>
      <w:r>
        <w:rPr>
          <w:color w:val="000000"/>
        </w:rPr>
        <w:t>The proportion of total ordered energy capacity (MWh) that cannot be commissioned due to the delayed equipment, expressed as a percentage of total capacity</w:t>
      </w:r>
    </w:p>
    <w:p>
      <w:pPr>
        <w:pStyle w:val="2"/>
      </w:pPr>
      <w:r>
        <w:rPr>
          <w:color w:val="000000"/>
        </w:rPr>
        <w:t>.</w:t>
      </w:r>
    </w:p>
    <w:p>
      <w:pPr>
        <w:pStyle w:val="2"/>
      </w:pPr>
    </w:p>
    <w:p>
      <w:pPr>
        <w:pStyle w:val="2"/>
      </w:pPr>
      <w:r>
        <w:rPr>
          <w:color w:val="000000"/>
        </w:rPr>
        <w:t>9C.2</w:t>
      </w:r>
      <w:r>
        <w:rPr>
          <w:color w:val="000000"/>
        </w:rPr>
        <w:tab/>
      </w:r>
      <w:r>
        <w:rPr>
          <w:color w:val="000000"/>
        </w:rPr>
        <w:tab/>
      </w:r>
      <w:r>
        <w:rPr>
          <w:color w:val="000000"/>
        </w:rPr>
        <w:t xml:space="preserve">The Buyer shall be </w:t>
      </w:r>
      <w:r>
        <w:rPr>
          <w:color w:val="000000"/>
        </w:rPr>
        <w:t xml:space="preserve">only </w:t>
      </w:r>
      <w:r>
        <w:rPr>
          <w:color w:val="000000"/>
        </w:rPr>
        <w:t xml:space="preserve">entitled to charge </w:t>
      </w:r>
      <w:r>
        <w:rPr>
          <w:color w:val="000000"/>
        </w:rPr>
        <w:t>the liquidated damages</w:t>
      </w:r>
      <w:r>
        <w:rPr>
          <w:color w:val="000000"/>
        </w:rPr>
        <w:t xml:space="preserve"> for delay</w:t>
      </w:r>
      <w:r>
        <w:rPr>
          <w:color w:val="000000"/>
        </w:rPr>
        <w:t xml:space="preserve"> for which </w:t>
      </w:r>
      <w:r>
        <w:rPr>
          <w:color w:val="000000"/>
        </w:rPr>
        <w:t xml:space="preserve">the </w:t>
      </w:r>
      <w:r>
        <w:rPr>
          <w:color w:val="000000"/>
        </w:rPr>
        <w:t>Sel</w:t>
      </w:r>
      <w:r>
        <w:rPr>
          <w:color w:val="000000"/>
        </w:rPr>
        <w:t xml:space="preserve">ler </w:t>
      </w:r>
      <w:r>
        <w:rPr>
          <w:color w:val="000000"/>
        </w:rPr>
        <w:t>bears</w:t>
      </w:r>
      <w:r>
        <w:rPr>
          <w:color w:val="000000"/>
        </w:rPr>
        <w:t xml:space="preserve"> solely responsibility without </w:t>
      </w:r>
      <w:r>
        <w:rPr>
          <w:color w:val="000000"/>
        </w:rPr>
        <w:t>any contribution from the Buyer in such delay</w:t>
      </w:r>
      <w:r>
        <w:rPr>
          <w:color w:val="000000"/>
        </w:rPr>
        <w:t>:</w:t>
      </w:r>
    </w:p>
    <w:p>
      <w:pPr>
        <w:pStyle w:val="2"/>
      </w:pPr>
      <w:r>
        <w:rPr>
          <w:color w:val="000000"/>
        </w:rPr>
        <w:t xml:space="preserve">(i) days 1-30 delay: </w:t>
      </w:r>
      <w:r>
        <w:rPr>
          <w:color w:val="000000"/>
        </w:rPr>
        <w:t xml:space="preserve"> in amount of 0.1 % of </w:t>
      </w:r>
      <w:r>
        <w:rPr>
          <w:color w:val="000000"/>
        </w:rPr>
        <w:t xml:space="preserve">LD </w:t>
      </w:r>
      <w:r>
        <w:rPr>
          <w:color w:val="000000"/>
        </w:rPr>
        <w:t xml:space="preserve">Value / </w:t>
      </w:r>
      <w:r>
        <w:rPr>
          <w:color w:val="000000"/>
        </w:rPr>
        <w:t xml:space="preserve">per one day of </w:t>
      </w:r>
      <w:r>
        <w:rPr>
          <w:color w:val="000000"/>
        </w:rPr>
        <w:t>delay</w:t>
      </w:r>
    </w:p>
    <w:p>
      <w:pPr>
        <w:pStyle w:val="2"/>
      </w:pPr>
      <w:r>
        <w:rPr>
          <w:color w:val="000000"/>
        </w:rPr>
        <w:t>(ii) days 31-60 delay:  in amount of 0.15 % of LD Value / per one day of delay</w:t>
      </w:r>
    </w:p>
    <w:p>
      <w:pPr>
        <w:pStyle w:val="2"/>
      </w:pPr>
      <w:r>
        <w:rPr>
          <w:color w:val="000000"/>
        </w:rPr>
        <w:t xml:space="preserve">(iii) days 61 and more </w:t>
      </w:r>
      <w:r>
        <w:rPr>
          <w:color w:val="000000"/>
        </w:rPr>
        <w:t>delay: in amount of 0.2 % of LD Value / per one day of delay</w:t>
      </w:r>
      <w:r>
        <w:rPr>
          <w:color w:val="000000"/>
        </w:rPr>
        <w:br/>
      </w:r>
      <w:r>
        <w:rPr>
          <w:color w:val="000000"/>
        </w:rPr>
        <w:t xml:space="preserve">LD cap responsibility </w:t>
      </w:r>
      <w:r>
        <w:rPr>
          <w:color w:val="000000"/>
        </w:rPr>
        <w:t>from</w:t>
      </w:r>
      <w:r>
        <w:rPr>
          <w:color w:val="000000"/>
        </w:rPr>
        <w:t xml:space="preserve"> point (i) up to (iii) </w:t>
      </w:r>
      <w:r>
        <w:rPr>
          <w:color w:val="000000"/>
        </w:rPr>
        <w:t>above: 10% of LD Value total.</w:t>
      </w:r>
    </w:p>
    <w:p>
      <w:pPr>
        <w:pStyle w:val="2"/>
      </w:pPr>
      <w:r>
        <w:rPr>
          <w:color w:val="000000"/>
        </w:rPr>
        <w:t xml:space="preserve">Exclusions: </w:t>
      </w:r>
      <w:r>
        <w:rPr>
          <w:color w:val="000000"/>
        </w:rPr>
        <w:br/>
      </w:r>
      <w:r>
        <w:rPr>
          <w:color w:val="000000"/>
        </w:rPr>
        <w:t>Delay L</w:t>
      </w:r>
      <w:r>
        <w:rPr>
          <w:color w:val="000000"/>
        </w:rPr>
        <w:t>iqu</w:t>
      </w:r>
      <w:r>
        <w:rPr>
          <w:color w:val="000000"/>
        </w:rPr>
        <w:t>i</w:t>
      </w:r>
      <w:r>
        <w:rPr>
          <w:color w:val="000000"/>
        </w:rPr>
        <w:t>dated</w:t>
      </w:r>
      <w:r>
        <w:rPr>
          <w:color w:val="000000"/>
        </w:rPr>
        <w:t xml:space="preserve"> Damages</w:t>
      </w:r>
      <w:r>
        <w:rPr>
          <w:color w:val="000000"/>
        </w:rPr>
        <w:t xml:space="preserve"> shall not apply where the delay is caused by:</w:t>
      </w:r>
      <w:r>
        <w:rPr>
          <w:color w:val="000000"/>
        </w:rPr>
        <w:br/>
      </w:r>
      <w:r>
        <w:rPr>
          <w:color w:val="000000"/>
        </w:rPr>
        <w:t>(a) Buyer's failure to pay on time;</w:t>
      </w:r>
    </w:p>
    <w:p>
      <w:pPr>
        <w:pStyle w:val="2"/>
      </w:pPr>
      <w:r>
        <w:rPr>
          <w:color w:val="000000"/>
        </w:rPr>
        <w:t>(</w:t>
      </w:r>
      <w:r>
        <w:rPr>
          <w:color w:val="000000"/>
        </w:rPr>
        <w:t>b) Force Majeure under Article 15;</w:t>
      </w:r>
    </w:p>
    <w:p>
      <w:pPr>
        <w:pStyle w:val="2"/>
      </w:pPr>
      <w:r>
        <w:rPr>
          <w:color w:val="000000"/>
        </w:rPr>
        <w:t>(c) Buyer's failure to provide site readiness as required</w:t>
      </w:r>
    </w:p>
    <w:p>
      <w:pPr>
        <w:pStyle w:val="2"/>
      </w:pPr>
      <w:r>
        <w:rPr>
          <w:color w:val="000000"/>
        </w:rPr>
        <w:t>(d) d</w:t>
      </w:r>
      <w:r>
        <w:rPr>
          <w:color w:val="000000"/>
        </w:rPr>
        <w:t>elays in the Owner's confirmation of the technical agreement or drawings, or</w:t>
      </w:r>
      <w:r>
        <w:rPr>
          <w:color w:val="000000"/>
        </w:rPr>
        <w:t xml:space="preserve"> </w:t>
      </w:r>
      <w:r>
        <w:rPr>
          <w:color w:val="000000"/>
        </w:rPr>
        <w:t>or grid connection specifications, where such delays directly prevent the Seller from commencing production or shipment preparation</w:t>
      </w:r>
      <w:r>
        <w:rPr>
          <w:color w:val="000000"/>
        </w:rPr>
        <w:t>.'</w:t>
      </w:r>
    </w:p>
    <w:p>
      <w:pPr>
        <w:pStyle w:val="2"/>
      </w:pPr>
      <w:r>
        <w:rPr>
          <w:color w:val="000000"/>
        </w:rPr>
        <w:t>No set</w:t>
      </w:r>
      <w:r>
        <w:rPr>
          <w:color w:val="000000"/>
        </w:rPr>
        <w:t>-Off:</w:t>
      </w:r>
    </w:p>
    <w:p>
      <w:pPr>
        <w:pStyle w:val="2"/>
      </w:pPr>
      <w:r>
        <w:rPr>
          <w:color w:val="000000"/>
        </w:rPr>
        <w:t>The Buyer shall not withhold, defer, or set off payments under this Contract due to performance or service matters governed by an LTSA or by third-party EMS arrangements. Similarly, the Seller shall not withhold</w:t>
      </w:r>
      <w:r>
        <w:rPr>
          <w:color w:val="000000"/>
        </w:rPr>
        <w:t xml:space="preserve"> </w:t>
      </w:r>
      <w:r>
        <w:rPr>
          <w:color w:val="000000"/>
        </w:rPr>
        <w:t>delivery or services under this Contract due to disputes arising under any LTSA</w:t>
      </w:r>
    </w:p>
    <w:p>
      <w:pPr>
        <w:pStyle w:val="2"/>
      </w:pPr>
      <w:r>
        <w:rPr>
          <w:color w:val="000000"/>
        </w:rPr>
        <w:tab/>
      </w:r>
      <w:r>
        <w:rPr>
          <w:color w:val="000000"/>
        </w:rPr>
        <w:t>Availability Liquidated Damages</w:t>
      </w:r>
      <w:r>
        <w:rPr>
          <w:b/>
          <w:color w:val="000000"/>
        </w:rPr>
        <w:t xml:space="preserve"> </w:t>
      </w:r>
    </w:p>
    <w:p>
      <w:pPr>
        <w:pStyle w:val="2"/>
      </w:pPr>
      <w:r>
        <w:rPr>
          <w:color w:val="000000"/>
        </w:rPr>
        <w:t>Subject to the proper and timely performance by the Buyer of the scope of work incumbent upon it and to the validity of the Long-Term Service Agreement (LTSA) in Variant C or a higher variant, the Seller guarantees that, from the date on which the Commodities become operational following connection to the network, the operational availability of the Commodities shall not be less than 97% in each calendar year (the “Availability Guarantee”).</w:t>
      </w:r>
    </w:p>
    <w:p>
      <w:pPr>
        <w:pStyle w:val="2"/>
      </w:pPr>
      <w:r>
        <w:rPr>
          <w:color w:val="000000"/>
        </w:rPr>
        <w:t>Operational availability shall be calculated as the percentage of time during which the Commodities are capable of normal operation during the relevant calendar year, excluding periods of:</w:t>
      </w:r>
    </w:p>
    <w:p>
      <w:pPr>
        <w:pStyle w:val="2"/>
      </w:pPr>
      <w:r>
        <w:rPr>
          <w:color w:val="000000"/>
        </w:rPr>
        <w:t xml:space="preserve">a) planned maintenance notified in advance to the Buyer, </w:t>
      </w:r>
      <w:r>
        <w:rPr>
          <w:color w:val="000000"/>
        </w:rPr>
        <w:t>provided that such planned maintenance shall not exceed an aggregate of ten (10) days per calendar year (the “Maintenance Allowance”)</w:t>
      </w:r>
      <w:r>
        <w:rPr>
          <w:color w:val="000000"/>
        </w:rPr>
        <w:t>;</w:t>
      </w:r>
      <w:r>
        <w:rPr>
          <w:color w:val="000000"/>
        </w:rPr>
        <w:br/>
        <w:t>b) outages caused by the Buyer or third parties for whom the Buyer is responsible;</w:t>
      </w:r>
      <w:r>
        <w:rPr>
          <w:color w:val="000000"/>
        </w:rPr>
        <w:br/>
        <w:t>c) interruptions or limitations of the network; and</w:t>
      </w:r>
      <w:r>
        <w:rPr>
          <w:color w:val="000000"/>
        </w:rPr>
        <w:br/>
        <w:t>d) events of force majeure.</w:t>
      </w:r>
    </w:p>
    <w:p>
      <w:pPr>
        <w:pStyle w:val="2"/>
      </w:pPr>
      <w:r>
        <w:rPr>
          <w:color w:val="000000"/>
        </w:rPr>
        <w:t xml:space="preserve">If the Seller fails to provide the Maintenance Allowance in accordance with this Clause, the Seller shall pay the Buyer liquidated damages in the amount of EUR 30 per MWh of energy not produced due to such failure for each day by which the Maintenance Allowance is exceeded. Such liquidated damages shall constitute a genuine pre-estimate of the loss likely to be suffered by the Buyer and shall not be deemed a penalty. The total liquidated damages payable under this Clause shall not exceed </w:t>
      </w:r>
      <w:r>
        <w:rPr>
          <w:color w:val="000000"/>
        </w:rPr>
        <w:t>10% of the total contract value.</w:t>
      </w:r>
      <w:r>
        <w:rPr>
          <w:color w:val="000000"/>
        </w:rPr>
        <w:t xml:space="preserve"> Such liquidated damages shall constitute a genuine pre-est</w:t>
      </w:r>
      <w:r>
        <w:rPr>
          <w:color w:val="000000"/>
        </w:rPr>
        <w:t>e</w:t>
      </w:r>
      <w:r>
        <w:rPr>
          <w:color w:val="000000"/>
        </w:rPr>
        <w:t>imate of the loss likely to be suffered by the Buyer and shall not be deemed a penalty.</w:t>
      </w:r>
    </w:p>
    <w:p>
      <w:pPr>
        <w:pStyle w:val="2"/>
      </w:pPr>
      <w:r>
        <w:rPr>
          <w:color w:val="000000"/>
        </w:rPr>
        <w:t>9</w:t>
      </w:r>
      <w:r>
        <w:rPr>
          <w:color w:val="000000"/>
        </w:rPr>
        <w:t>C.</w:t>
      </w:r>
      <w:r>
        <w:rPr>
          <w:color w:val="000000"/>
        </w:rPr>
        <w:t xml:space="preserve"> </w:t>
      </w:r>
      <w:r>
        <w:rPr>
          <w:color w:val="000000"/>
        </w:rPr>
        <w:t>Availability Exclusion</w:t>
      </w:r>
      <w:r>
        <w:rPr>
          <w:color w:val="000000"/>
        </w:rPr>
        <w:t xml:space="preserve"> for which Seller shall not bear </w:t>
      </w:r>
      <w:r>
        <w:rPr>
          <w:color w:val="000000"/>
        </w:rPr>
        <w:t xml:space="preserve">any </w:t>
      </w:r>
      <w:r>
        <w:rPr>
          <w:color w:val="000000"/>
        </w:rPr>
        <w:t xml:space="preserve">responsibility </w:t>
      </w:r>
      <w:r>
        <w:rPr>
          <w:color w:val="000000"/>
        </w:rPr>
        <w:t>:</w:t>
      </w:r>
    </w:p>
    <w:p>
      <w:pPr>
        <w:pStyle w:val="2"/>
      </w:pPr>
      <w:r>
        <w:rPr>
          <w:color w:val="000000"/>
        </w:rPr>
        <w:t xml:space="preserve">Force Majeure </w:t>
      </w:r>
    </w:p>
    <w:p>
      <w:pPr>
        <w:pStyle w:val="2"/>
      </w:pPr>
      <w:r>
        <w:rPr>
          <w:color w:val="000000"/>
        </w:rPr>
        <w:t xml:space="preserve">Grid Outages (DSO/TSO) </w:t>
      </w:r>
    </w:p>
    <w:p>
      <w:pPr>
        <w:pStyle w:val="2"/>
      </w:pPr>
      <w:r>
        <w:rPr>
          <w:color w:val="000000"/>
        </w:rPr>
        <w:t xml:space="preserve">Curtailment — Scheduled Maintenance (within allowance) </w:t>
      </w:r>
    </w:p>
    <w:p>
      <w:pPr>
        <w:pStyle w:val="2"/>
      </w:pPr>
      <w:r>
        <w:rPr>
          <w:color w:val="000000"/>
        </w:rPr>
        <w:t xml:space="preserve">Customer-Caused Downtime </w:t>
      </w:r>
    </w:p>
    <w:p>
      <w:pPr>
        <w:pStyle w:val="2"/>
      </w:pPr>
      <w:r>
        <w:rPr>
          <w:color w:val="000000"/>
        </w:rPr>
        <w:t>Delays in the Owner's confirmation of the technical agreement or drawings, or any other causes attributable to the Buyer that result in the postponement of the commencement date for calculating the shipment readiness of the AC</w:t>
      </w:r>
      <w:r>
        <w:rPr>
          <w:color w:val="000000"/>
        </w:rPr>
        <w:br/>
        <w:t>equipment.</w:t>
      </w:r>
    </w:p>
    <w:p>
      <w:pPr>
        <w:pStyle w:val="2"/>
      </w:pPr>
      <w:r>
        <w:rPr>
          <w:b/>
          <w:color w:val="000000"/>
        </w:rPr>
        <w:t>Total Liquidated Damages Caps:</w:t>
      </w:r>
    </w:p>
    <w:p>
      <w:pPr>
        <w:pStyle w:val="2"/>
      </w:pPr>
      <w:r>
        <w:rPr>
          <w:color w:val="000000"/>
        </w:rPr>
        <w:t>The total amount of liquidated damages payable under this Agreement shall be subject to the following caps:</w:t>
      </w:r>
    </w:p>
    <w:p>
      <w:pPr>
        <w:pStyle w:val="2"/>
      </w:pPr>
      <w:r>
        <w:rPr>
          <w:color w:val="000000"/>
        </w:rPr>
        <w:t xml:space="preserve"> </w:t>
      </w:r>
      <w:r>
        <w:rPr>
          <w:color w:val="000000"/>
        </w:rPr>
        <w:t>i) Availability Liquidated Damages: an amount not exceeding ten percent (10%) of the value of the affected Commodities;</w:t>
      </w:r>
    </w:p>
    <w:p>
      <w:pPr>
        <w:pStyle w:val="2"/>
      </w:pPr>
      <w:r>
        <w:rPr>
          <w:color w:val="000000"/>
        </w:rPr>
        <w:t xml:space="preserve"> </w:t>
      </w:r>
      <w:r>
        <w:rPr>
          <w:color w:val="000000"/>
        </w:rPr>
        <w:t>ii) Total Combined Cap: the total aggregate liability of the Seller for all liquidated damages under this Agreement shall not exceed ten percent (10%) of the Total Contract Value.”</w:t>
      </w:r>
    </w:p>
    <w:p>
      <w:pPr>
        <w:pStyle w:val="2"/>
      </w:pPr>
    </w:p>
    <w:p>
      <w:pPr>
        <w:pStyle w:val="2"/>
        <w:jc w:val="left"/>
      </w:pPr>
    </w:p>
    <w:p>
      <w:pPr>
        <w:pStyle w:val="1"/>
      </w:pPr>
      <w:r>
        <w:rPr>
          <w:color w:val="000000"/>
        </w:rPr>
        <w:t>Commissioning</w:t>
      </w:r>
      <w:r>
        <w:rPr>
          <w:color w:val="000000"/>
        </w:rPr>
        <w:t xml:space="preserve"> </w:t>
      </w:r>
      <w:r>
        <w:rPr>
          <w:color w:val="000000"/>
        </w:rPr>
        <w:t>and</w:t>
      </w:r>
      <w:r>
        <w:rPr>
          <w:color w:val="000000"/>
        </w:rPr>
        <w:t xml:space="preserve"> P</w:t>
      </w:r>
      <w:r>
        <w:rPr>
          <w:color w:val="000000"/>
        </w:rPr>
        <w:t>rovis</w:t>
      </w:r>
      <w:r>
        <w:rPr>
          <w:color w:val="000000"/>
        </w:rPr>
        <w:t>ional</w:t>
      </w:r>
      <w:r>
        <w:rPr>
          <w:color w:val="000000"/>
        </w:rPr>
        <w:t xml:space="preserve"> A</w:t>
      </w:r>
      <w:r>
        <w:rPr>
          <w:color w:val="000000"/>
        </w:rPr>
        <w:t>cceptance</w:t>
      </w:r>
    </w:p>
    <w:p>
      <w:pPr>
        <w:pStyle w:val="Normalny"/>
      </w:pPr>
      <w:r>
        <w:rPr>
          <w:rFonts w:ascii="Times New Roman" w:hAnsi="Times New Roman"/>
          <w:b/>
          <w:color w:val="000000"/>
        </w:rPr>
        <w:t>10.1 Commissioning:</w:t>
      </w:r>
    </w:p>
    <w:p>
      <w:pPr>
        <w:pStyle w:val="Normalny"/>
        <w:jc w:val="left"/>
      </w:pPr>
      <w:r>
        <w:rPr>
          <w:rFonts w:ascii="Times New Roman" w:hAnsi="Times New Roman"/>
          <w:color w:val="000000"/>
        </w:rPr>
        <w:t>(i) Commissioning shall be performed in accordance with the Seller's standard commissioning procedures and technical documentation following completion of installation and confirmation of site readiness by the Buyer. The Seller clarifies that its scope under this section is limited to commissioning guidance only and does not include installation works or the execution of installation.</w:t>
      </w:r>
    </w:p>
    <w:p>
      <w:pPr>
        <w:pStyle w:val="Normalny"/>
        <w:jc w:val="left"/>
      </w:pPr>
      <w:r>
        <w:rPr>
          <w:rFonts w:ascii="Times New Roman" w:hAnsi="Times New Roman"/>
          <w:color w:val="000000"/>
        </w:rPr>
        <w:t xml:space="preserve">The Contract shall include a Scheduled Commissioning Date and a Scheduled Provisional Acceptance Date. </w:t>
      </w:r>
      <w:r>
        <w:rPr>
          <w:rFonts w:ascii="Times New Roman" w:hAnsi="Times New Roman"/>
          <w:color w:val="000000"/>
        </w:rPr>
        <w:t xml:space="preserve">Any </w:t>
      </w:r>
      <w:r>
        <w:rPr>
          <w:rFonts w:ascii="Times New Roman" w:hAnsi="Times New Roman"/>
          <w:color w:val="000000"/>
        </w:rPr>
        <w:t>delay in commissioning or provisional acceptance not caused by the Seller shall not give rise to any liability on the part of the Seller.</w:t>
      </w:r>
    </w:p>
    <w:p>
      <w:pPr>
        <w:pStyle w:val="Normalny"/>
        <w:jc w:val="left"/>
      </w:pPr>
      <w:r>
        <w:rPr>
          <w:rFonts w:ascii="Times New Roman" w:hAnsi="Times New Roman"/>
          <w:b/>
          <w:color w:val="000000"/>
        </w:rPr>
        <w:t xml:space="preserve">(ii) </w:t>
      </w:r>
      <w:r>
        <w:rPr>
          <w:rFonts w:ascii="Times New Roman" w:hAnsi="Times New Roman"/>
          <w:b/>
          <w:color w:val="000000"/>
        </w:rPr>
        <w:t>Warranty Commencement</w:t>
      </w:r>
      <w:r>
        <w:rPr>
          <w:rFonts w:ascii="Times New Roman" w:hAnsi="Times New Roman"/>
          <w:color w:val="000000"/>
        </w:rPr>
        <w:br/>
        <w:t>The standard warranty period shall commence on the earlier of the following two dates:</w:t>
      </w:r>
      <w:r>
        <w:rPr>
          <w:rFonts w:ascii="Times New Roman" w:hAnsi="Times New Roman"/>
          <w:color w:val="000000"/>
        </w:rPr>
        <w:br/>
        <w:t>(a) the start date of commissioning; or</w:t>
      </w:r>
      <w:r>
        <w:rPr>
          <w:rFonts w:ascii="Times New Roman" w:hAnsi="Times New Roman"/>
          <w:color w:val="000000"/>
        </w:rPr>
        <w:br/>
        <w:t>(b) six (6) months after the shipment date of the Products from Linyang Energy Storage's factory.</w:t>
      </w:r>
    </w:p>
    <w:p>
      <w:pPr>
        <w:pStyle w:val="Normalny"/>
        <w:jc w:val="left"/>
      </w:pPr>
      <w:r>
        <w:rPr>
          <w:rFonts w:ascii="Times New Roman" w:hAnsi="Times New Roman"/>
          <w:color w:val="000000"/>
        </w:rPr>
        <w:br/>
      </w:r>
      <w:r>
        <w:rPr>
          <w:rFonts w:ascii="Times New Roman" w:hAnsi="Times New Roman"/>
          <w:b/>
          <w:color w:val="000000"/>
        </w:rPr>
        <w:t>10.2 Provisional Acceptance:</w:t>
      </w:r>
      <w:r>
        <w:rPr>
          <w:rFonts w:ascii="Times New Roman" w:hAnsi="Times New Roman"/>
          <w:b/>
          <w:color w:val="000000"/>
        </w:rPr>
        <w:br/>
      </w:r>
      <w:r>
        <w:rPr>
          <w:rFonts w:ascii="Times New Roman" w:hAnsi="Times New Roman"/>
          <w:color w:val="000000"/>
        </w:rPr>
        <w:br/>
        <w:t>Upon successful completion of commissioning and demonstration that the Products operate in accordance</w:t>
      </w:r>
      <w:r>
        <w:rPr>
          <w:rFonts w:ascii="Times New Roman" w:hAnsi="Times New Roman"/>
          <w:color w:val="000000"/>
        </w:rPr>
        <w:t xml:space="preserve"> </w:t>
      </w:r>
      <w:r>
        <w:rPr>
          <w:rFonts w:ascii="Times New Roman" w:hAnsi="Times New Roman"/>
          <w:color w:val="000000"/>
        </w:rPr>
        <w:t>with agreed specifications, the Parties shall execute a Provisional Acceptance Certificate ("PAC").</w:t>
      </w:r>
    </w:p>
    <w:p>
      <w:pPr>
        <w:pStyle w:val="Normalny"/>
        <w:jc w:val="left"/>
      </w:pPr>
    </w:p>
    <w:p>
      <w:pPr>
        <w:pStyle w:val="Normalny"/>
        <w:jc w:val="left"/>
      </w:pPr>
      <w:r>
        <w:rPr>
          <w:rFonts w:ascii="Times New Roman" w:hAnsi="Times New Roman"/>
          <w:b/>
          <w:color w:val="000000"/>
        </w:rPr>
        <w:t>10.3 Effect of Provisional Acceptance:</w:t>
      </w:r>
      <w:r>
        <w:rPr>
          <w:rFonts w:ascii="Times New Roman" w:hAnsi="Times New Roman"/>
          <w:color w:val="000000"/>
        </w:rPr>
        <w:br/>
      </w:r>
    </w:p>
    <w:p>
      <w:pPr>
        <w:pStyle w:val="Normalny"/>
      </w:pPr>
      <w:r>
        <w:rPr>
          <w:rFonts w:ascii="Times New Roman" w:hAnsi="Times New Roman"/>
          <w:color w:val="000000"/>
        </w:rPr>
        <w:t>Provisional Acceptance shall:</w:t>
      </w:r>
      <w:r>
        <w:rPr>
          <w:rFonts w:ascii="Times New Roman" w:hAnsi="Times New Roman"/>
          <w:color w:val="000000"/>
        </w:rPr>
        <w:br/>
        <w:t>(a) confirm completion of installation and commissioning;</w:t>
      </w:r>
      <w:r>
        <w:rPr>
          <w:rFonts w:ascii="Times New Roman" w:hAnsi="Times New Roman"/>
          <w:color w:val="000000"/>
        </w:rPr>
        <w:br/>
        <w:t>(b) trigger the Buyer's obligation to make the holdback payment under Article 6(d); and</w:t>
      </w:r>
      <w:r>
        <w:rPr>
          <w:rFonts w:ascii="Times New Roman" w:hAnsi="Times New Roman"/>
          <w:color w:val="000000"/>
        </w:rPr>
        <w:br/>
        <w:t>(c) mark the commencement of the base warranty period under Article 8.</w:t>
      </w:r>
    </w:p>
    <w:p>
      <w:pPr>
        <w:pStyle w:val="Normalny"/>
      </w:pPr>
      <w:r>
        <w:rPr>
          <w:rFonts w:ascii="Times New Roman" w:hAnsi="Times New Roman"/>
          <w:color w:val="000000"/>
        </w:rPr>
        <w:br/>
      </w:r>
      <w:r>
        <w:rPr>
          <w:rFonts w:ascii="Times New Roman" w:hAnsi="Times New Roman"/>
          <w:b/>
          <w:color w:val="000000"/>
        </w:rPr>
        <w:t>10.4 Minor Defects:</w:t>
      </w:r>
    </w:p>
    <w:p>
      <w:pPr>
        <w:pStyle w:val="Normalny"/>
      </w:pPr>
      <w:r>
        <w:rPr>
          <w:rFonts w:ascii="Times New Roman" w:hAnsi="Times New Roman"/>
          <w:color w:val="000000"/>
        </w:rPr>
        <w:t>Minor defects that do not materially affect system operation shall not prevent Provisional Acceptance,</w:t>
      </w:r>
      <w:r>
        <w:rPr>
          <w:rFonts w:ascii="Times New Roman" w:hAnsi="Times New Roman"/>
          <w:color w:val="000000"/>
        </w:rPr>
        <w:t xml:space="preserve"> </w:t>
      </w:r>
      <w:r>
        <w:rPr>
          <w:rFonts w:ascii="Times New Roman" w:hAnsi="Times New Roman"/>
          <w:color w:val="000000"/>
        </w:rPr>
        <w:t xml:space="preserve">provided such defects are recorded in a punch list and remedied by the Seller </w:t>
      </w:r>
      <w:r>
        <w:rPr>
          <w:rFonts w:ascii="Times New Roman" w:hAnsi="Times New Roman"/>
          <w:color w:val="000000"/>
        </w:rPr>
        <w:t>within a reasonable</w:t>
      </w:r>
      <w:r>
        <w:rPr>
          <w:rFonts w:ascii="Times New Roman" w:hAnsi="Times New Roman"/>
          <w:color w:val="000000"/>
        </w:rPr>
        <w:t xml:space="preserve"> </w:t>
      </w:r>
      <w:r>
        <w:rPr>
          <w:rFonts w:ascii="Times New Roman" w:hAnsi="Times New Roman"/>
          <w:color w:val="000000"/>
        </w:rPr>
        <w:t>time.</w:t>
      </w:r>
    </w:p>
    <w:p>
      <w:pPr>
        <w:pStyle w:val="Normalny"/>
        <w:jc w:val="left"/>
      </w:pPr>
      <w:r>
        <w:rPr>
          <w:rFonts w:ascii="Times New Roman" w:hAnsi="Times New Roman"/>
          <w:color w:val="000000"/>
        </w:rPr>
        <w:br/>
      </w:r>
      <w:r>
        <w:rPr>
          <w:rFonts w:ascii="Times New Roman" w:hAnsi="Times New Roman"/>
          <w:b/>
          <w:color w:val="000000"/>
        </w:rPr>
        <w:t>10.5 Site Readiness:</w:t>
      </w:r>
      <w:r>
        <w:rPr>
          <w:rFonts w:ascii="Times New Roman" w:hAnsi="Times New Roman"/>
          <w:b/>
          <w:color w:val="000000"/>
        </w:rPr>
        <w:br/>
      </w:r>
    </w:p>
    <w:p>
      <w:pPr>
        <w:pStyle w:val="Normalny"/>
        <w:jc w:val="left"/>
      </w:pPr>
      <w:r>
        <w:rPr>
          <w:rFonts w:ascii="Times New Roman" w:hAnsi="Times New Roman"/>
          <w:color w:val="000000"/>
        </w:rPr>
        <w:t>The Buyer shall ensure that the site is ready for installation in accordance with the Seller's technical</w:t>
      </w:r>
      <w:r>
        <w:rPr>
          <w:rFonts w:ascii="Times New Roman" w:hAnsi="Times New Roman"/>
          <w:color w:val="000000"/>
        </w:rPr>
        <w:t xml:space="preserve"> </w:t>
      </w:r>
      <w:r>
        <w:rPr>
          <w:rFonts w:ascii="Times New Roman" w:hAnsi="Times New Roman"/>
          <w:color w:val="000000"/>
        </w:rPr>
        <w:t>requirements, including:</w:t>
      </w:r>
      <w:r>
        <w:rPr>
          <w:rFonts w:ascii="Times New Roman" w:hAnsi="Times New Roman"/>
          <w:color w:val="000000"/>
        </w:rPr>
        <w:br/>
      </w:r>
      <w:r>
        <w:rPr>
          <w:rFonts w:ascii="Times New Roman" w:hAnsi="Times New Roman"/>
          <w:color w:val="000000"/>
        </w:rPr>
        <w:t>(a) Completed foundations and civil works;</w:t>
      </w:r>
      <w:r>
        <w:rPr>
          <w:rFonts w:ascii="Times New Roman" w:hAnsi="Times New Roman"/>
          <w:color w:val="000000"/>
        </w:rPr>
        <w:br/>
        <w:t>(b) AC connection point ready for termination;</w:t>
      </w:r>
      <w:r>
        <w:rPr>
          <w:rFonts w:ascii="Times New Roman" w:hAnsi="Times New Roman"/>
          <w:color w:val="000000"/>
        </w:rPr>
        <w:br/>
        <w:t>(c) Grounding system installed;</w:t>
      </w:r>
      <w:r>
        <w:rPr>
          <w:rFonts w:ascii="Times New Roman" w:hAnsi="Times New Roman"/>
          <w:color w:val="000000"/>
        </w:rPr>
        <w:br/>
        <w:t>(d) Clear access for equipment and personnel.</w:t>
      </w:r>
      <w:r>
        <w:rPr>
          <w:rFonts w:ascii="Times New Roman" w:hAnsi="Times New Roman"/>
          <w:color w:val="000000"/>
        </w:rPr>
        <w:br/>
        <w:t>Delays arising from site unavailability or non-compliance shall automatically extend the installation and</w:t>
      </w:r>
      <w:r>
        <w:rPr>
          <w:rFonts w:ascii="Times New Roman" w:hAnsi="Times New Roman"/>
          <w:color w:val="000000"/>
        </w:rPr>
        <w:t xml:space="preserve"> </w:t>
      </w:r>
      <w:r>
        <w:rPr>
          <w:rFonts w:ascii="Times New Roman" w:hAnsi="Times New Roman"/>
          <w:color w:val="000000"/>
        </w:rPr>
        <w:t>commissioning schedule without penalty to the Seller</w:t>
      </w:r>
    </w:p>
    <w:p>
      <w:pPr>
        <w:pStyle w:val="1"/>
      </w:pPr>
      <w:r>
        <w:rPr>
          <w:color w:val="000000"/>
          <w:sz w:val="21"/>
        </w:rPr>
        <w:t>Proprietary Rights</w:t>
      </w:r>
    </w:p>
    <w:p>
      <w:pPr>
        <w:pStyle w:val="2"/>
      </w:pPr>
      <w:r>
        <w:rPr>
          <w:color w:val="000000"/>
          <w:sz w:val="21"/>
        </w:rPr>
        <w:t xml:space="preserve">As between the BUYER and the SELLER, the SELLER retains all rights, title and interest in and to any trade mark, copyright, patent or patent application, know-how, design, utility model, brand name and any other intellectual property or right of a proprietary nature (whether registered or unregistered) in or connected to Commodities, Documentation and Services and the manufacture of Commodities (including the SELLER’s technology, know-how and processes used in the manufacture of Commodities) and to any reports, manuals, specifications or materials prepared or made available by the SELLER (“Intellectual Property”). </w:t>
      </w:r>
    </w:p>
    <w:p>
      <w:pPr>
        <w:pStyle w:val="2"/>
      </w:pPr>
      <w:r>
        <w:rPr>
          <w:color w:val="000000"/>
          <w:sz w:val="21"/>
        </w:rPr>
        <w:t xml:space="preserve">The BUYER acknowledges that the Intellectual Property is licensed to or owned by the SELLER and forms valuable information and/or property of the SELLER. Except as expressly set out in the Contract, no right or licence in Intellectual Property is transferred or granted to the BUYER. </w:t>
      </w:r>
    </w:p>
    <w:p>
      <w:pPr>
        <w:pStyle w:val="2"/>
      </w:pPr>
      <w:r>
        <w:rPr>
          <w:color w:val="000000"/>
          <w:sz w:val="21"/>
        </w:rPr>
        <w:t>Without limiting clause 11.2 but to the maximum extent permitted by law, the BUYER must not directly or indirectly modify all or any part, make available, copy, publish or exploit the Documentation for any purpose.</w:t>
      </w:r>
    </w:p>
    <w:p>
      <w:pPr>
        <w:pStyle w:val="2"/>
      </w:pPr>
    </w:p>
    <w:p>
      <w:pPr>
        <w:pStyle w:val="1"/>
      </w:pPr>
      <w:r>
        <w:rPr>
          <w:color w:val="000000"/>
          <w:sz w:val="21"/>
        </w:rPr>
        <w:t>Settling Disputes</w:t>
      </w:r>
    </w:p>
    <w:p>
      <w:pPr>
        <w:pStyle w:val="2"/>
      </w:pPr>
      <w:r>
        <w:rPr/>
        <w:t>Governing Law: This Contract shall be governed by and construed in accordance with the laws of Singapore, without regard to its conflict of law principles.</w:t>
      </w:r>
    </w:p>
    <w:p>
      <w:pPr>
        <w:pStyle w:val="2"/>
      </w:pPr>
      <w:r>
        <w:rPr/>
        <w:t>Dispute Resolution:</w:t>
      </w:r>
    </w:p>
    <w:p>
      <w:pPr>
        <w:pStyle w:val="1"/>
      </w:pPr>
      <w:r>
        <w:rPr>
          <w:b w:val="0"/>
          <w:color w:val="000000"/>
          <w:sz w:val="21"/>
        </w:rPr>
        <w:t xml:space="preserve">Any dispute arising out of or in connection with this Contract shall be finally resolved by arbitration under the rules of the Singapore International Arbitration Centre (SIAC). The </w:t>
      </w:r>
      <w:r>
        <w:rPr>
          <w:b w:val="0"/>
          <w:color w:val="000000"/>
          <w:sz w:val="21"/>
        </w:rPr>
        <w:t>seat of arbitration shall be Singapore. The arbitration shall be conducted by three (3) arbitrators. The language of arbitration shall be English.</w:t>
      </w:r>
    </w:p>
    <w:p>
      <w:pPr>
        <w:pStyle w:val="1"/>
      </w:pPr>
      <w:r>
        <w:rPr>
          <w:b w:val="0"/>
          <w:color w:val="000000"/>
          <w:sz w:val="21"/>
        </w:rPr>
        <w:t>Cyprus Carve-Out: Notwithstanding 12.2(a), any disputes relating to client protection, anti-circumvention, or penalty fees under the Distribution Agreement may, at the Buyer's sole discretion, be submitted exclusively to the competent courts of the Republic of Cyprus.</w:t>
      </w:r>
    </w:p>
    <w:p>
      <w:pPr>
        <w:pStyle w:val="1"/>
      </w:pPr>
      <w:r>
        <w:rPr>
          <w:b w:val="0"/>
          <w:color w:val="000000"/>
          <w:sz w:val="21"/>
        </w:rPr>
        <w:t xml:space="preserve">Interim Relief: Either Party may apply to the competent courts of Cyprus for interim injunctions, freezing orders, asset preservation, or enforcement of arbitral awards. </w:t>
      </w:r>
      <w:r>
        <w:rPr>
          <w:b w:val="0"/>
          <w:color w:val="000000"/>
          <w:sz w:val="21"/>
        </w:rPr>
        <w:t>Such application shall not waive the arbitration agreement.</w:t>
      </w:r>
    </w:p>
    <w:p>
      <w:pPr>
        <w:pStyle w:val="1"/>
      </w:pPr>
      <w:r>
        <w:rPr>
          <w:b w:val="0"/>
          <w:color w:val="000000"/>
          <w:sz w:val="21"/>
        </w:rPr>
        <w:t>12.3 Official Language:</w:t>
      </w:r>
    </w:p>
    <w:p>
      <w:pPr>
        <w:pStyle w:val="1"/>
      </w:pPr>
      <w:r>
        <w:rPr>
          <w:b w:val="0"/>
          <w:color w:val="000000"/>
          <w:sz w:val="21"/>
        </w:rPr>
        <w:t>(a) The official and legally binding language of this Contract is English.</w:t>
      </w:r>
    </w:p>
    <w:p>
      <w:pPr>
        <w:pStyle w:val="1"/>
      </w:pPr>
      <w:r>
        <w:rPr>
          <w:b w:val="0"/>
          <w:color w:val="000000"/>
          <w:sz w:val="21"/>
        </w:rPr>
        <w:t>(b) Any translation of this Contract into Polish, Chinese, Greek, or any other language is provided for convenience only and shall have no legal effect.</w:t>
      </w:r>
    </w:p>
    <w:p>
      <w:pPr>
        <w:pStyle w:val="1"/>
      </w:pPr>
      <w:r>
        <w:rPr>
          <w:b w:val="0"/>
          <w:color w:val="000000"/>
          <w:sz w:val="21"/>
        </w:rPr>
        <w:t>(c) In the event of conflict between the English version and any translation, the English version shall prevail.</w:t>
      </w:r>
    </w:p>
    <w:p>
      <w:pPr>
        <w:pStyle w:val="1"/>
      </w:pPr>
      <w:r>
        <w:rPr>
          <w:color w:val="000000"/>
          <w:sz w:val="21"/>
        </w:rPr>
        <w:t>Effectiveness and Termination</w:t>
      </w:r>
    </w:p>
    <w:p>
      <w:pPr>
        <w:pStyle w:val="2"/>
      </w:pPr>
      <w:r>
        <w:rPr>
          <w:color w:val="000000"/>
          <w:sz w:val="21"/>
        </w:rPr>
        <w:t xml:space="preserve">This Contract shall enter into force upon signing </w:t>
      </w:r>
    </w:p>
    <w:p>
      <w:pPr>
        <w:pStyle w:val="2"/>
      </w:pPr>
      <w:r>
        <w:rPr>
          <w:color w:val="000000"/>
          <w:sz w:val="21"/>
        </w:rPr>
        <w:t>If any of the following events occurs: (a) any amount due by the BUYER to the SELLER in respect of the Commodities remains unpaid thirty (30) days after the due date on which it first became due and payable; or (b) BUYER materially breaches the Contract and does not rectify the failure (where the failure is rectifiable) within thirty (30) days of notice; or (c) BUYER becomes insolvent or makes an assignment for the benefit of its creditors; or (d) BUYER is placed under official administration in respect of any of its assets, or (e) BUYER repeatedly breaches any of the terms of this Contract in such a manner to reasonably justify the opinion that its conduct is inconsistent with it having the intention or ability to give effect to the terms of this Contract, (f) the BUYER’s financial position deteriorates so far as to reasonably justify the opinion that its ability to give effect to the terms of this Contract is in jeopardy, SELLER may terminate the Contract immediately by written notice.</w:t>
      </w:r>
    </w:p>
    <w:p>
      <w:pPr>
        <w:pStyle w:val="2"/>
      </w:pPr>
    </w:p>
    <w:p>
      <w:pPr>
        <w:pStyle w:val="2"/>
      </w:pPr>
      <w:r>
        <w:rPr/>
        <w:t>In the event that any of the following occurs:</w:t>
      </w:r>
      <w:r>
        <w:rPr/>
        <w:br/>
        <w:t xml:space="preserve">(a) the SELLER materially breaches the provisions of the Contract and fails to remedy such breach (if it is capable of being remedied) within thirty (30) days of receiving notice thereof; or (c) the SELLER becomes insolvent or makes an assignment of its assets for the benefit of creditors; or (d) the SELLER becomes subject to administrative proceedings concerning any of its assets, which relate to a violation of applicable laws or may materially affect its ability to perform its obligations under this Contract; or (e) the SELLER repeatedly breaches the provisions of this Contract in a manner that </w:t>
      </w:r>
      <w:r>
        <w:rPr/>
        <w:t>reasonably gives rise to the belief that its actions are inconsistent with the intent or ability to perform the terms of the Contract; or (f) the SELLER’s financial situation deteriorates to such an extent that, in the reasonable opinion of the BUYER, there is a risk of its inability to perform the Contract — the BUYER may terminate the Contract with immediate effect by written notice.</w:t>
      </w:r>
    </w:p>
    <w:p>
      <w:pPr>
        <w:pStyle w:val="2"/>
      </w:pPr>
      <w:r>
        <w:rPr>
          <w:color w:val="000000"/>
          <w:sz w:val="21"/>
        </w:rPr>
        <w:t>Termination or expiry of this Contract shall not affect any rights, remedies, obligations or liabilities of the parties that have accrued up to the date of termination or expiry, including the right to claim damages for any breach of the agreement that existed at or before the date of termination or expiry.</w:t>
      </w:r>
    </w:p>
    <w:p>
      <w:pPr>
        <w:pStyle w:val="2"/>
      </w:pPr>
      <w:r>
        <w:rPr>
          <w:color w:val="000000"/>
          <w:sz w:val="21"/>
        </w:rPr>
        <w:t>On early termination of this Contract:</w:t>
      </w:r>
    </w:p>
    <w:p>
      <w:pPr>
        <w:pStyle w:val="3"/>
      </w:pPr>
      <w:r>
        <w:rPr>
          <w:color w:val="000000"/>
          <w:sz w:val="21"/>
        </w:rPr>
        <w:t>the BUYER shall immediately pay to the SELLER all of the SELLER’s outstanding unpaid invoices and interest and, in respect of the Commodities supplied but for which no invoice has been submitted, the SELLER may submit an invoice, which shall be payable immediately on receipt; and</w:t>
      </w:r>
    </w:p>
    <w:p>
      <w:pPr>
        <w:pStyle w:val="3"/>
      </w:pPr>
      <w:r>
        <w:rPr>
          <w:color w:val="000000"/>
          <w:sz w:val="21"/>
        </w:rPr>
        <w:t>each party shall promptly:</w:t>
      </w:r>
    </w:p>
    <w:p>
      <w:pPr>
        <w:pStyle w:val="4"/>
      </w:pPr>
      <w:r>
        <w:rPr>
          <w:color w:val="000000"/>
        </w:rPr>
        <w:t>return to the other party all delivered but unpaid for equipment, materials and property belonging to the other party that the other party had supplied to it or a member of its group in connection with the supply and purchase of the Commodities under this Contract;</w:t>
      </w:r>
    </w:p>
    <w:p>
      <w:pPr>
        <w:pStyle w:val="4"/>
      </w:pPr>
      <w:r>
        <w:rPr>
          <w:color w:val="000000"/>
        </w:rPr>
        <w:t>return to the other party all documents and materials (and any copies) containing the other party’s confidential information;</w:t>
      </w:r>
    </w:p>
    <w:p>
      <w:pPr>
        <w:pStyle w:val="4"/>
      </w:pPr>
      <w:r>
        <w:rPr>
          <w:color w:val="000000"/>
        </w:rPr>
        <w:t>erase all the other party’s confidential information from its computer systems (to the extent possible); and</w:t>
      </w:r>
    </w:p>
    <w:p>
      <w:pPr>
        <w:pStyle w:val="4"/>
      </w:pPr>
      <w:r>
        <w:rPr>
          <w:color w:val="000000"/>
        </w:rPr>
        <w:t>on request, certify in writing to the other party that it has complied with the requirements of this clause.</w:t>
      </w:r>
    </w:p>
    <w:p>
      <w:pPr>
        <w:pStyle w:val="4"/>
      </w:pPr>
      <w:r>
        <w:rPr/>
        <w:tab/>
      </w:r>
    </w:p>
    <w:p>
      <w:pPr>
        <w:pStyle w:val="1"/>
      </w:pPr>
      <w:r>
        <w:rPr>
          <w:color w:val="000000"/>
          <w:sz w:val="21"/>
        </w:rPr>
        <w:t>Force Majeure</w:t>
      </w:r>
    </w:p>
    <w:p>
      <w:pPr>
        <w:pStyle w:val="2"/>
      </w:pPr>
      <w:r>
        <w:rPr>
          <w:color w:val="000000"/>
          <w:sz w:val="21"/>
        </w:rPr>
        <w:t xml:space="preserve">Force Majeure means an event or circumstance beyond the reasonable control of the affected Party, which prevents the affected Party from complying with any of its obligations under this Contract  including but not limited to: (a) acts of God; (b) flood, drought, typhoons, earthquake or other natural disaster; (c) threat of or preparation for war, armed conflict , war, invasion, hostilities (whether war is declared or not), terrorist threats or acts, civil commotion or riot or other civil unrest; (d) any law or action taken by a government or public authority, including imposing an export or import restriction, quota or prohibition, or failing to grant a necessary licence or consent; (e) actions, embargoes or blockades in effect on or after the date of this Contract; (f) non-performance by suppliers or subcontractors; (g) national or regional emergency; (h) strikes, labor stoppages or slowdowns or other industrial disturbances; (i) shortage of adequate power or transportation facilities or other utility service; epidemics, (j) nuclear, chemical or biological contamination, or sonic boom; (k) collapse of buildings, fire, explosion or accident; (l) </w:t>
      </w:r>
      <w:r>
        <w:rPr>
          <w:color w:val="000000"/>
          <w:sz w:val="21"/>
        </w:rPr>
        <w:t>imposition of sanctions, embargo, or breaking off of diplomatic relations;  (m) other similar events beyond the reasonable control of the party affected by the Force Majeure.</w:t>
      </w:r>
    </w:p>
    <w:p>
      <w:pPr>
        <w:pStyle w:val="2"/>
      </w:pPr>
      <w:r>
        <w:rPr>
          <w:color w:val="000000"/>
          <w:sz w:val="21"/>
        </w:rPr>
        <w:t xml:space="preserve">If SELLER’s performance of its obligations herein is interrupted, restricted or delayed as a result of any Force Majuere event, SELLER is entitled to suspend, reduce or cancel delivery of Commodities, Documentation or provisioning of Services during such period of interruption or restriction without liability. The Contract shall be equitably adapted in order to account for such Force Majeure. </w:t>
      </w:r>
    </w:p>
    <w:p>
      <w:pPr>
        <w:pStyle w:val="2"/>
      </w:pPr>
    </w:p>
    <w:p>
      <w:pPr>
        <w:pStyle w:val="Akapitzlist"/>
      </w:pPr>
    </w:p>
    <w:p>
      <w:pPr>
        <w:pStyle w:val="2"/>
      </w:pPr>
    </w:p>
    <w:p>
      <w:pPr>
        <w:pStyle w:val="2"/>
      </w:pPr>
      <w:r>
        <w:rPr>
          <w:color w:val="000000"/>
        </w:rPr>
        <w:t>Buyer Cure Right and Deposit Return:</w:t>
      </w:r>
    </w:p>
    <w:p>
      <w:pPr>
        <w:pStyle w:val="2"/>
      </w:pPr>
      <w:r>
        <w:rPr>
          <w:color w:val="000000"/>
        </w:rPr>
        <w:t>(a) If a Force Majeure event affecting the Seller's delivery obligations continues for a period exceeding sixty (60) days, the Buyer may, upon written notice, cancel the affected order without liability.</w:t>
      </w:r>
    </w:p>
    <w:p>
      <w:r>
        <w:rPr>
          <w:rFonts w:ascii="Calibri" w:hAnsi="Calibri"/>
          <w:b w:val="0"/>
          <w:sz w:val="20"/>
        </w:rPr>
        <w:t>(b) Upon such cancellation, the Seller shall refund the Buyer's advance payment (20% deposit) within thirty (30) days, less any documented costs for materials already procured and non-recoverable.</w:t>
      </w:r>
    </w:p>
    <w:p>
      <w:pPr>
        <w:pStyle w:val="2"/>
      </w:pPr>
      <w:r>
        <w:rPr>
          <w:color w:val="000000"/>
        </w:rPr>
        <w:t>(c) The Seller shall provide reasonable evidence of claimed non-recoverable costs within fourteen (14) days of the cancellation notice.</w:t>
      </w:r>
    </w:p>
    <w:p>
      <w:pPr>
        <w:pStyle w:val="2"/>
      </w:pPr>
    </w:p>
    <w:p>
      <w:pPr>
        <w:pStyle w:val="2"/>
      </w:pPr>
      <w:r>
        <w:rPr/>
        <w:t>Force Majeure events shall not be invoked for normal commercial risks including factory scheduling, routine material procurement, orinternal production delays not caused by external events.</w:t>
      </w:r>
    </w:p>
    <w:p>
      <w:pPr>
        <w:pStyle w:val="1"/>
      </w:pPr>
      <w:r>
        <w:rPr>
          <w:color w:val="000000"/>
          <w:sz w:val="21"/>
        </w:rPr>
        <w:t>Notice</w:t>
      </w:r>
    </w:p>
    <w:p>
      <w:pPr>
        <w:pStyle w:val="2"/>
      </w:pPr>
      <w:r>
        <w:rPr>
          <w:color w:val="000000"/>
          <w:sz w:val="21"/>
        </w:rPr>
        <w:t>Any notice given to a party under or in connection with this Contract shall be in writing and shall be:</w:t>
      </w:r>
    </w:p>
    <w:p>
      <w:pPr>
        <w:pStyle w:val="3"/>
      </w:pPr>
      <w:r>
        <w:rPr>
          <w:color w:val="000000"/>
          <w:sz w:val="21"/>
        </w:rPr>
        <w:t>sent by email to the following addresses (or an address substituted in writing by the</w:t>
      </w:r>
      <w:r>
        <w:rPr>
          <w:color w:val="000000"/>
          <w:sz w:val="21"/>
        </w:rPr>
        <w:t xml:space="preserve"> </w:t>
      </w:r>
      <w:r>
        <w:rPr>
          <w:color w:val="000000"/>
          <w:sz w:val="21"/>
        </w:rPr>
        <w:t>party to be served):</w:t>
      </w:r>
    </w:p>
    <w:p>
      <w:pPr>
        <w:pStyle w:val="3"/>
      </w:pPr>
      <w:r>
        <w:rPr>
          <w:color w:val="000000"/>
          <w:sz w:val="21"/>
        </w:rPr>
        <w:t>SELLER:</w:t>
      </w:r>
      <w:r>
        <w:rPr>
          <w:color w:val="000000"/>
          <w:sz w:val="21"/>
        </w:rPr>
        <w:t xml:space="preserve"> </w:t>
      </w:r>
      <w:r>
        <w:rPr/>
        <w:t xml:space="preserve">; </w:t>
      </w:r>
      <w:r>
        <w:rPr>
          <w:color w:val="000000"/>
          <w:sz w:val="21"/>
        </w:rPr>
        <w:t xml:space="preserve">; </w:t>
      </w:r>
      <w:r>
        <w:rPr/>
        <w:t xml:space="preserve"> </w:t>
      </w:r>
      <w:r>
        <w:rPr/>
        <w:t xml:space="preserve">; </w:t>
      </w:r>
      <w:r>
        <w:rPr/>
        <w:t xml:space="preserve"> </w:t>
      </w:r>
    </w:p>
    <w:p>
      <w:pPr>
        <w:pStyle w:val="3"/>
      </w:pPr>
      <w:r>
        <w:rPr>
          <w:color w:val="000000"/>
          <w:sz w:val="21"/>
        </w:rPr>
        <w:t xml:space="preserve">BUYER: </w:t>
      </w:r>
      <w:r>
        <w:rPr>
          <w:color w:val="000000"/>
          <w:sz w:val="21"/>
        </w:rPr>
        <w:t xml:space="preserve"> </w:t>
      </w:r>
      <w:r>
        <w:rPr>
          <w:color w:val="000000"/>
          <w:sz w:val="21"/>
        </w:rPr>
        <w:t xml:space="preserve"> </w:t>
      </w:r>
      <w:r>
        <w:rPr>
          <w:color w:val="000000"/>
          <w:sz w:val="21"/>
        </w:rPr>
        <w:t xml:space="preserve"> </w:t>
      </w:r>
    </w:p>
    <w:p>
      <w:pPr>
        <w:pStyle w:val="2"/>
      </w:pPr>
      <w:r>
        <w:rPr>
          <w:color w:val="000000"/>
          <w:sz w:val="21"/>
        </w:rPr>
        <w:t>Any notice shall be deemed to have been received:</w:t>
      </w:r>
    </w:p>
    <w:p>
      <w:pPr>
        <w:pStyle w:val="3"/>
      </w:pPr>
      <w:r>
        <w:rPr>
          <w:color w:val="000000"/>
          <w:sz w:val="21"/>
        </w:rPr>
        <w:t>if delivered by hand, at the time the notice is left at the proper address;</w:t>
      </w:r>
    </w:p>
    <w:p>
      <w:pPr>
        <w:pStyle w:val="3"/>
      </w:pPr>
      <w:r>
        <w:rPr>
          <w:color w:val="000000"/>
          <w:sz w:val="21"/>
        </w:rPr>
        <w:t>if sent by pre-paid first-class post or other next working day delivery service, at 9.00 am on the second business day after posting; or</w:t>
      </w:r>
    </w:p>
    <w:p>
      <w:pPr>
        <w:pStyle w:val="3"/>
      </w:pPr>
      <w:r>
        <w:rPr>
          <w:color w:val="000000"/>
          <w:sz w:val="21"/>
        </w:rPr>
        <w:t>if sent by email, at the time of transmission, or, if this time falls outside business hours in the place of receipt, when business hours resume.</w:t>
      </w:r>
    </w:p>
    <w:p>
      <w:pPr>
        <w:pStyle w:val="3"/>
        <w:jc w:val="left"/>
      </w:pPr>
    </w:p>
    <w:p>
      <w:pPr>
        <w:pStyle w:val="2"/>
      </w:pPr>
      <w:r>
        <w:rPr>
          <w:color w:val="000000"/>
          <w:sz w:val="21"/>
        </w:rPr>
        <w:t>This clause does not apply to the service of any proceedings or other documents in any legal action or, where applicable, any arbitration or other method of dispute resolution.</w:t>
      </w:r>
    </w:p>
    <w:p>
      <w:pPr>
        <w:pStyle w:val="1"/>
      </w:pPr>
      <w:r>
        <w:rPr>
          <w:color w:val="000000"/>
          <w:sz w:val="21"/>
        </w:rPr>
        <w:t>Confidentiality Clause</w:t>
      </w:r>
    </w:p>
    <w:p>
      <w:pPr>
        <w:pStyle w:val="2"/>
      </w:pPr>
      <w:r>
        <w:rPr>
          <w:color w:val="000000"/>
          <w:sz w:val="21"/>
        </w:rPr>
        <w:t xml:space="preserve">Each party reserves all rights in its confidential information. Both parties promise that they and their directors, senior managers, employees, representatives, agents, contractors and affiliates shall keep confidential the confidential information (including but not limited to the goods information, specifications or technical parameters, quality standards provided by the SELLER, and related contents agreed in this Contract) obtained from the other party under this Contract or in the process of executing this Contract (or in the discussion or negotiation before the signing of this Contract), and shall not disclose such information to anyone (except for employees who need to know such information and will keep such information confidential in accordance with the provisions of this clause), and shall only use such information for the purpose of fulfilling their obligations under this Contract, and shall not use such information for their own interests or the interests of any third party. </w:t>
      </w:r>
    </w:p>
    <w:p>
      <w:pPr>
        <w:pStyle w:val="2"/>
      </w:pPr>
      <w:r>
        <w:rPr>
          <w:color w:val="000000"/>
          <w:sz w:val="21"/>
        </w:rPr>
        <w:t xml:space="preserve">However, any party or its affiliates (including parent companies, branches or subsidiaries) may disclose the contents of this Contract based on the laws of the place where it or its affiliates are located or the requirements of relevant governments. Without the consent of the other party, one party shall not disclose this Contract on the Internet or any other media or use this Contract or the cooperative relationship between the two parties for any advertising or publicity. </w:t>
      </w:r>
    </w:p>
    <w:p>
      <w:pPr>
        <w:pStyle w:val="2"/>
      </w:pPr>
      <w:r>
        <w:rPr>
          <w:color w:val="000000"/>
          <w:sz w:val="21"/>
        </w:rPr>
        <w:t xml:space="preserve">If a party suffers losses due to the violation of this confidentiality obligation, the violating party shall bear the liability for compensation. </w:t>
      </w:r>
      <w:r>
        <w:rPr>
          <w:color w:val="000000"/>
          <w:sz w:val="21"/>
        </w:rPr>
        <w:t>This confidentiality clause shall survive termination of the Contract for a period of five (5) years, unless the</w:t>
      </w:r>
      <w:r>
        <w:rPr>
          <w:color w:val="000000"/>
          <w:sz w:val="21"/>
        </w:rPr>
        <w:br/>
        <w:t>confidential information enters the public domain through no fault of the receiving Party or is required to be</w:t>
      </w:r>
      <w:r>
        <w:rPr>
          <w:color w:val="000000"/>
          <w:sz w:val="21"/>
        </w:rPr>
        <w:t xml:space="preserve"> disclosed under applicable law or regulation, including the laws of the Republic of Cyprus and Singapore.</w:t>
      </w:r>
    </w:p>
    <w:p>
      <w:pPr>
        <w:pStyle w:val="1"/>
      </w:pPr>
      <w:r>
        <w:rPr>
          <w:color w:val="000000"/>
          <w:sz w:val="21"/>
        </w:rPr>
        <w:t>Insurance Requirements</w:t>
      </w:r>
      <w:r>
        <w:rPr>
          <w:color w:val="000000"/>
          <w:sz w:val="21"/>
        </w:rPr>
        <w:t xml:space="preserve"> </w:t>
      </w:r>
    </w:p>
    <w:p>
      <w:pPr>
        <w:pStyle w:val="1"/>
      </w:pPr>
      <w:r>
        <w:rPr>
          <w:b w:val="0"/>
        </w:rPr>
        <w:t>16.1 Seller Insurance:</w:t>
      </w:r>
      <w:r>
        <w:rPr>
          <w:b w:val="0"/>
        </w:rPr>
        <w:t xml:space="preserve"> </w:t>
      </w:r>
      <w:r>
        <w:rPr>
          <w:b w:val="0"/>
        </w:rPr>
        <w:t>The Seller shall maintain, at its own cost:</w:t>
      </w:r>
    </w:p>
    <w:p>
      <w:pPr>
        <w:pStyle w:val="1"/>
      </w:pPr>
      <w:r>
        <w:rPr>
          <w:b w:val="0"/>
        </w:rPr>
        <w:t>(a) product liability insurance with a minimum coverage of EUR 5,000,000 per occurrence; and</w:t>
      </w:r>
    </w:p>
    <w:p>
      <w:pPr>
        <w:pStyle w:val="1"/>
      </w:pPr>
      <w:r>
        <w:rPr>
          <w:b w:val="0"/>
        </w:rPr>
        <w:t>(b) professional indemnity insurance with a minimum coverage of EUR 2,000,000 per occurrence,</w:t>
      </w:r>
      <w:r>
        <w:rPr>
          <w:b w:val="0"/>
          <w:sz w:val="24"/>
        </w:rPr>
        <w:br/>
      </w:r>
      <w:r>
        <w:rPr>
          <w:b w:val="0"/>
        </w:rPr>
        <w:t>in each case valid for sales into the Republic of Cyprus, for the duration of this Contract and the warranty</w:t>
      </w:r>
      <w:r>
        <w:rPr>
          <w:b w:val="0"/>
        </w:rPr>
        <w:t xml:space="preserve"> </w:t>
      </w:r>
      <w:r>
        <w:rPr>
          <w:b w:val="0"/>
        </w:rPr>
        <w:t>period</w:t>
      </w:r>
      <w:r>
        <w:rPr>
          <w:b w:val="0"/>
        </w:rPr>
        <w:t>.</w:t>
      </w:r>
    </w:p>
    <w:p>
      <w:pPr>
        <w:pStyle w:val="1"/>
      </w:pPr>
      <w:r>
        <w:rPr>
          <w:b w:val="0"/>
        </w:rPr>
        <w:t>16.2 Buyer Insurance:</w:t>
      </w:r>
      <w:r>
        <w:rPr>
          <w:b w:val="0"/>
        </w:rPr>
        <w:t xml:space="preserve"> </w:t>
      </w:r>
      <w:r>
        <w:rPr>
          <w:b w:val="0"/>
        </w:rPr>
        <w:t>The Buyer shall maintain:</w:t>
      </w:r>
      <w:r>
        <w:rPr>
          <w:b w:val="0"/>
        </w:rPr>
        <w:t xml:space="preserve"> </w:t>
      </w:r>
    </w:p>
    <w:p>
      <w:pPr>
        <w:pStyle w:val="1"/>
      </w:pPr>
      <w:r>
        <w:rPr>
          <w:b w:val="0"/>
        </w:rPr>
        <w:t>(a) general commercial liability insurance with a minimum coverage of EUR 1,000,000 per occurrence; and</w:t>
      </w:r>
      <w:r>
        <w:rPr>
          <w:b w:val="0"/>
        </w:rPr>
        <w:t xml:space="preserve"> </w:t>
      </w:r>
    </w:p>
    <w:p>
      <w:pPr>
        <w:pStyle w:val="1"/>
      </w:pPr>
      <w:r>
        <w:rPr>
          <w:b w:val="0"/>
        </w:rPr>
        <w:t>(b) professional indemnity insurance with a minimum coverage of EUR 1,000,000 per occurrence where the</w:t>
      </w:r>
      <w:r>
        <w:rPr>
          <w:b w:val="0"/>
        </w:rPr>
        <w:t xml:space="preserve"> </w:t>
      </w:r>
      <w:r>
        <w:rPr>
          <w:b w:val="0"/>
        </w:rPr>
        <w:t>Buyer performs installation, EPC, or related services.</w:t>
      </w:r>
    </w:p>
    <w:p>
      <w:pPr>
        <w:pStyle w:val="1"/>
      </w:pPr>
      <w:r>
        <w:rPr>
          <w:b w:val="0"/>
        </w:rPr>
        <w:t>16.3 Proof of Insurance:</w:t>
      </w:r>
      <w:r>
        <w:rPr>
          <w:b w:val="0"/>
        </w:rPr>
        <w:t xml:space="preserve"> </w:t>
      </w:r>
      <w:r>
        <w:rPr>
          <w:b w:val="0"/>
        </w:rPr>
        <w:t>Each Party shall provide reasonable evidence of insurance coverage upon written request by the other Party.</w:t>
      </w:r>
    </w:p>
    <w:p>
      <w:pPr>
        <w:pStyle w:val="1"/>
      </w:pPr>
      <w:r>
        <w:rPr>
          <w:color w:val="000000"/>
          <w:sz w:val="21"/>
        </w:rPr>
        <w:t>Miscellaneous</w:t>
      </w:r>
    </w:p>
    <w:p>
      <w:pPr>
        <w:pStyle w:val="2"/>
      </w:pPr>
      <w:r>
        <w:rPr>
          <w:color w:val="000000"/>
          <w:sz w:val="21"/>
        </w:rPr>
        <w:t>If any term or provision of this Contract is found to be invalid under any applicable statute or rule of law, then, that provision notwithstanding, this Contract shall remain in full force and effect, and such provision shall be deleted.</w:t>
      </w:r>
    </w:p>
    <w:p>
      <w:pPr>
        <w:pStyle w:val="2"/>
      </w:pPr>
      <w:r>
        <w:rPr>
          <w:color w:val="000000"/>
          <w:sz w:val="21"/>
        </w:rPr>
        <w:t>To the maximum extent permitted by law, the SELLER shall under no circumstances be liable to the BUYER for (i) any loss of profits, revenue, interest or goodwill, loss or corruption of data, loss of or interruption to the BUYER’s business, or (ii) economic, special, indirect or consequential loss or damage, whether in contract, tort (including negligence), for breach of warranty, under any indemnity, under statute, in equity or otherwise.</w:t>
      </w:r>
    </w:p>
    <w:p>
      <w:pPr>
        <w:pStyle w:val="2"/>
      </w:pPr>
    </w:p>
    <w:p>
      <w:pPr>
        <w:pStyle w:val="2"/>
      </w:pPr>
      <w:r>
        <w:rPr>
          <w:color w:val="000000"/>
          <w:sz w:val="21"/>
        </w:rPr>
        <w:t>No amendment or modification of this Contract shall be binding or effective unless made in writing and signed on behalf of the Parties by their respective duly authorized representatives.</w:t>
      </w:r>
    </w:p>
    <w:p>
      <w:pPr>
        <w:pStyle w:val="2"/>
      </w:pPr>
      <w:r>
        <w:rPr>
          <w:color w:val="000000"/>
          <w:sz w:val="21"/>
        </w:rPr>
        <w:t>Neither party shall assign, novate, transfer, mortgage, charge, subcontract, delegate, declare a trust over or deal in any other manner with any or all of its rights and obligations under this Contract without the prior written consent of the other party.</w:t>
      </w:r>
    </w:p>
    <w:p>
      <w:pPr>
        <w:pStyle w:val="2"/>
      </w:pPr>
      <w:r>
        <w:rPr>
          <w:color w:val="000000"/>
          <w:sz w:val="21"/>
        </w:rPr>
        <w:t>Except as expressly provided in this Contract, each party shall pay its own costs incurred in connection with the negotiation, preparation and execution of this Contract.</w:t>
      </w:r>
    </w:p>
    <w:p>
      <w:pPr>
        <w:pStyle w:val="2"/>
      </w:pPr>
      <w:r>
        <w:rPr>
          <w:color w:val="000000"/>
          <w:sz w:val="21"/>
        </w:rPr>
        <w:t xml:space="preserve">A waiver of any right or remedy under this Contract or by law is only effective if given in writing and shall not be deemed a waiver of any subsequent right or remedy. A failure or delay by a party to exercise any right or remedy provided under this Contract or by law shall not constitute a waiver of that or any other right or remedy, nor shall it prevent or restrict any </w:t>
      </w:r>
      <w:r>
        <w:rPr>
          <w:color w:val="000000"/>
          <w:sz w:val="21"/>
        </w:rPr>
        <w:t>further exercise of that or any other right or remedy. No single or partial exercise of any right or remedy provided under this Contract or by law shall prevent or restrict the further exercise of that or any other right or remedy.</w:t>
      </w:r>
    </w:p>
    <w:p>
      <w:pPr>
        <w:pStyle w:val="2"/>
      </w:pPr>
      <w:r>
        <w:rPr>
          <w:color w:val="000000"/>
          <w:sz w:val="21"/>
        </w:rPr>
        <w:t>This Contract constitutes the entire agreement between the parties and supersedes and extinguishes all previous and contemporaneous agreements, promises, assurances and understandings between them, whether written or oral, relating to its subject matter. Each party acknowledges that in entering into this Contract, it does not rely on, and shall have no remedies for, any statement, representation, assurance or warranty (whether made innocently or negligently) that is not set out in this Contract. Each party agrees that it shall have no claim for innocent or negligent misrepresentation or negligent misstatement based on any statement in this Contract.</w:t>
      </w:r>
    </w:p>
    <w:p>
      <w:pPr>
        <w:pStyle w:val="2"/>
      </w:pPr>
      <w:r>
        <w:rPr>
          <w:color w:val="000000"/>
          <w:sz w:val="21"/>
        </w:rPr>
        <w:t>The Contract shall be written in English, and shall be in two (2) copies, which are equally authentic and all the copies shall together constitute one Contract. Each of the Parties shall hold one (1) copy. This Contract and any counterparts may be executed electronically whether by facsimile or by emailed portable document format (the PDF) document (or other mutually agreeable document format) and such electronic version shall take effect as delivery of an executed counterpart of this Contract. If either method of delivery is adopted, without prejudice to the validity of the Contract thus made, each Party shall provide the others with the original of such counterpart as soon as reasonably possible thereafter.</w:t>
      </w:r>
    </w:p>
    <w:p>
      <w:pPr>
        <w:pStyle w:val="2"/>
      </w:pPr>
      <w:r>
        <w:rPr/>
        <w:t xml:space="preserve">The official and legally binding language of this Contract is English. Any translation into Polish, Chinese, Greek, or any other language is for convenience only and shall have no legal effect. </w:t>
      </w:r>
      <w:r>
        <w:rPr/>
        <w:t>No Party may rely on translations in any proceeding.</w:t>
      </w:r>
    </w:p>
    <w:p>
      <w:pPr>
        <w:pStyle w:val="2"/>
      </w:pPr>
      <w:r>
        <w:rPr>
          <w:b/>
        </w:rPr>
        <w:t>18 – PRE-SHIPMENT INSPECTION</w:t>
      </w:r>
    </w:p>
    <w:p>
      <w:pPr>
        <w:pStyle w:val="2"/>
      </w:pPr>
      <w:r>
        <w:rPr/>
        <w:t>18.1 The Buyer shall have the right, at its own cost, to inspect or have inspected by a designated third-party inspector the Commodities at the Seller's manufacturing facility prior to shipment.</w:t>
      </w:r>
    </w:p>
    <w:p>
      <w:pPr>
        <w:pStyle w:val="2"/>
      </w:pPr>
    </w:p>
    <w:p>
      <w:pPr>
        <w:pStyle w:val="2"/>
      </w:pPr>
      <w:r>
        <w:rPr/>
        <w:t xml:space="preserve">18.2 The Buyer shall provide the Seller with at least ten (10) Business Days' written notice of </w:t>
      </w:r>
      <w:r>
        <w:rPr/>
        <w:t>its intention to conduct a pre-shipment inspection.</w:t>
      </w:r>
    </w:p>
    <w:p>
      <w:pPr>
        <w:pStyle w:val="2"/>
      </w:pPr>
      <w:r>
        <w:rPr/>
        <w:t>18.3 The Seller shall conduct Factory Acceptance Tests (FAT) in accordance with the applicable Quotation and industry standards. The Buyer or its representative shall be entitled to witness such tests upon reasonable notice.</w:t>
      </w:r>
    </w:p>
    <w:p>
      <w:pPr>
        <w:pStyle w:val="2"/>
      </w:pPr>
      <w:r>
        <w:rPr/>
        <w:tab/>
      </w:r>
      <w:r>
        <w:rPr/>
        <w:tab/>
      </w:r>
    </w:p>
    <w:p>
      <w:pPr>
        <w:pStyle w:val="2"/>
      </w:pPr>
      <w:r>
        <w:rPr/>
        <w:t xml:space="preserve">18.4 If the inspection reveals defects: </w:t>
      </w:r>
    </w:p>
    <w:p>
      <w:pPr>
        <w:pStyle w:val="2"/>
      </w:pPr>
      <w:r>
        <w:rPr/>
        <w:tab/>
      </w:r>
      <w:r>
        <w:rPr/>
        <w:tab/>
      </w:r>
      <w:r>
        <w:rPr/>
        <w:t xml:space="preserve">(a) the Seller shall remedy such defects at no additional cost prior to shipment; </w:t>
      </w:r>
    </w:p>
    <w:p>
      <w:pPr>
        <w:pStyle w:val="2"/>
      </w:pPr>
      <w:r>
        <w:rPr/>
        <w:tab/>
      </w:r>
      <w:r>
        <w:rPr/>
        <w:tab/>
      </w:r>
      <w:r>
        <w:rPr/>
        <w:t>(</w:t>
      </w:r>
      <w:r>
        <w:rPr/>
        <w:t>b) the Buyer shall be entitled to re-inspect following remedy.</w:t>
      </w:r>
    </w:p>
    <w:p>
      <w:pPr>
        <w:pStyle w:val="2"/>
      </w:pPr>
      <w:r>
        <w:rPr/>
        <w:tab/>
      </w:r>
      <w:r>
        <w:rPr/>
        <w:tab/>
      </w:r>
    </w:p>
    <w:p>
      <w:pPr>
        <w:pStyle w:val="2"/>
      </w:pPr>
      <w:r>
        <w:rPr/>
        <w:t>19 – DATA PROTECTION</w:t>
      </w:r>
    </w:p>
    <w:p>
      <w:pPr>
        <w:pStyle w:val="2"/>
      </w:pPr>
      <w:r>
        <w:rPr/>
        <w:t>19.1 Each Party shall comply with all applicable data protection laws and regulations, including the General Data Protection Regulation (EU) 2016/679 ("GDPR").</w:t>
      </w:r>
    </w:p>
    <w:p>
      <w:pPr>
        <w:pStyle w:val="2"/>
      </w:pPr>
    </w:p>
    <w:p>
      <w:pPr>
        <w:pStyle w:val="2"/>
      </w:pPr>
      <w:r>
        <w:rPr/>
        <w:t>19.2 Cross-border transfers of personal data outside the EEA shall require appropriate safeguards (adequacy decisions, SCCs, or BCRs).</w:t>
      </w:r>
    </w:p>
    <w:p>
      <w:pPr>
        <w:pStyle w:val="2"/>
      </w:pPr>
    </w:p>
    <w:p>
      <w:pPr>
        <w:pStyle w:val="2"/>
      </w:pPr>
      <w:r>
        <w:rPr/>
        <w:t>19.3 In the event of a personal data breach, the affected Party shall notify the other Party within seventy-two (72) hours.</w:t>
      </w:r>
    </w:p>
    <w:p>
      <w:pPr>
        <w:pStyle w:val="2"/>
      </w:pPr>
      <w:r>
        <w:rPr/>
        <w:tab/>
      </w:r>
      <w:r>
        <w:rPr/>
        <w:tab/>
      </w:r>
    </w:p>
    <w:p>
      <w:pPr>
        <w:pStyle w:val="2"/>
      </w:pPr>
      <w:r>
        <w:rPr/>
        <w:t>20 – COMPLIANCE WITH LAWS</w:t>
      </w:r>
    </w:p>
    <w:p>
      <w:pPr>
        <w:pStyle w:val="2"/>
      </w:pPr>
      <w:r>
        <w:rPr/>
        <w:t>20.1 Each Party shall comply with all applicable laws, regulations, and industry standards.</w:t>
      </w:r>
    </w:p>
    <w:p>
      <w:pPr>
        <w:pStyle w:val="2"/>
      </w:pPr>
      <w:r>
        <w:rPr>
          <w:b/>
        </w:rPr>
        <w:tab/>
      </w:r>
    </w:p>
    <w:p>
      <w:pPr>
        <w:pStyle w:val="2"/>
      </w:pPr>
      <w:r>
        <w:rPr/>
        <w:t xml:space="preserve">20.2 Neither Party shall, directly or indirectly: </w:t>
      </w:r>
    </w:p>
    <w:p>
      <w:pPr>
        <w:pStyle w:val="2"/>
      </w:pPr>
      <w:r>
        <w:rPr/>
        <w:tab/>
      </w:r>
      <w:r>
        <w:rPr/>
        <w:tab/>
      </w:r>
      <w:r>
        <w:rPr/>
        <w:t xml:space="preserve">(a) offer, promise, give, or authorise the giving of any bribe, kickback, or improper payment; </w:t>
      </w:r>
    </w:p>
    <w:p>
      <w:pPr>
        <w:pStyle w:val="2"/>
      </w:pPr>
      <w:r>
        <w:rPr/>
        <w:tab/>
      </w:r>
      <w:r>
        <w:rPr/>
        <w:tab/>
      </w:r>
      <w:r>
        <w:rPr/>
        <w:t>(b) request, agree to receive, or accept any bribe, kickback, or improper payment.</w:t>
      </w:r>
    </w:p>
    <w:p>
      <w:pPr>
        <w:pStyle w:val="2"/>
      </w:pPr>
      <w:r>
        <w:rPr>
          <w:b/>
        </w:rPr>
        <w:tab/>
      </w:r>
    </w:p>
    <w:p>
      <w:pPr>
        <w:pStyle w:val="2"/>
      </w:pPr>
      <w:r>
        <w:rPr/>
        <w:t>20.3 Each Party shall comply with applicable trade sanctions and export control regulations.</w:t>
      </w:r>
    </w:p>
    <w:p>
      <w:pPr>
        <w:pStyle w:val="2"/>
      </w:pPr>
      <w:r>
        <w:rPr/>
        <w:tab/>
      </w:r>
      <w:r>
        <w:rPr/>
        <w:tab/>
      </w:r>
    </w:p>
    <w:p>
      <w:pPr>
        <w:pStyle w:val="2"/>
      </w:pPr>
      <w:r>
        <w:rPr/>
        <w:t>20.4 Material Breach: Any material breach of this Section shall entitle the non-breaching Party to terminate immediately.</w:t>
      </w:r>
    </w:p>
    <w:p>
      <w:pPr>
        <w:pStyle w:val="2"/>
      </w:pPr>
      <w:r>
        <w:rPr/>
        <w:t>20.5 Product Standards Compliance: The Products supplied under this Contract shall comply with:</w:t>
      </w:r>
    </w:p>
    <w:p>
      <w:pPr>
        <w:pStyle w:val="2"/>
      </w:pPr>
      <w:r>
        <w:rPr/>
        <w:t>(a</w:t>
      </w:r>
      <w:r>
        <w:rPr/>
        <w:t xml:space="preserve">) </w:t>
      </w:r>
      <w:r>
        <w:rPr/>
        <w:t>IEC standards applicable to battery energy storage systems (including IEC 62619-2022, IEC 62477, IEC 61000-3-2,IEC61000-6-2&amp;-4, IEC 62933, IEC63056):</w:t>
      </w:r>
      <w:r>
        <w:rPr/>
        <w:br/>
        <w:t>(b) CE marking requirements for products placed on the European Union/EEA market;</w:t>
      </w:r>
    </w:p>
    <w:p>
      <w:pPr>
        <w:pStyle w:val="2"/>
      </w:pPr>
      <w:r>
        <w:rPr/>
        <w:t xml:space="preserve">(c) </w:t>
      </w:r>
      <w:r>
        <w:rPr/>
        <w:t>applicable Cyprus Distribution System Operator (DSO) grid codes; whereas any further technical regulations or requirements requested by the DSO shall be subject to technical feasibility assessment and, if applicable, shall be priced individually</w:t>
      </w:r>
      <w:r>
        <w:rPr/>
        <w:t>,</w:t>
      </w:r>
      <w:r>
        <w:rPr/>
        <w:t xml:space="preserve"> and</w:t>
      </w:r>
    </w:p>
    <w:p>
      <w:pPr>
        <w:pStyle w:val="2"/>
      </w:pPr>
      <w:r>
        <w:rPr/>
        <w:t xml:space="preserve">(d) </w:t>
      </w:r>
      <w:r>
        <w:rPr/>
        <w:t>any additional standards specified in the applicable Quotation; provided that any requirements exceeding those standards shall be subject to a feasibility study and individual pricing;</w:t>
      </w:r>
      <w:r>
        <w:rPr/>
        <w:t>.</w:t>
      </w:r>
    </w:p>
    <w:p>
      <w:pPr>
        <w:pStyle w:val="2"/>
      </w:pPr>
      <w:r>
        <w:rPr/>
        <w:t>20.5 Certificates of Compliance:</w:t>
      </w:r>
      <w:r>
        <w:rPr/>
        <w:t xml:space="preserve"> </w:t>
      </w:r>
      <w:r>
        <w:rPr/>
        <w:t>Upon request, the Seller shall provide certificates of compliance, test reports, and documentation evidencing</w:t>
      </w:r>
      <w:r>
        <w:rPr/>
        <w:t xml:space="preserve"> </w:t>
      </w:r>
      <w:r>
        <w:rPr/>
        <w:t>compliance with applicable standards, including but not limited to CE certificates, IEC test reports, and type</w:t>
      </w:r>
      <w:r>
        <w:rPr/>
        <w:t xml:space="preserve"> </w:t>
      </w:r>
      <w:r>
        <w:rPr/>
        <w:t>approval documentation</w:t>
      </w:r>
    </w:p>
    <w:p>
      <w:pPr>
        <w:pStyle w:val="2"/>
      </w:pPr>
    </w:p>
    <w:p>
      <w:pPr>
        <w:pStyle w:val="2"/>
      </w:pPr>
    </w:p>
    <w:p>
      <w:pPr>
        <w:pStyle w:val="2"/>
      </w:pPr>
    </w:p>
    <w:p>
      <w:pPr>
        <w:pStyle w:val="2"/>
      </w:pPr>
    </w:p>
    <w:p>
      <w:pPr>
        <w:pStyle w:val="Normalny"/>
      </w:pPr>
    </w:p>
    <w:p>
      <w:r>
        <w:rPr>
          <w:rFonts w:ascii="Calibri" w:hAnsi="Calibri"/>
          <w:b/>
          <w:sz w:val="20"/>
        </w:rPr>
        <w:t>ANNEX A — PURCHASE ORDER TEMPLATE</w:t>
      </w:r>
    </w:p>
    <w:p>
      <w:r>
        <w:rPr>
          <w:rFonts w:ascii="Calibri" w:hAnsi="Calibri"/>
          <w:b w:val="0"/>
          <w:sz w:val="20"/>
        </w:rPr>
      </w:r>
    </w:p>
    <w:p>
      <w:r>
        <w:rPr>
          <w:rFonts w:ascii="Calibri" w:hAnsi="Calibri"/>
          <w:b w:val="0"/>
          <w:sz w:val="20"/>
        </w:rPr>
        <w:t>Each Purchase Order placed under this Contract shall contain the following:</w:t>
      </w:r>
    </w:p>
    <w:p>
      <w:r>
        <w:rPr>
          <w:rFonts w:ascii="Calibri" w:hAnsi="Calibri"/>
          <w:b w:val="0"/>
          <w:sz w:val="20"/>
        </w:rPr>
      </w:r>
    </w:p>
    <w:p>
      <w:r>
        <w:rPr>
          <w:rFonts w:ascii="Calibri" w:hAnsi="Calibri"/>
          <w:b/>
          <w:sz w:val="20"/>
        </w:rPr>
        <w:t>1. PURCHASE ORDER DETAILS</w:t>
      </w:r>
    </w:p>
    <w:p>
      <w:r>
        <w:rPr>
          <w:rFonts w:ascii="Calibri" w:hAnsi="Calibri"/>
          <w:b w:val="0"/>
          <w:sz w:val="20"/>
        </w:rPr>
        <w:t xml:space="preserve">   PO Number: LCY-PO-[XXX]-2026</w:t>
      </w:r>
    </w:p>
    <w:p>
      <w:r>
        <w:rPr>
          <w:rFonts w:ascii="Calibri" w:hAnsi="Calibri"/>
          <w:b w:val="0"/>
          <w:sz w:val="20"/>
        </w:rPr>
        <w:t xml:space="preserve">   Date:</w:t>
      </w:r>
    </w:p>
    <w:p>
      <w:r>
        <w:rPr>
          <w:rFonts w:ascii="Calibri" w:hAnsi="Calibri"/>
          <w:b w:val="0"/>
          <w:sz w:val="20"/>
        </w:rPr>
        <w:t xml:space="preserve">   Reference Contract: [Sales Contract number]</w:t>
      </w:r>
    </w:p>
    <w:p>
      <w:r>
        <w:rPr>
          <w:rFonts w:ascii="Calibri" w:hAnsi="Calibri"/>
          <w:b w:val="0"/>
          <w:sz w:val="20"/>
        </w:rPr>
        <w:t xml:space="preserve">   Quotation Reference: [Linyang Quotation number]</w:t>
      </w:r>
    </w:p>
    <w:p>
      <w:r>
        <w:rPr>
          <w:rFonts w:ascii="Calibri" w:hAnsi="Calibri"/>
          <w:b w:val="0"/>
          <w:sz w:val="20"/>
        </w:rPr>
      </w:r>
    </w:p>
    <w:p>
      <w:r>
        <w:rPr>
          <w:rFonts w:ascii="Calibri" w:hAnsi="Calibri"/>
          <w:b/>
          <w:sz w:val="20"/>
        </w:rPr>
        <w:t>2. COMMODITIES</w:t>
      </w:r>
    </w:p>
    <w:p>
      <w:r>
        <w:rPr>
          <w:rFonts w:ascii="Calibri" w:hAnsi="Calibri"/>
          <w:b w:val="0"/>
          <w:sz w:val="20"/>
        </w:rPr>
        <w:t xml:space="preserve">   Park Name(s):</w:t>
      </w:r>
    </w:p>
    <w:p>
      <w:r>
        <w:rPr>
          <w:rFonts w:ascii="Calibri" w:hAnsi="Calibri"/>
          <w:b w:val="0"/>
          <w:sz w:val="20"/>
        </w:rPr>
        <w:t xml:space="preserve">   End-Customer:</w:t>
      </w:r>
    </w:p>
    <w:p>
      <w:r>
        <w:rPr>
          <w:rFonts w:ascii="Calibri" w:hAnsi="Calibri"/>
          <w:b w:val="0"/>
          <w:sz w:val="20"/>
        </w:rPr>
        <w:t xml:space="preserve">   District:</w:t>
      </w:r>
    </w:p>
    <w:p>
      <w:r>
        <w:rPr>
          <w:rFonts w:ascii="Calibri" w:hAnsi="Calibri"/>
          <w:b w:val="0"/>
          <w:sz w:val="20"/>
        </w:rPr>
        <w:t xml:space="preserve">   BESS Power (MW):</w:t>
      </w:r>
    </w:p>
    <w:p>
      <w:r>
        <w:rPr>
          <w:rFonts w:ascii="Calibri" w:hAnsi="Calibri"/>
          <w:b w:val="0"/>
          <w:sz w:val="20"/>
        </w:rPr>
        <w:t xml:space="preserve">   BESS Energy (MWh):</w:t>
      </w:r>
    </w:p>
    <w:p>
      <w:r>
        <w:rPr>
          <w:rFonts w:ascii="Calibri" w:hAnsi="Calibri"/>
          <w:b w:val="0"/>
          <w:sz w:val="20"/>
        </w:rPr>
        <w:t xml:space="preserve">   Battery Containers (qty x 5.015 MWh):</w:t>
      </w:r>
    </w:p>
    <w:p>
      <w:r>
        <w:rPr>
          <w:rFonts w:ascii="Calibri" w:hAnsi="Calibri"/>
          <w:b w:val="0"/>
          <w:sz w:val="20"/>
        </w:rPr>
        <w:t xml:space="preserve">   MV Skid Configuration:</w:t>
      </w:r>
    </w:p>
    <w:p>
      <w:r>
        <w:rPr>
          <w:rFonts w:ascii="Calibri" w:hAnsi="Calibri"/>
          <w:b w:val="0"/>
          <w:sz w:val="20"/>
        </w:rPr>
        <w:t xml:space="preserve">   PCS Units (model x qty):</w:t>
      </w:r>
    </w:p>
    <w:p>
      <w:r>
        <w:rPr>
          <w:rFonts w:ascii="Calibri" w:hAnsi="Calibri"/>
          <w:b w:val="0"/>
          <w:sz w:val="20"/>
        </w:rPr>
        <w:t xml:space="preserve">   Coastal Distance (for §8A warranty):</w:t>
      </w:r>
    </w:p>
    <w:p>
      <w:r>
        <w:rPr>
          <w:rFonts w:ascii="Calibri" w:hAnsi="Calibri"/>
          <w:b w:val="0"/>
          <w:sz w:val="20"/>
        </w:rPr>
      </w:r>
    </w:p>
    <w:p>
      <w:r>
        <w:rPr>
          <w:rFonts w:ascii="Calibri" w:hAnsi="Calibri"/>
          <w:b/>
          <w:sz w:val="20"/>
        </w:rPr>
        <w:t>3. PRICING</w:t>
      </w:r>
    </w:p>
    <w:p>
      <w:r>
        <w:rPr>
          <w:rFonts w:ascii="Calibri" w:hAnsi="Calibri"/>
          <w:b w:val="0"/>
          <w:sz w:val="20"/>
        </w:rPr>
        <w:t xml:space="preserve">   CIF Price (per Quotation): EUR [amount]</w:t>
      </w:r>
    </w:p>
    <w:p>
      <w:r>
        <w:rPr>
          <w:rFonts w:ascii="Calibri" w:hAnsi="Calibri"/>
          <w:b w:val="0"/>
          <w:sz w:val="20"/>
        </w:rPr>
        <w:t xml:space="preserve">   Incoterms: CIF Limassol, Cyprus (Incoterms 2020)</w:t>
      </w:r>
    </w:p>
    <w:p>
      <w:r>
        <w:rPr>
          <w:rFonts w:ascii="Calibri" w:hAnsi="Calibri"/>
          <w:b w:val="0"/>
          <w:sz w:val="20"/>
        </w:rPr>
      </w:r>
    </w:p>
    <w:p>
      <w:r>
        <w:rPr>
          <w:rFonts w:ascii="Calibri" w:hAnsi="Calibri"/>
          <w:b/>
          <w:sz w:val="20"/>
        </w:rPr>
        <w:t>4. PAYMENT AND DELIVERY DATE PLAN</w:t>
      </w:r>
    </w:p>
    <w:p>
      <w:r>
        <w:rPr>
          <w:rFonts w:ascii="Calibri" w:hAnsi="Calibri"/>
          <w:b w:val="0"/>
          <w:sz w:val="20"/>
        </w:rPr>
        <w:t xml:space="preserve">   (a) 20% Advance: EUR [amount] — due within 7 days of PO acceptance</w:t>
      </w:r>
    </w:p>
    <w:p>
      <w:r>
        <w:rPr>
          <w:rFonts w:ascii="Calibri" w:hAnsi="Calibri"/>
          <w:b w:val="0"/>
          <w:sz w:val="20"/>
        </w:rPr>
        <w:t xml:space="preserve">   (b) 50% Pre-Shipment: EUR [amount] — due within 3 days of FAT confirmation</w:t>
      </w:r>
    </w:p>
    <w:p>
      <w:r>
        <w:rPr>
          <w:rFonts w:ascii="Calibri" w:hAnsi="Calibri"/>
          <w:b w:val="0"/>
          <w:sz w:val="20"/>
        </w:rPr>
        <w:t xml:space="preserve">   (c) 20% DAP: EUR [amount] — due on arrival at Limassol Port</w:t>
      </w:r>
    </w:p>
    <w:p>
      <w:r>
        <w:rPr>
          <w:rFonts w:ascii="Calibri" w:hAnsi="Calibri"/>
          <w:b w:val="0"/>
          <w:sz w:val="20"/>
        </w:rPr>
        <w:t xml:space="preserve">   (d) 10% SAT/PAC: EUR [amount] — due on SAT/PAC or 90 days after shipment</w:t>
      </w:r>
    </w:p>
    <w:p>
      <w:r>
        <w:rPr>
          <w:rFonts w:ascii="Calibri" w:hAnsi="Calibri"/>
          <w:b w:val="0"/>
          <w:sz w:val="20"/>
        </w:rPr>
        <w:t xml:space="preserve">   Total PO Value: EUR [amount]</w:t>
      </w:r>
    </w:p>
    <w:p>
      <w:r>
        <w:rPr>
          <w:rFonts w:ascii="Calibri" w:hAnsi="Calibri"/>
          <w:b w:val="0"/>
          <w:sz w:val="20"/>
        </w:rPr>
      </w:r>
    </w:p>
    <w:p>
      <w:r>
        <w:rPr>
          <w:rFonts w:ascii="Calibri" w:hAnsi="Calibri"/>
          <w:b/>
          <w:sz w:val="20"/>
        </w:rPr>
        <w:t>5. DELIVERY SCHEDULE</w:t>
      </w:r>
    </w:p>
    <w:p>
      <w:r>
        <w:rPr>
          <w:rFonts w:ascii="Calibri" w:hAnsi="Calibri"/>
          <w:b w:val="0"/>
          <w:sz w:val="20"/>
        </w:rPr>
        <w:t xml:space="preserve">   Estimated Production Start:</w:t>
      </w:r>
    </w:p>
    <w:p>
      <w:r>
        <w:rPr>
          <w:rFonts w:ascii="Calibri" w:hAnsi="Calibri"/>
          <w:b w:val="0"/>
          <w:sz w:val="20"/>
        </w:rPr>
        <w:t xml:space="preserve">   Estimated FAT Date:</w:t>
      </w:r>
    </w:p>
    <w:p>
      <w:r>
        <w:rPr>
          <w:rFonts w:ascii="Calibri" w:hAnsi="Calibri"/>
          <w:b w:val="0"/>
          <w:sz w:val="20"/>
        </w:rPr>
        <w:t xml:space="preserve">   Estimated Ship Date:</w:t>
      </w:r>
    </w:p>
    <w:p>
      <w:r>
        <w:rPr>
          <w:rFonts w:ascii="Calibri" w:hAnsi="Calibri"/>
          <w:b w:val="0"/>
          <w:sz w:val="20"/>
        </w:rPr>
        <w:t xml:space="preserve">   Estimated CIF Arrival:</w:t>
      </w:r>
    </w:p>
    <w:p>
      <w:r>
        <w:rPr>
          <w:rFonts w:ascii="Calibri" w:hAnsi="Calibri"/>
          <w:b w:val="0"/>
          <w:sz w:val="20"/>
        </w:rPr>
        <w:t xml:space="preserve">   Target PAC Date:</w:t>
      </w:r>
    </w:p>
    <w:p>
      <w:r>
        <w:rPr>
          <w:rFonts w:ascii="Calibri" w:hAnsi="Calibri"/>
          <w:b w:val="0"/>
          <w:sz w:val="20"/>
        </w:rPr>
      </w:r>
    </w:p>
    <w:p>
      <w:r>
        <w:rPr>
          <w:rFonts w:ascii="Calibri" w:hAnsi="Calibri"/>
          <w:b/>
          <w:sz w:val="20"/>
        </w:rPr>
        <w:t>6. END-CUSTOMER CONTRACT EVIDENCE</w:t>
      </w:r>
    </w:p>
    <w:p>
      <w:r>
        <w:rPr>
          <w:rFonts w:ascii="Calibri" w:hAnsi="Calibri"/>
          <w:b w:val="0"/>
          <w:sz w:val="20"/>
        </w:rPr>
        <w:t xml:space="preserve">   Attached: [Yes/No] — signed EPC contract or LOI for the above park(s)</w:t>
      </w:r>
    </w:p>
    <w:p>
      <w:r>
        <w:rPr>
          <w:rFonts w:ascii="Calibri" w:hAnsi="Calibri"/>
          <w:b w:val="0"/>
          <w:sz w:val="20"/>
        </w:rPr>
      </w:r>
    </w:p>
    <w:p>
      <w:r>
        <w:rPr>
          <w:rFonts w:ascii="Calibri" w:hAnsi="Calibri"/>
          <w:b/>
          <w:sz w:val="20"/>
        </w:rPr>
        <w:t>7. APG REQUIREMENT</w:t>
      </w:r>
    </w:p>
    <w:p>
      <w:r>
        <w:rPr>
          <w:rFonts w:ascii="Calibri" w:hAnsi="Calibri"/>
          <w:b w:val="0"/>
          <w:sz w:val="20"/>
        </w:rPr>
        <w:t xml:space="preserve">   APG Amount (100% of advance): EUR [amount]</w:t>
      </w:r>
    </w:p>
    <w:p>
      <w:r>
        <w:rPr>
          <w:rFonts w:ascii="Calibri" w:hAnsi="Calibri"/>
          <w:b w:val="0"/>
          <w:sz w:val="20"/>
        </w:rPr>
        <w:t xml:space="preserve">   APG to be delivered prior to advance payment (per §9B.4)</w:t>
      </w:r>
    </w:p>
    <w:p>
      <w:r>
        <w:rPr>
          <w:rFonts w:ascii="Calibri" w:hAnsi="Calibri"/>
          <w:b w:val="0"/>
          <w:sz w:val="20"/>
        </w:rPr>
      </w:r>
    </w:p>
    <w:p>
      <w:r>
        <w:rPr>
          <w:rFonts w:ascii="Calibri" w:hAnsi="Calibri"/>
          <w:b w:val="0"/>
          <w:sz w:val="20"/>
        </w:rPr>
      </w:r>
    </w:p>
    <w:p>
      <w:r>
        <w:rPr>
          <w:rFonts w:ascii="Calibri" w:hAnsi="Calibri"/>
          <w:b w:val="0"/>
          <w:sz w:val="20"/>
        </w:rPr>
        <w:t>Signed for and on behalf of the BUYER:</w:t>
      </w:r>
    </w:p>
    <w:p>
      <w:r>
        <w:rPr>
          <w:rFonts w:ascii="Calibri" w:hAnsi="Calibri"/>
          <w:b w:val="0"/>
          <w:sz w:val="20"/>
        </w:rPr>
      </w:r>
    </w:p>
    <w:p>
      <w:r>
        <w:rPr>
          <w:rFonts w:ascii="Calibri" w:hAnsi="Calibri"/>
          <w:b w:val="0"/>
          <w:sz w:val="20"/>
        </w:rPr>
        <w:t>_________________________</w:t>
      </w:r>
    </w:p>
    <w:p>
      <w:r>
        <w:rPr>
          <w:rFonts w:ascii="Calibri" w:hAnsi="Calibri"/>
          <w:b w:val="0"/>
          <w:sz w:val="20"/>
        </w:rPr>
        <w:t>Alexander Papacosta</w:t>
      </w:r>
    </w:p>
    <w:p>
      <w:r>
        <w:rPr>
          <w:rFonts w:ascii="Calibri" w:hAnsi="Calibri"/>
          <w:b w:val="0"/>
          <w:sz w:val="20"/>
        </w:rPr>
        <w:t>Director — Lighthief Cyprus Ltd</w:t>
      </w:r>
    </w:p>
    <w:p>
      <w:r>
        <w:rPr>
          <w:rFonts w:ascii="Calibri" w:hAnsi="Calibri"/>
          <w:b w:val="0"/>
          <w:sz w:val="20"/>
        </w:rPr>
        <w:t>Date:</w:t>
      </w:r>
    </w:p>
    <w:p>
      <w:r>
        <w:rPr>
          <w:rFonts w:ascii="Calibri" w:hAnsi="Calibri"/>
          <w:b w:val="0"/>
          <w:sz w:val="20"/>
        </w:rPr>
      </w:r>
    </w:p>
    <w:p>
      <w:r>
        <w:rPr>
          <w:rFonts w:ascii="Calibri" w:hAnsi="Calibri"/>
          <w:b w:val="0"/>
          <w:sz w:val="20"/>
        </w:rPr>
      </w:r>
    </w:p>
    <w:p>
      <w:r>
        <w:rPr>
          <w:rFonts w:ascii="Calibri" w:hAnsi="Calibri"/>
          <w:b w:val="0"/>
          <w:sz w:val="20"/>
        </w:rPr>
        <w:t>Signed for and on behalf of the SELLER:</w:t>
      </w:r>
    </w:p>
    <w:p>
      <w:r>
        <w:rPr>
          <w:rFonts w:ascii="Calibri" w:hAnsi="Calibri"/>
          <w:b w:val="0"/>
          <w:sz w:val="20"/>
        </w:rPr>
      </w:r>
    </w:p>
    <w:p>
      <w:r>
        <w:rPr>
          <w:rFonts w:ascii="Calibri" w:hAnsi="Calibri"/>
          <w:b w:val="0"/>
          <w:sz w:val="20"/>
        </w:rPr>
        <w:t>_________________________</w:t>
      </w:r>
    </w:p>
    <w:p>
      <w:r>
        <w:rPr>
          <w:rFonts w:ascii="Calibri" w:hAnsi="Calibri"/>
          <w:b w:val="0"/>
          <w:sz w:val="20"/>
        </w:rPr>
        <w:t>[Name]</w:t>
      </w:r>
    </w:p>
    <w:p>
      <w:r>
        <w:rPr>
          <w:rFonts w:ascii="Calibri" w:hAnsi="Calibri"/>
          <w:b w:val="0"/>
          <w:sz w:val="20"/>
        </w:rPr>
        <w:t>[Title] — Jiangsu Linyang Energy Storage Technology Co., Ltd</w:t>
      </w:r>
    </w:p>
    <w:p>
      <w:r>
        <w:rPr>
          <w:rFonts w:ascii="Calibri" w:hAnsi="Calibri"/>
          <w:b w:val="0"/>
          <w:sz w:val="20"/>
        </w:rP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