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18096"/>
          <w:sz w:val="17"/>
        </w:rPr>
        <w:t>Document Reference: LCY-LTSA-GAL-2026</w:t>
        <w:br/>
        <w:t>Version: 4.0</w:t>
        <w:br/>
        <w:t>Date: May 2026</w:t>
        <w:br/>
        <w:br/>
        <w:t>VERSION HISTORY</w:t>
        <w:br/>
        <w:t>v1.0 — Oct 2025: Initial draft</w:t>
        <w:br/>
        <w:t>v2.0 — Jan 2026: Updated to Linyang RFI confirmed rates</w:t>
        <w:br/>
        <w:t>v2.4 — Feb 2026: Updated pricing, availability LD rate</w:t>
        <w:br/>
        <w:t>v3.0 — 22 Feb 2026: Group-level availability, EU Directive interest, tier structure</w:t>
        <w:br/>
        <w:t>v4.0 — 17 Mar 2026: Tier D removed (not offered), section numbering fixed,</w:t>
        <w:br/>
        <w:t xml:space="preserve">       SOH table corrected, availability duration 15yr, lender assignment,</w:t>
        <w:br/>
        <w:t xml:space="preserve">       companion document reference to EPC v4.0</w:t>
        <w:b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b/>
          <w:color w:val="718096"/>
          <w:sz w:val="17"/>
        </w:rPr>
      </w:r>
      <w:r>
        <w:rPr>
          <w:color w:val="718096"/>
          <w:sz w:val="17"/>
        </w:rPr>
      </w:r>
      <w:r>
        <w:rPr>
          <w:b/>
          <w:color w:val="718096"/>
          <w:sz w:val="17"/>
        </w:rPr>
      </w:r>
    </w:p>
    <w:p>
      <w:r>
        <w:br w:type="page"/>
      </w:r>
    </w:p>
    <w:p>
      <w:pPr>
        <w:spacing w:before="320"/>
      </w:pPr>
      <w:r>
        <w:rPr>
          <w:b/>
          <w:color w:val="1A365D"/>
          <w:sz w:val="24"/>
        </w:rPr>
        <w:t>1. PARTIES</w:t>
      </w:r>
    </w:p>
    <w:p>
      <w:r>
        <w:rPr>
          <w:b w:val="0"/>
          <w:sz w:val="20"/>
        </w:rPr>
        <w:t>This Long-Term Service Agreement ("Agreement") is made as of [●] 2026 ("Effective Date")</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Galascope Ltd,</w:t>
      </w:r>
    </w:p>
    <w:p>
      <w:r>
        <w:rPr>
          <w:b w:val="0"/>
          <w:sz w:val="20"/>
        </w:rPr>
        <w:t>a company incorporated under the laws of [●], with registered office at [●]</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ten (10) days per calendar year.</w:t>
      </w:r>
    </w:p>
    <w:p>
      <w:r>
        <w:rPr>
          <w:b w:val="0"/>
          <w:sz w:val="20"/>
        </w:rPr>
        <w:t>"System Capacity"</w:t>
      </w:r>
    </w:p>
    <w:p>
      <w:r>
        <w:rPr>
          <w:b w:val="0"/>
          <w:sz w:val="20"/>
        </w:rPr>
        <w:t>means the total installed capacity of the BESS in MWh, as specified in Schedule 1.</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Bi-annual preventive maintenance visits (every six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r>
        <w:rPr>
          <w:b w:val="0"/>
          <w:sz w:val="20"/>
        </w:rPr>
        <w:t>5.7 Data Retention</w:t>
      </w:r>
    </w:p>
    <w:p>
      <w:r>
        <w:rPr>
          <w:b w:val="0"/>
          <w:sz w:val="20"/>
        </w:rPr>
        <w:t>The Service Provider shall retain Performance Data for a minimum of five (5) years from the date of collection.</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Bi-Annual On-Site Maintenance Visits: Comprehensive on-site inspection and maintenance by qualified personnel, conducted every six (6) months (two visits per year).</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Bi-Annual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6.7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6.8 Maintenance Scheduling</w:t>
      </w:r>
    </w:p>
    <w:p>
      <w:r>
        <w:rPr>
          <w:b w:val="0"/>
          <w:sz w:val="20"/>
        </w:rPr>
        <w:t>(a) Bi-Annual Maintenance Visits shall be scheduled at least thirty (30) days in advance, at mutually agreed dates approximately six (6) months apart.</w:t>
      </w:r>
    </w:p>
    <w:p>
      <w:r>
        <w:rPr>
          <w:b w:val="0"/>
          <w:sz w:val="20"/>
        </w:rPr>
        <w:t>(b) The Service Provider shall endeavour to schedule maintenance at times when the BESS is not actively dispatching, to minimise impact on Client operations.</w:t>
      </w:r>
    </w:p>
    <w:p>
      <w:r>
        <w:rPr>
          <w:b w:val="0"/>
          <w:sz w:val="20"/>
        </w:rPr>
        <w:t>(c) Total Scheduled Downtime shall not exceed ten (10) days per calendar year, distributed across preventive maintenance visits, OEM service windows, and system health checks.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sz w:val="20"/>
        </w:rPr>
        <w:t>6.5 Maintenance Records</w:t>
      </w:r>
    </w:p>
    <w:p>
      <w:r>
        <w:rPr>
          <w:b w:val="0"/>
          <w:sz w:val="20"/>
        </w:rPr>
        <w:t>The Service Provider shall maintain detailed records of all maintenance activities, findings, and recommendations, and shall provide copies to the Client upon request.</w:t>
      </w:r>
    </w:p>
    <w:p>
      <w:r>
        <w:rPr>
          <w:b w:val="0"/>
          <w:sz w:val="20"/>
        </w:rPr>
        <w:t>6.6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(a) The Service Fee may be adjusted annually on each anniversary of the Effective Date, by an amount not exceeding the Cyprus Consumer Price Index (CPI) increase for the preceding twelve (12) months, plus two percent (2%).</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r>
        <w:rPr>
          <w:b w:val="0"/>
          <w:sz w:val="20"/>
        </w:rPr>
        <w:t>7.5 Late Payment</w:t>
      </w:r>
    </w:p>
    <w:p>
      <w:r>
        <w:rPr>
          <w:b w:val="0"/>
          <w:sz w:val="20"/>
        </w:rPr>
        <w:t>Late payments shall bear interest at the rate prescribed by EU Directive 2011/7/EU (the European Central Bank main refinancing rate plus eight percent (8%)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thirty (30) minutes, the system shall automatically escalate to the backup technician and operations manager.</w:t>
      </w:r>
    </w:p>
    <w:p>
      <w:r>
        <w:rPr>
          <w:b w:val="0"/>
          <w:sz w:val="20"/>
        </w:rPr>
        <w:t>8.2 Response Time Commitments</w:t>
      </w:r>
    </w:p>
    <w:p>
      <w:r>
        <w:rPr>
          <w:b w:val="0"/>
          <w:sz w:val="20"/>
        </w:rPr>
        <w:t>The Service Provider commits to the following Response Times:</w:t>
      </w:r>
    </w:p>
    <w:p>
      <w:r>
        <w:rPr>
          <w:b w:val="0"/>
          <w:sz w:val="20"/>
        </w:rPr>
        <w:t>(a) Critical Alerts: Initial remote response within two (2) hours; on-site attendance (if required) within eight (8) hours.</w:t>
      </w:r>
    </w:p>
    <w:p>
      <w:r>
        <w:rPr>
          <w:b w:val="0"/>
          <w:sz w:val="20"/>
        </w:rPr>
        <w:t>(b) Major Alerts: Initial remote response within eight (8) hours; on-site attendance (if required) within forty-eight (48) hours.</w:t>
      </w:r>
    </w:p>
    <w:p>
      <w:r>
        <w:rPr>
          <w:b w:val="0"/>
          <w:sz w:val="20"/>
        </w:rPr>
        <w:t>(c) Minor Alerts: Initial remote response within forty-eight (48)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within the eight (8) hour commitment for a Critical Alert, the Client shall be entitled to a service credit of one hundred euros (€100) for each full hour of delay beyond the eight (8) hour commitment, up to a maximum of one thousand euros (€1,000) per incident.</w:t>
      </w:r>
    </w:p>
    <w:p>
      <w:r>
        <w:rPr>
          <w:b w:val="0"/>
          <w:sz w:val="20"/>
        </w:rPr>
        <w:t>(b) Major Alert Breach: Where the Service Provider fails to achieve on-site attendance within the forty-eight (48) hour commitment for a Major Alert, the Client shall be entitled to a service credit of fifty euros (€50) for each full hour of delay beyond the forty-eight (48) hour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thirty (30) minutes of alert generation.</w:t>
      </w:r>
    </w:p>
    <w:p>
      <w:r>
        <w:rPr>
          <w:b w:val="0"/>
          <w:sz w:val="20"/>
        </w:rPr>
        <w:t>(b) Auto-Escalation: If the primary duty technician does not acknowledge a Critical Alert within thirty (30) minutes, the Monitoring Platform shall automatically escalate the alert to the backup technician and the operations manager simultaneously.</w:t>
      </w:r>
    </w:p>
    <w:p>
      <w:r>
        <w:rPr>
          <w:b w:val="0"/>
          <w:sz w:val="20"/>
        </w:rPr>
        <w:t>(c) Management Escalation: If on-site attendance has not been dispatched within four (4) hours of a Critical Alert, the operations manager shall escalate to the Service Provider's senior management and notify the Client's designated contact.</w:t>
      </w:r>
    </w:p>
    <w:p>
      <w:r>
        <w:rPr>
          <w:b w:val="0"/>
          <w:sz w:val="20"/>
        </w:rPr>
        <w:t>(d) Client Notification: The Client shall receive status updates at intervals of no more than two (2) hours from the time of a Critical Alert until the issue is resolved or the situation is stabilised.</w:t>
      </w:r>
    </w:p>
    <w:p>
      <w:r>
        <w:rPr>
          <w:b w:val="0"/>
          <w:sz w:val="20"/>
        </w:rPr>
        <w:t>8.7 Coverage Hours</w:t>
      </w:r>
    </w:p>
    <w:p>
      <w:r>
        <w:rPr>
          <w:b w:val="0"/>
          <w:sz w:val="20"/>
        </w:rPr>
        <w:t>(a) The Response Time commitments set out in Section 8.2 for Critical Alerts and Major Alerts apply on a twenty-four hours a day, seven days a week, three hundred and sixty-five days a year (24/7/365) basis, including weekends, public holidays, and night hours.</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portfolio covered under this Agreement shall achieve a minimum annual Availability of ninety-seven percent (97%), calculated at the Group Level in accordance with Schedule 4.</w:t>
      </w:r>
    </w:p>
    <w:p>
      <w:r>
        <w:rPr>
          <w:b w:val="0"/>
          <w:sz w:val="20"/>
        </w:rPr>
        <w:t>9.2 Calculation of Availability</w:t>
      </w:r>
    </w:p>
    <w:p>
      <w:r>
        <w:rPr>
          <w:b w:val="0"/>
          <w:sz w:val="20"/>
        </w:rPr>
        <w:t>Availability shall be calculated on a Group Aggregate basis across all parks covered under this Agreement, as follows:</w:t>
      </w:r>
    </w:p>
    <w:p>
      <w:r>
        <w:rPr>
          <w:b w:val="0"/>
          <w:sz w:val="20"/>
        </w:rPr>
        <w:t>Group Availability (%) = [SUM(Available Hours per Park) / SUM(Total Hours per Park)] x 100</w:t>
      </w:r>
    </w:p>
    <w:p>
      <w:r>
        <w:rPr>
          <w:b w:val="0"/>
          <w:sz w:val="20"/>
        </w:rPr>
        <w:t>Where:</w:t>
      </w:r>
    </w:p>
    <w:p>
      <w:r>
        <w:rPr>
          <w:b w:val="0"/>
          <w:sz w:val="20"/>
        </w:rPr>
        <w:t>(a) Total Hours per Park = 8,760 hours per year (or 8,784 in a leap year), commencing from the PAC date for each park;</w:t>
      </w:r>
    </w:p>
    <w:p>
      <w:r>
        <w:rPr>
          <w:b w:val="0"/>
          <w:sz w:val="20"/>
        </w:rPr>
        <w:t>(b) Unavailable Hours per Park = hours during which that park's BESS is unable to operate at its rated capacity due to equipment fault, failure, or Service Provider-caused downtime;</w:t>
      </w:r>
    </w:p>
    <w:p>
      <w:r>
        <w:rPr>
          <w:b w:val="0"/>
          <w:sz w:val="20"/>
        </w:rPr>
        <w:t>(c) Parks are added to the Group Availability calculation from their respective PAC dates — the guarantee accumulates as parks are commissioned and activated under this Agreement;</w:t>
      </w:r>
    </w:p>
    <w:p>
      <w:r>
        <w:rPr>
          <w:b w:val="0"/>
          <w:sz w:val="20"/>
        </w:rPr>
        <w:t>(d) For partial years (the year of commissioning), only the period from PAC to year-end is included in the calculation for that park.</w:t>
      </w:r>
    </w:p>
    <w:p>
      <w:r>
        <w:rPr>
          <w:b w:val="0"/>
          <w:sz w:val="20"/>
        </w:rPr>
        <w:t>9.2A Group-Level Rationale</w:t>
      </w:r>
    </w:p>
    <w:p>
      <w:r>
        <w:rPr>
          <w:b w:val="0"/>
          <w:sz w:val="20"/>
        </w:rPr>
        <w:t>The 97% Availability Guarantee applies at the group portfolio level, not per individual park. This means that an isolated park outage does not constitute a breach of the guarantee provided the weighted average availability across all active parks exceeds 97%. This structure reflects the portfolio pricing basis under which the Tier C service fee was calculated and enables the Service Provider to allocate resources efficiently across the Client's park portfolio.</w:t>
      </w:r>
    </w:p>
    <w:p>
      <w:r>
        <w:rPr>
          <w:b w:val="0"/>
          <w:sz w:val="20"/>
        </w:rPr>
        <w:t>9.3 Exclusions from Unavailable Hours</w:t>
      </w:r>
    </w:p>
    <w:p>
      <w:r>
        <w:rPr>
          <w:b w:val="0"/>
          <w:sz w:val="20"/>
        </w:rPr>
        <w:t>The following shall not count as Unavailable Hours:</w:t>
      </w:r>
    </w:p>
    <w:p>
      <w:r>
        <w:rPr>
          <w:b w:val="0"/>
          <w:sz w:val="20"/>
        </w:rPr>
        <w:t>(a) Scheduled Downtime for preventive maintenance (maximum 240 hours / 10 days per year);</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sz w:val="20"/>
        </w:rPr>
        <w:t>(e) Downtime caused by EMS or third-party system failures;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twenty percent (20%) of the annual Service Fee.</w:t>
      </w:r>
    </w:p>
    <w:p>
      <w:r>
        <w:rPr>
          <w:b w:val="0"/>
          <w:sz w:val="20"/>
        </w:rPr>
        <w:t>9.6 Sole Remedy</w:t>
      </w:r>
    </w:p>
    <w:p>
      <w:r>
        <w:rPr>
          <w:b w:val="0"/>
          <w:sz w:val="20"/>
        </w:rPr>
        <w:t>The Availability Liquidated Damages set out in this Section shall be the Client's sole and exclusive remedy for failure to achieve the Availability Guarantee, and the Client shall not be entitled to claim additional damages for unavailability beyond the Liquidated Damages.</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98% of original rated capacity;</w:t>
      </w:r>
    </w:p>
    <w:p>
      <w:r>
        <w:rPr>
          <w:b w:val="0"/>
          <w:sz w:val="20"/>
        </w:rPr>
        <w:t>(b) End of Year 2: 96% of original rated capacity;</w:t>
      </w:r>
    </w:p>
    <w:p>
      <w:r>
        <w:rPr>
          <w:b w:val="0"/>
          <w:sz w:val="20"/>
        </w:rPr>
        <w:t>(c) End of Year 3: 94% of original rated capacity;</w:t>
      </w:r>
    </w:p>
    <w:p>
      <w:r>
        <w:rPr>
          <w:b w:val="0"/>
          <w:sz w:val="20"/>
        </w:rPr>
        <w:t>(d) End of Year 4: 92% of original rated capacity;</w:t>
      </w:r>
    </w:p>
    <w:p>
      <w:r>
        <w:rPr>
          <w:b w:val="0"/>
          <w:sz w:val="20"/>
        </w:rPr>
        <w:t>(e) End of Year 5: 85% of original rated capacity;</w:t>
      </w:r>
    </w:p>
    <w:p>
      <w:r>
        <w:rPr>
          <w:b w:val="0"/>
          <w:sz w:val="20"/>
        </w:rPr>
        <w:t>(f) End of Year 10: 79.58% of original rated capacity;</w:t>
      </w:r>
    </w:p>
    <w:p>
      <w:r>
        <w:rPr>
          <w:b w:val="0"/>
          <w:sz w:val="20"/>
        </w:rPr>
        <w:t>(g) End of Year 15: 70%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5%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EUR [●] per kWh</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include, at minimum:</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and Professional Indemnity Insurance of minimum EUR 1,000,000 each.</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eight percent (8%)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Either Party may terminate this Agreement for convenience by providing one hundred eighty (180) days' written notice.</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twelve (12) months preceding the claim.</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w:t>
      </w:r>
    </w:p>
    <w:p>
      <w:r>
        <w:rPr>
          <w:b w:val="0"/>
          <w:sz w:val="20"/>
        </w:rPr>
        <w:t>Site Address: [●]</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5MWh | [●] | [●] |</w:t>
      </w:r>
    </w:p>
    <w:p>
      <w:r>
        <w:rPr>
          <w:b w:val="0"/>
          <w:sz w:val="20"/>
        </w:rPr>
        <w:t>| Power Conversion System | [●] MW PCS | [●] | [●] |</w:t>
      </w:r>
    </w:p>
    <w:p>
      <w:r>
        <w:rPr>
          <w:b w:val="0"/>
          <w:sz w:val="20"/>
        </w:rPr>
        <w:t>| Transformer | [●] MVA Transformer | [●] | [●] |</w:t>
      </w:r>
    </w:p>
    <w:p>
      <w:r>
        <w:rPr>
          <w:b w:val="0"/>
          <w:sz w:val="20"/>
        </w:rPr>
        <w:t>| EMS | [Third Party – specify] | [●]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7,000 cycles (25°C, 90% DOD, 0.5C) |</w:t>
      </w:r>
    </w:p>
    <w:p>
      <w:r>
        <w:rPr>
          <w:b w:val="0"/>
          <w:sz w:val="20"/>
        </w:rPr>
        <w:t>| Energy Density | 183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7,000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 MWh</w:t>
      </w:r>
    </w:p>
    <w:p>
      <w:r>
        <w:rPr>
          <w:b w:val="0"/>
          <w:sz w:val="20"/>
        </w:rPr>
        <w:t>SELECTED SERVICE TIER: ☐ Tier A  ☐ Tier B  ☐ Tier C</w:t>
      </w:r>
    </w:p>
    <w:p>
      <w:r>
        <w:rPr>
          <w:b w:val="0"/>
          <w:sz w:val="20"/>
        </w:rPr>
        <w:t>───────────────────────────────────────────────────────────────</w:t>
      </w:r>
    </w:p>
    <w:p>
      <w:r>
        <w:rPr>
          <w:b w:val="0"/>
          <w:sz w:val="20"/>
        </w:rPr>
        <w:t>BASE SERVICE PRICING (Per MWh per Year)</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€1,157.62 | €[●] |</w:t>
      </w:r>
    </w:p>
    <w:p>
      <w:r>
        <w:rPr>
          <w:b w:val="0"/>
          <w:sz w:val="20"/>
        </w:rPr>
        <w:t>| (Includes remote monitoring + bi-annual servicing) | | |</w:t>
      </w:r>
    </w:p>
    <w:p>
      <w:r>
        <w:rPr>
          <w:b w:val="0"/>
          <w:sz w:val="20"/>
        </w:rPr>
        <w:t>| | | |</w:t>
      </w:r>
    </w:p>
    <w:p>
      <w:r>
        <w:rPr>
          <w:b w:val="0"/>
          <w:sz w:val="20"/>
        </w:rPr>
        <w:t>| TIER B – Add Comprehensive O&amp;M | | |</w:t>
      </w:r>
    </w:p>
    <w:p>
      <w:r>
        <w:rPr>
          <w:b w:val="0"/>
          <w:sz w:val="20"/>
        </w:rPr>
        <w:t>| Preventive &amp; Corrective Maintenance – PCS + MVS | €1,311.97 | €[●] |</w:t>
      </w:r>
    </w:p>
    <w:p>
      <w:r>
        <w:rPr>
          <w:b w:val="0"/>
          <w:sz w:val="20"/>
        </w:rPr>
        <w:t>| (Includes remote monitoring + bi-annual servicing) | | |</w:t>
      </w:r>
    </w:p>
    <w:p>
      <w:r>
        <w:rPr>
          <w:b w:val="0"/>
          <w:sz w:val="20"/>
        </w:rPr>
        <w:t>| | | |</w:t>
      </w:r>
    </w:p>
    <w:p>
      <w:r>
        <w:rPr>
          <w:b w:val="0"/>
          <w:sz w:val="20"/>
        </w:rPr>
        <w:t>| TIER C – Add Availability Guarantee | | |</w:t>
      </w:r>
    </w:p>
    <w:p>
      <w:r>
        <w:rPr>
          <w:b w:val="0"/>
          <w:sz w:val="20"/>
        </w:rPr>
        <w:t>| 97% Availability Guarantee (Years 1-15) | €2,201.73 | €[●]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 | ☐ |</w:t>
      </w:r>
    </w:p>
    <w:p>
      <w:r>
        <w:rPr>
          <w:b w:val="0"/>
          <w:sz w:val="20"/>
        </w:rPr>
        <w:t>| BESS Performance &amp; Product Warranty | 11-15 | €1,157.62 | ☐ |</w:t>
      </w:r>
    </w:p>
    <w:p>
      <w:r>
        <w:rPr>
          <w:b w:val="0"/>
          <w:sz w:val="20"/>
        </w:rPr>
        <w:t>| PCS + MVS Product Warranty | 6-10 | €747.76 | ☐ |</w:t>
      </w:r>
    </w:p>
    <w:p>
      <w:r>
        <w:rPr>
          <w:b w:val="0"/>
          <w:sz w:val="20"/>
        </w:rPr>
        <w:t>| PCS + MVS Product Warranty | 11-15 | €926.10 | ☐ |</w:t>
      </w:r>
    </w:p>
    <w:p>
      <w:r>
        <w:rPr>
          <w:b/>
          <w:sz w:val="20"/>
        </w:rPr>
        <w:t>Note: Extended warranty is available for a maximum of fifteen (15) years from COD (1 cycle per day condition). Years 16-20 warranty extension is not available from the OEM.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 | €[●] |</w:t>
      </w:r>
    </w:p>
    <w:p>
      <w:r>
        <w:rPr>
          <w:b w:val="0"/>
          <w:sz w:val="20"/>
        </w:rPr>
        <w:t>| (20% of installed EMS/SCADA cost per year) | | |</w:t>
      </w:r>
    </w:p>
    <w:p>
      <w:r>
        <w:rPr>
          <w:b/>
          <w:sz w:val="20"/>
        </w:rPr>
        <w:t>Calculation basis: Annual subscription = 20% of total installed EMS/SCADA cost (EMS hardware + SCADA Local + SCADA Global), divided by system capacity in MWh. Rate varies by park size and group allocation — portfolio range: €661 – €3,181/MWh/Year.</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 per client group</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 MWh |</w:t>
      </w:r>
    </w:p>
    <w:p>
      <w:r>
        <w:rPr>
          <w:b w:val="0"/>
          <w:sz w:val="20"/>
        </w:rPr>
        <w:t>| Installed EMS/SCADA Cost | €[●] |</w:t>
      </w:r>
    </w:p>
    <w:p>
      <w:r>
        <w:rPr>
          <w:b w:val="0"/>
          <w:sz w:val="20"/>
        </w:rPr>
        <w:t>| Annual Subscription (20%) | €[●] |</w:t>
      </w:r>
    </w:p>
    <w:p>
      <w:r>
        <w:rPr>
          <w:b w:val="0"/>
          <w:sz w:val="20"/>
        </w:rPr>
        <w:t>| EUR/MWh/Year | €[●]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(Selected Tier) | €[●] |</w:t>
      </w:r>
    </w:p>
    <w:p>
      <w:r>
        <w:rPr>
          <w:b w:val="0"/>
          <w:sz w:val="20"/>
        </w:rPr>
        <w:t>| Warranty Extension (if selected) | €[●] |</w:t>
      </w:r>
    </w:p>
    <w:p>
      <w:r>
        <w:rPr>
          <w:b w:val="0"/>
          <w:sz w:val="20"/>
        </w:rPr>
        <w:t>| EMS/SCADA Annual Subscription | €[●] |</w:t>
      </w:r>
    </w:p>
    <w:p>
      <w:r>
        <w:rPr>
          <w:b w:val="0"/>
          <w:sz w:val="20"/>
        </w:rPr>
        <w:t>| TOTAL ANNUAL FEE | €[●] |</w:t>
      </w:r>
    </w:p>
    <w:p>
      <w:r>
        <w:rPr>
          <w:b w:val="0"/>
          <w:sz w:val="20"/>
        </w:rPr>
        <w:t>| VAT (19%) | €[●] |</w:t>
      </w:r>
    </w:p>
    <w:p>
      <w:r>
        <w:rPr>
          <w:b w:val="0"/>
          <w:sz w:val="20"/>
        </w:rPr>
        <w:t>| TOTAL INCLUDING VAT | €[●]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Bi-annual on-site maintenance visits (2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BI-ANNUAL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 Rate: €30/day/MWh of unavailable capacity (per OEM confirmed rate)</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95% |</w:t>
      </w:r>
    </w:p>
    <w:p>
      <w:r>
        <w:rPr>
          <w:b w:val="0"/>
          <w:sz w:val="20"/>
        </w:rPr>
        <w:t>| 2 | 92% |</w:t>
      </w:r>
    </w:p>
    <w:p>
      <w:r>
        <w:rPr>
          <w:b w:val="0"/>
          <w:sz w:val="20"/>
        </w:rPr>
        <w:t>| 3 | 89% |</w:t>
      </w:r>
    </w:p>
    <w:p>
      <w:r>
        <w:rPr>
          <w:b w:val="0"/>
          <w:sz w:val="20"/>
        </w:rPr>
        <w:t>| 4 | 87% |</w:t>
      </w:r>
    </w:p>
    <w:p>
      <w:r>
        <w:rPr>
          <w:b w:val="0"/>
          <w:sz w:val="20"/>
        </w:rPr>
        <w:t>| 5 | 85% |</w:t>
      </w:r>
    </w:p>
    <w:p>
      <w:r>
        <w:rPr>
          <w:b w:val="0"/>
          <w:sz w:val="20"/>
        </w:rPr>
        <w:t>| 6 | 83% |</w:t>
      </w:r>
    </w:p>
    <w:p>
      <w:r>
        <w:rPr>
          <w:b w:val="0"/>
          <w:sz w:val="20"/>
        </w:rPr>
        <w:t>| 7 | 81% |</w:t>
      </w:r>
    </w:p>
    <w:p>
      <w:r>
        <w:rPr>
          <w:b w:val="0"/>
          <w:sz w:val="20"/>
        </w:rPr>
        <w:t>| 8 | 79% |</w:t>
      </w:r>
    </w:p>
    <w:p>
      <w:r>
        <w:rPr>
          <w:b w:val="0"/>
          <w:sz w:val="20"/>
        </w:rPr>
        <w:t>| 9 | 80% |</w:t>
      </w:r>
    </w:p>
    <w:p>
      <w:r>
        <w:rPr>
          <w:b w:val="0"/>
          <w:sz w:val="20"/>
        </w:rPr>
        <w:t>| 10 | 79.58% |</w:t>
      </w:r>
    </w:p>
    <w:p>
      <w:r>
        <w:rPr>
          <w:b w:val="0"/>
          <w:sz w:val="20"/>
        </w:rPr>
        <w:t>| 15 | 70%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5%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[End Customer]</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Pr>
        <w:spacing w:before="200"/>
      </w:pPr>
      <w:r>
        <w:rPr>
          <w:b/>
          <w:color w:val="1A365D"/>
          <w:sz w:val="21"/>
        </w:rPr>
        <w:t>21.3A Assignment for Security</w:t>
      </w:r>
    </w:p>
    <w:p>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r>
        <w:rPr>
          <w:b w:val="0"/>
          <w:sz w:val="20"/>
        </w:rPr>
        <w:t>(b) Upon enforcement of such security, the Service Provider shall recognise the lender as the Client, provided payment obligations are assumed.</w:t>
      </w:r>
    </w:p>
    <w:p/>
    <w:p>
      <w:pPr>
        <w:spacing w:before="200"/>
      </w:pPr>
      <w:r>
        <w:rPr>
          <w:b/>
          <w:color w:val="1A365D"/>
          <w:sz w:val="21"/>
        </w:rPr>
        <w:t>COMPANION DOCUMENTS</w:t>
      </w:r>
    </w:p>
    <w:p>
      <w:r>
        <w:rPr>
          <w:b w:val="0"/>
          <w:sz w:val="20"/>
        </w:rPr>
        <w:t>This LTSA is intended to be executed alongside and read in conjunction with:</w:t>
      </w:r>
    </w:p>
    <w:p>
      <w:pPr>
        <w:ind w:left="567"/>
      </w:pPr>
      <w:r>
        <w:rPr>
          <w:sz w:val="20"/>
        </w:rPr>
        <w:t>(a) EPC Agreement (LCY-EPC-GAL-B1-2026 v4.0) between the same Parties;</w:t>
      </w:r>
    </w:p>
    <w:p>
      <w:pPr>
        <w:ind w:left="567"/>
      </w:pPr>
      <w:r>
        <w:rPr>
          <w:sz w:val="20"/>
        </w:rPr>
        <w:t>(b) OEM Direct Warranty Undertaking (LCY-OEM-DWU-001 v1.0) from Linyang Energy.</w:t>
      </w:r>
    </w:p>
    <w:p>
      <w:r>
        <w:rPr>
          <w:b w:val="0"/>
          <w:sz w:val="20"/>
        </w:rPr>
        <w:t>The Parties intend to execute all three documents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