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1A365D"/>
          </w:tcPr>
          <w:p>
            <w:pPr>
              <w:spacing w:before="280" w:after="80"/>
              <w:jc w:val="center"/>
            </w:pPr>
            <w:r>
              <w:rPr>
                <w:b/>
                <w:color w:val="FFFFFF"/>
                <w:sz w:val="32"/>
              </w:rPr>
              <w:t>LIGHTHIEF CYPRUS LTD</w:t>
            </w:r>
          </w:p>
          <w:p>
            <w:pPr>
              <w:spacing w:after="40"/>
              <w:jc w:val="center"/>
            </w:pPr>
            <w:r>
              <w:rPr>
                <w:b/>
                <w:color w:val="C9A432"/>
                <w:sz w:val="26"/>
              </w:rPr>
              <w:t>12-Month Operating Plan — BESS O&amp;M and PV O&amp;M Growth</w:t>
            </w:r>
          </w:p>
          <w:p>
            <w:pPr>
              <w:spacing w:after="240"/>
              <w:jc w:val="center"/>
            </w:pPr>
            <w:r>
              <w:rPr>
                <w:color w:val="FFFFFF"/>
                <w:sz w:val="21"/>
              </w:rPr>
              <w:t>Marketing · Staffing · Payroll · Office &amp; Warehouse · Cashflow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</w:tcPr>
          <w:p>
            <w:r>
              <w:rPr>
                <w:b/>
                <w:color w:val="404040"/>
                <w:sz w:val="19"/>
              </w:rPr>
              <w:t>Document Reference:</w:t>
            </w:r>
          </w:p>
        </w:tc>
        <w:tc>
          <w:tcPr>
            <w:tcW w:type="dxa" w:w="6803"/>
          </w:tcPr>
          <w:p>
            <w:r>
              <w:rPr>
                <w:color w:val="000000"/>
                <w:sz w:val="19"/>
              </w:rPr>
              <w:t>LCY-PLAN-2026-002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404040"/>
                <w:sz w:val="19"/>
              </w:rPr>
              <w:t>Date Prepared:</w:t>
            </w:r>
          </w:p>
        </w:tc>
        <w:tc>
          <w:tcPr>
            <w:tcW w:type="dxa" w:w="6803"/>
          </w:tcPr>
          <w:p>
            <w:r>
              <w:rPr>
                <w:color w:val="000000"/>
                <w:sz w:val="19"/>
              </w:rPr>
              <w:t>11 August 2026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404040"/>
                <w:sz w:val="19"/>
              </w:rPr>
              <w:t>Plan Period:</w:t>
            </w:r>
          </w:p>
        </w:tc>
        <w:tc>
          <w:tcPr>
            <w:tcW w:type="dxa" w:w="6803"/>
          </w:tcPr>
          <w:p>
            <w:r>
              <w:rPr>
                <w:color w:val="000000"/>
                <w:sz w:val="19"/>
              </w:rPr>
              <w:t>1 September 2026 – 31 August 2027 (12 months)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404040"/>
                <w:sz w:val="19"/>
              </w:rPr>
              <w:t>Prepared For:</w:t>
            </w:r>
          </w:p>
        </w:tc>
        <w:tc>
          <w:tcPr>
            <w:tcW w:type="dxa" w:w="6803"/>
          </w:tcPr>
          <w:p>
            <w:r>
              <w:rPr>
                <w:color w:val="000000"/>
                <w:sz w:val="19"/>
              </w:rPr>
              <w:t>Dr. Arkadiusz Sybaris (Founder &amp; CEO / UBO) and Michael Shapiro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404040"/>
                <w:sz w:val="19"/>
              </w:rPr>
              <w:t>Prepared By:</w:t>
            </w:r>
          </w:p>
        </w:tc>
        <w:tc>
          <w:tcPr>
            <w:tcW w:type="dxa" w:w="6803"/>
          </w:tcPr>
          <w:p>
            <w:r>
              <w:rPr>
                <w:color w:val="000000"/>
                <w:sz w:val="19"/>
              </w:rPr>
              <w:t>Lighthief Cyprus Ltd — Alexander Papacosta, Cyprus Director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404040"/>
                <w:sz w:val="19"/>
              </w:rPr>
              <w:t>Classification:</w:t>
            </w:r>
          </w:p>
        </w:tc>
        <w:tc>
          <w:tcPr>
            <w:tcW w:type="dxa" w:w="6803"/>
          </w:tcPr>
          <w:p>
            <w:r>
              <w:rPr>
                <w:color w:val="000000"/>
                <w:sz w:val="19"/>
              </w:rPr>
              <w:t>INTERNAL — CONFIDENTIAL — Not for external distribution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404040"/>
                <w:sz w:val="19"/>
              </w:rPr>
              <w:t>Status:</w:t>
            </w:r>
          </w:p>
        </w:tc>
        <w:tc>
          <w:tcPr>
            <w:tcW w:type="dxa" w:w="6803"/>
          </w:tcPr>
          <w:p>
            <w:r>
              <w:rPr>
                <w:color w:val="000000"/>
                <w:sz w:val="19"/>
              </w:rPr>
              <w:t>DRAFT — for review and sign-off</w:t>
            </w:r>
          </w:p>
        </w:tc>
      </w:tr>
    </w:tbl>
    <w:p/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Executive Summary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This plan sets out how Lighthief Cyprus Ltd grows its two recurring-revenue service lines — BESS O&amp;M/LTSA and PV O&amp;M — over the 12 months from 1 September 2026 to 31 August 2027. BESS O&amp;M growth is anchored on the Esperia Energy (Dino Constantinou) / Galascope confirmed order and the conditional Timotheos Timotheou / Lampros Andreadis / Spanercom (Anarita) pipeline extension, plus the standalone Aeolian Dynamics client. PV O&amp;M growth targets commercial &amp; industrial (C&amp;I) sites of any size and residential systems of 20 kWp or larger only — small residential rooftop (&lt;20 kWp) is explicitly excluded from this plan's O&amp;M sales motion.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The plan is deliberately conservative on revenue timing: BESS O&amp;M/LTSA billing only starts once a park reaches PAC (Galascope 1+2 target 31 Jan 2027), so the first 5 months are pure ramp-up cost. The resulting cash requirement is designed to be funded from EPC margin already earned on the same batches — not from new external capital — consistent with the approach set out in the 2026 OPEX plan.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4252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984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551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67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Plan period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12 months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PV O&amp;M target segment</w:t>
            </w:r>
          </w:p>
        </w:tc>
        <w:tc>
          <w:tcPr>
            <w:tcW w:type="dxa" w:w="567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C&amp;I + resi ≥20kWp</w:t>
            </w:r>
          </w:p>
        </w:tc>
      </w:tr>
      <w:tr>
        <w:tc>
          <w:tcPr>
            <w:tcW w:type="dxa" w:w="4252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BESS O&amp;M base case MWh (confirmed)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30 MWh</w:t>
            </w:r>
          </w:p>
        </w:tc>
        <w:tc>
          <w:tcPr>
            <w:tcW w:type="dxa" w:w="2551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PV O&amp;M new contracts targeted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BESS O&amp;M upside MWh (+ conditional)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+90 MWh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Field/O&amp;M headcount added</w:t>
            </w:r>
          </w:p>
        </w:tc>
        <w:tc>
          <w:tcPr>
            <w:tcW w:type="dxa" w:w="567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+4</w:t>
            </w:r>
          </w:p>
        </w:tc>
      </w:tr>
      <w:tr>
        <w:tc>
          <w:tcPr>
            <w:tcW w:type="dxa" w:w="4252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Total 12-mo growth OPEX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≈€549,000</w:t>
            </w:r>
          </w:p>
        </w:tc>
        <w:tc>
          <w:tcPr>
            <w:tcW w:type="dxa" w:w="2551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Total 12-mo O&amp;M/PV-O&amp;M revenue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≈€114,000</w:t>
            </w:r>
          </w:p>
        </w:tc>
      </w:tr>
      <w:tr>
        <w:tc>
          <w:tcPr>
            <w:tcW w:type="dxa" w:w="425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Net cash requirement (12 mo)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≈€435,000</w:t>
            </w:r>
          </w:p>
        </w:tc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Covered by EPC margin available</w:t>
            </w:r>
          </w:p>
        </w:tc>
        <w:tc>
          <w:tcPr>
            <w:tcW w:type="dxa" w:w="567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up to €1.16M</w:t>
            </w:r>
          </w:p>
        </w:tc>
      </w:tr>
      <w:tr>
        <w:tc>
          <w:tcPr>
            <w:tcW w:type="dxa" w:w="4252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Marketing budget (12 mo)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≈€84,000</w:t>
            </w:r>
          </w:p>
        </w:tc>
        <w:tc>
          <w:tcPr>
            <w:tcW w:type="dxa" w:w="2551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Warehouse net cost (from Oct26)</w:t>
            </w:r>
          </w:p>
        </w:tc>
        <w:tc>
          <w:tcPr>
            <w:tcW w:type="dxa" w:w="56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€4,000/mo</w:t>
            </w:r>
          </w:p>
        </w:tc>
      </w:tr>
    </w:tbl>
    <w:p>
      <w:pPr>
        <w:spacing w:before="40" w:after="200"/>
      </w:pPr>
      <w:r>
        <w:rPr>
          <w:b w:val="0"/>
          <w:i w:val="0"/>
          <w:color w:val="404040"/>
          <w:sz w:val="18"/>
        </w:rPr>
        <w:t>Figures are modelled from lib/portfolio-data.ts (SSOT, Aug 2026), the 2026 OPEX plan, team-data.ts and the sales growth plan. BESS O&amp;M “upside” depends on Timotheos (50%), Lampros (50%) and Spanercom (85%) signing — see §2.</w:t>
      </w:r>
    </w:p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1. Scope &amp; Strategic Objectives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Four objectives for the 12-month period, agreed for sign-off by Dr. Sybaris and Mr. Shapiro:</w:t>
      </w:r>
    </w:p>
    <w:p>
      <w:pPr>
        <w:pStyle w:val="ListBullet"/>
        <w:spacing w:after="60"/>
        <w:ind w:left="283"/>
      </w:pPr>
      <w:r>
        <w:rPr>
          <w:b/>
          <w:color w:val="1A365D"/>
          <w:sz w:val="21"/>
        </w:rPr>
        <w:t xml:space="preserve">BESS O&amp;M/LTSA: </w:t>
      </w:r>
      <w:r>
        <w:rPr>
          <w:color w:val="000000"/>
          <w:sz w:val="21"/>
        </w:rPr>
        <w:t>stand up the field team and back-office ahead of Galascope 1+2 PAC (target 31 Jan 2027, 30 MWh), and be ready to absorb the Timotheos/Lampros/Spanercom extension (+90 MWh) if/when those EPCs sign.</w:t>
      </w:r>
    </w:p>
    <w:p>
      <w:pPr>
        <w:pStyle w:val="ListBullet"/>
        <w:spacing w:after="60"/>
        <w:ind w:left="283"/>
      </w:pPr>
      <w:r>
        <w:rPr>
          <w:b/>
          <w:color w:val="1A365D"/>
          <w:sz w:val="21"/>
        </w:rPr>
        <w:t xml:space="preserve">PV O&amp;M growth: </w:t>
      </w:r>
      <w:r>
        <w:rPr>
          <w:color w:val="000000"/>
          <w:sz w:val="21"/>
        </w:rPr>
        <w:t>grow beyond the existing Spanercom contract (€56,400/yr) by signing 3 new C&amp;I or residential ≥20kWp O&amp;M contracts in the 12 months, using the ECO/SILVER/GOLD package model.</w:t>
      </w:r>
    </w:p>
    <w:p>
      <w:pPr>
        <w:pStyle w:val="ListBullet"/>
        <w:spacing w:after="60"/>
        <w:ind w:left="283"/>
      </w:pPr>
      <w:r>
        <w:rPr>
          <w:b/>
          <w:color w:val="1A365D"/>
          <w:sz w:val="21"/>
        </w:rPr>
        <w:t xml:space="preserve">Marketing: </w:t>
      </w:r>
      <w:r>
        <w:rPr>
          <w:color w:val="000000"/>
          <w:sz w:val="21"/>
        </w:rPr>
        <w:t>fund enough spend to keep both pipelines full — BESS curtailment/retrofit leads for existing CERA licensees, and a new C&amp;I/large-residential PV O&amp;M campaign that explicitly excludes small residential rooftop.</w:t>
      </w:r>
    </w:p>
    <w:p>
      <w:pPr>
        <w:pStyle w:val="ListBullet"/>
        <w:spacing w:after="60"/>
        <w:ind w:left="283"/>
      </w:pPr>
      <w:r>
        <w:rPr>
          <w:b/>
          <w:color w:val="1A365D"/>
          <w:sz w:val="21"/>
        </w:rPr>
        <w:t xml:space="preserve">Staff, payroll &amp; premises: </w:t>
      </w:r>
      <w:r>
        <w:rPr>
          <w:color w:val="000000"/>
          <w:sz w:val="21"/>
        </w:rPr>
        <w:t>grow headcount from 5 to 9–10 in step with confirmed demand (not ahead of it), keep payroll on the existing SSOT cost model, and resolve the office/warehouse footprint question raised in the July 2026 rental due-diligence pack.</w:t>
      </w:r>
    </w:p>
    <w:p>
      <w:pPr>
        <w:spacing w:before="40" w:after="200"/>
      </w:pPr>
      <w:r>
        <w:rPr>
          <w:b w:val="0"/>
          <w:i w:val="0"/>
          <w:color w:val="404040"/>
          <w:sz w:val="18"/>
        </w:rPr>
        <w:t>This is an internal operating plan, not an investor document — it does not repeat CIF, margin-% or quotation-reference detail from client-facing proposals.</w:t>
      </w:r>
    </w:p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2. Market &amp; Pipeline Overview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2.1  BESS O&amp;M — Esperia/Galascope (Dino), Timotheos pipeline, standalone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2835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Client / Batch</w:t>
            </w:r>
          </w:p>
        </w:tc>
        <w:tc>
          <w:tcPr>
            <w:tcW w:type="dxa" w:w="850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Parks</w:t>
            </w:r>
          </w:p>
        </w:tc>
        <w:tc>
          <w:tcPr>
            <w:tcW w:type="dxa" w:w="850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MWh</w:t>
            </w:r>
          </w:p>
        </w:tc>
        <w:tc>
          <w:tcPr>
            <w:tcW w:type="dxa" w:w="1417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417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PAC Target</w:t>
            </w:r>
          </w:p>
        </w:tc>
        <w:tc>
          <w:tcPr>
            <w:tcW w:type="dxa" w:w="1701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O&amp;M Start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Galascope 1+2 (Esperia — Dino Constantinou)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30.0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Confirmed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31 Jan 2027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Feb 2027 — base case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Timotheos Timotheou (3 parks)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35.0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Pending — 50%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31 Jan 2027*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Feb 2027 if signed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Lampros Andreadis (2 parks)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15.0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Pending — 50%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31 Jan 2027*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Feb 2027 if signed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Spanercom — Anarita (2 parks)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40.0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High — 85%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31 Jan 2027*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Feb 2027 if signed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Aeolian Dynamics (standalone, Larnaca)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20.06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High — 80%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On EPC signing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Separate EPC + LTSA</w:t>
            </w:r>
          </w:p>
        </w:tc>
      </w:tr>
      <w:tr>
        <w:tc>
          <w:tcPr>
            <w:tcW w:type="dxa" w:w="2835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Esperia pipeline Batch 2 (2026–2027)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75.0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Pipeline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30 Jun 2027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Outside this plan's window</w:t>
            </w:r>
          </w:p>
        </w:tc>
      </w:tr>
    </w:tbl>
    <w:p>
      <w:pPr>
        <w:spacing w:before="40" w:after="200"/>
      </w:pPr>
      <w:r>
        <w:rPr>
          <w:b w:val="0"/>
          <w:i w:val="0"/>
          <w:color w:val="404040"/>
          <w:sz w:val="18"/>
        </w:rPr>
        <w:t>*Batch 1 Extension shares Batch 1's production/CIF/PAC schedule per portfolio-data.ts. Aeolian is a separate standalone client with its own EPC and LTSA — not part of the group order. Source: lib/portfolio-data.ts BATCHES / GROUPS / AEOLIAN (SSOT, dated 29 Jul–30 Jun 2026).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Base case for this plan uses Galascope only (30 MWh confirmed). The Timotheos/Lampros/Spanercom extension (+90 MWh) is treated as upside — if it signs on the same timeline, O&amp;M revenue from Feb 2027 roughly quadruples (see §7) and the case for the 5th–6th field engineer (§4.3) becomes immediate rather than conditional.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2.2  PV O&amp;M — target segment: C&amp;I + residential ≥20kWp only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Per direction from Dr. Sybaris and Mr. Shapiro, PV O&amp;M sales/marketing effort in this plan is restricted to commercial &amp; industrial sites (any size) and residential systems of 20 kWp or larger. Small residential rooftop (typically 3–10 kWp) is excluded — it is served by the separate Deye net-billing kit / 7SUN distribution motion, not by the O&amp;M division, because per-unit O&amp;M economics do not support it.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3118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1701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Est. Prospects</w:t>
            </w:r>
          </w:p>
        </w:tc>
        <w:tc>
          <w:tcPr>
            <w:tcW w:type="dxa" w:w="1984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Avg. Deal Size (O&amp;M/yr)</w:t>
            </w:r>
          </w:p>
        </w:tc>
        <w:tc>
          <w:tcPr>
            <w:tcW w:type="dxa" w:w="2268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Pain Point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C&amp;I &gt;100 kWp (factories, cold storage, hotels)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~300–500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€5,000–€25,000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DSO compliance + high electricity bills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C&amp;I 20–100 kWp (SMEs, farms)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~200–300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€1,500–€5,000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No in-house O&amp;M capability</w:t>
            </w:r>
          </w:p>
        </w:tc>
      </w:tr>
      <w:tr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Residential ≥20 kWp (large villas/estates)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~50–150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€1,000–€3,500</w:t>
            </w:r>
          </w:p>
        </w:tc>
        <w:tc>
          <w:tcPr>
            <w:tcW w:type="dxa" w:w="226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Net billing transition, warranty admin</w:t>
            </w:r>
          </w:p>
        </w:tc>
      </w:tr>
      <w:tr>
        <w:tc>
          <w:tcPr>
            <w:tcW w:type="dxa" w:w="311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Existing contract — Spanercom (Anarita, 2×5 MW)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1 (signed)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€56,400/yr</w:t>
            </w:r>
          </w:p>
        </w:tc>
        <w:tc>
          <w:tcPr>
            <w:tcW w:type="dxa" w:w="226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Baseline recurring revenue</w:t>
            </w:r>
          </w:p>
        </w:tc>
      </w:tr>
    </w:tbl>
    <w:p>
      <w:pPr>
        <w:spacing w:before="40" w:after="200"/>
      </w:pPr>
      <w:r>
        <w:rPr>
          <w:b w:val="0"/>
          <w:i w:val="0"/>
          <w:color w:val="404040"/>
          <w:sz w:val="18"/>
        </w:rPr>
        <w:t>Prospect counts and pain points from lighthief-cyprus-sales-growth-plan.md Tier 2 (Mar 2026), scoped down to the ≥20kWp threshold. Package pricing (ECO ~€4,200/MW, SILVER ~€9,500/MW, GOLD ~€11,300/MW) per pv-om/README.md.</w:t>
      </w:r>
    </w:p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3. Marketing Plan — 12 Months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Two parallel workstreams, both funded from the same budget line, phased to ramp with headcount (§4) so leads are not generated faster than the team can service them.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3.1  Workstream A — BESS retrofit / LTSA upsell (existing playbook)</w:t>
      </w:r>
    </w:p>
    <w:p>
      <w:pPr>
        <w:pStyle w:val="ListBullet"/>
        <w:spacing w:after="60"/>
        <w:ind w:left="283"/>
      </w:pPr>
      <w:r>
        <w:rPr>
          <w:color w:val="000000"/>
          <w:sz w:val="21"/>
        </w:rPr>
        <w:t>Audience: PV park owners already suffering curtailment (47% in 2025) and CERA BESS licensees (33 entities, 1,000+ MW, almost none deployed) — reuses Campaigns 1–3 from the existing Google Ads playbook.</w:t>
      </w:r>
    </w:p>
    <w:p>
      <w:pPr>
        <w:pStyle w:val="ListBullet"/>
        <w:spacing w:after="60"/>
        <w:ind w:left="283"/>
      </w:pPr>
      <w:r>
        <w:rPr>
          <w:color w:val="000000"/>
          <w:sz w:val="21"/>
        </w:rPr>
        <w:t>Channel mix: Google Search (brand + curtailment-recovery + BESS EPC), LinkedIn for CERA licensees/investors, monthly “Curtailment Recovery” seminar.</w:t>
      </w:r>
    </w:p>
    <w:p>
      <w:pPr>
        <w:pStyle w:val="ListBullet"/>
        <w:spacing w:after="60"/>
        <w:ind w:left="283"/>
      </w:pPr>
      <w:r>
        <w:rPr>
          <w:color w:val="000000"/>
          <w:sz w:val="21"/>
        </w:rPr>
        <w:t>Goal: keep the post-Galascope pipeline fed so the field team built for this plan has follow-on work beyond the confirmed 30 MWh base case.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3.2  Workstream B — C&amp;I + residential ≥20kWp PV O&amp;M (new)</w:t>
      </w:r>
    </w:p>
    <w:p>
      <w:pPr>
        <w:pStyle w:val="ListBullet"/>
        <w:spacing w:after="60"/>
        <w:ind w:left="283"/>
      </w:pPr>
      <w:r>
        <w:rPr>
          <w:color w:val="000000"/>
          <w:sz w:val="21"/>
        </w:rPr>
        <w:t>Audience: the ~500–800 C&amp;I sites and ~50–150 large-residential systems identified in §2.2. Negative-keyword list must retain the block on small residential ("home solar panels", "rooftop solar", "solar panel cost") to avoid diluting spend into the excluded segment.</w:t>
      </w:r>
    </w:p>
    <w:p>
      <w:pPr>
        <w:pStyle w:val="ListBullet"/>
        <w:spacing w:after="60"/>
        <w:ind w:left="283"/>
      </w:pPr>
      <w:r>
        <w:rPr>
          <w:color w:val="000000"/>
          <w:sz w:val="21"/>
        </w:rPr>
        <w:t>Channel mix: targeted Google Search (“DSO Category C compliance”, “PV O&amp;M Cyprus”, “commercial solar maintenance”), direct outreach to top 50 electricity consumers per district, energy-auditor referral partnerships (per sales-growth-plan §3.2).</w:t>
      </w:r>
    </w:p>
    <w:p>
      <w:pPr>
        <w:pStyle w:val="ListBullet"/>
        <w:spacing w:after="60"/>
        <w:ind w:left="283"/>
      </w:pPr>
      <w:r>
        <w:rPr>
          <w:color w:val="000000"/>
          <w:sz w:val="21"/>
        </w:rPr>
        <w:t>Entry offer: free energy audit / free O&amp;M cost review for any site &gt;20kWp, converting to an ECO/SILVER/GOLD or custom O&amp;M contract.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3.3  Budget phasing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984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Monthly Budget</w:t>
            </w:r>
          </w:p>
        </w:tc>
        <w:tc>
          <w:tcPr>
            <w:tcW w:type="dxa" w:w="1984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Workstream A (BESS)</w:t>
            </w:r>
          </w:p>
        </w:tc>
        <w:tc>
          <w:tcPr>
            <w:tcW w:type="dxa" w:w="2551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Workstream B (PV O&amp;M C&amp;I/≥20kWp)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Sep–Dec 2026 (Phase 1)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€5,000/mo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€3,000/mo</w:t>
            </w:r>
          </w:p>
        </w:tc>
        <w:tc>
          <w:tcPr>
            <w:tcW w:type="dxa" w:w="255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€2,000/mo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Jan–Aug 2027 (Phase 2)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€8,000/mo</w:t>
            </w:r>
          </w:p>
        </w:tc>
        <w:tc>
          <w:tcPr>
            <w:tcW w:type="dxa" w:w="198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€4,500/mo</w:t>
            </w:r>
          </w:p>
        </w:tc>
        <w:tc>
          <w:tcPr>
            <w:tcW w:type="dxa" w:w="255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€3,500/mo</w:t>
            </w:r>
          </w:p>
        </w:tc>
      </w:tr>
      <w:tr>
        <w:tc>
          <w:tcPr>
            <w:tcW w:type="dxa" w:w="2551"/>
            <w:shd w:val="clear" w:color="auto" w:fill="EBF0F7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12-month total</w:t>
            </w:r>
          </w:p>
        </w:tc>
        <w:tc>
          <w:tcPr>
            <w:tcW w:type="dxa" w:w="1984"/>
            <w:shd w:val="clear" w:color="auto" w:fill="EBF0F7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≈€84,000</w:t>
            </w:r>
          </w:p>
        </w:tc>
        <w:tc>
          <w:tcPr>
            <w:tcW w:type="dxa" w:w="1984"/>
            <w:shd w:val="clear" w:color="auto" w:fill="EBF0F7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≈€48,000</w:t>
            </w:r>
          </w:p>
        </w:tc>
        <w:tc>
          <w:tcPr>
            <w:tcW w:type="dxa" w:w="2551"/>
            <w:shd w:val="clear" w:color="auto" w:fill="EBF0F7"/>
          </w:tcPr>
          <w:p>
            <w:pPr>
              <w:spacing w:before="40" w:after="40"/>
              <w:jc w:val="center"/>
            </w:pPr>
            <w:r>
              <w:rPr>
                <w:b/>
                <w:color w:val="000000"/>
                <w:sz w:val="18"/>
              </w:rPr>
              <w:t>≈€36,000</w:t>
            </w:r>
          </w:p>
        </w:tc>
      </w:tr>
    </w:tbl>
    <w:p>
      <w:pPr>
        <w:spacing w:before="40" w:after="200"/>
      </w:pPr>
      <w:r>
        <w:rPr>
          <w:b w:val="0"/>
          <w:i w:val="0"/>
          <w:color w:val="404040"/>
          <w:sz w:val="18"/>
        </w:rPr>
        <w:t>Budget levels match the existing digital playbook (marketing/solinvest-marketing-strategy.html Phase 1 €4,650/mo → Phase 2 €8,100/mo, rounded), split roughly 60/40 between the two workstreams. Phase 2 begins in January 2027 once the O&amp;M back-office coordinator (§4.3) can process the extra lead volume.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3.4  12-month marketing KPIs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01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701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New qualified O&amp;M leads (both workstreams)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40+ over 12 mo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Lead Coordinator</w:t>
            </w:r>
          </w:p>
        </w:tc>
      </w:tr>
      <w:tr>
        <w:tc>
          <w:tcPr>
            <w:tcW w:type="dxa" w:w="3969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C&amp;I/≥20kWp O&amp;M proposals issued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12+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Sales Exec (new hire, §4.3)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C&amp;I/≥20kWp O&amp;M contracts signed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BDM + Sales Exec</w:t>
            </w:r>
          </w:p>
        </w:tc>
      </w:tr>
      <w:tr>
        <w:tc>
          <w:tcPr>
            <w:tcW w:type="dxa" w:w="3969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Curtailment-recovery seminars hosted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BDM + Director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CERA licensee database maintained / recontacted quarterly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33 entities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BDM</w:t>
            </w:r>
          </w:p>
        </w:tc>
      </w:tr>
    </w:tbl>
    <w:p>
      <w:r>
        <w:br w:type="page"/>
      </w:r>
    </w:p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4. Staffing Plan &amp; Organisational Growth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4.1  Current team (as at 1 September 2026)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551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3402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417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Monthly Gross</w:t>
            </w:r>
          </w:p>
        </w:tc>
        <w:tc>
          <w:tcPr>
            <w:tcW w:type="dxa" w:w="1134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Alexander Papacosta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Cyprus Director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€5,000*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Employee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Costas Hadjikyriacou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BESS Division Lead (ETEK licensed)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€3,000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Employee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Andreas Christoforou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Business Development &amp; Technical Sales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€1,000 + 18% commission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Employee</w:t>
            </w:r>
          </w:p>
        </w:tc>
      </w:tr>
      <w:tr>
        <w:tc>
          <w:tcPr>
            <w:tcW w:type="dxa" w:w="2551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Zinovia Efesopoulou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Sales Executive &amp; Lead Intake Coordinator</w:t>
            </w:r>
          </w:p>
        </w:tc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€1,400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Employee</w:t>
            </w:r>
          </w:p>
        </w:tc>
      </w:tr>
      <w:tr>
        <w:tc>
          <w:tcPr>
            <w:tcW w:type="dxa" w:w="2551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Cihat Ertugrul (“Jihat”)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Field Engineer — Civil Works &amp; O&amp;M</w:t>
            </w:r>
          </w:p>
        </w:tc>
        <w:tc>
          <w:tcPr>
            <w:tcW w:type="dxa" w:w="1417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€1,400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Employee</w:t>
            </w:r>
          </w:p>
        </w:tc>
      </w:tr>
    </w:tbl>
    <w:p>
      <w:pPr>
        <w:spacing w:before="40" w:after="200"/>
      </w:pPr>
      <w:r>
        <w:rPr>
          <w:b w:val="0"/>
          <w:i w:val="0"/>
          <w:color w:val="404040"/>
          <w:sz w:val="18"/>
        </w:rPr>
        <w:t>*Alexander Papacosta at €5,000 gross per Shapiro DD pack MD terms (uplift from €2,000 net on Galascope EPC signing). Source: team/team-data.ts (SSOT) and preliminary-financials-2025-2026.md §6. Christos Nicolaou (Back Office) is terminated and excluded. Team-data.ts shows Andreas at €1,000+18% commission; team/README.md shows €2,500 flat — reconcile with Timkas before finalising payroll (§5).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4.2  Growth hires — timeline (base case: Galascope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17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2835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Role Added</w:t>
            </w:r>
          </w:p>
        </w:tc>
        <w:tc>
          <w:tcPr>
            <w:tcW w:type="dxa" w:w="1701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Fully Loaded Cost</w:t>
            </w:r>
          </w:p>
        </w:tc>
        <w:tc>
          <w:tcPr>
            <w:tcW w:type="dxa" w:w="3118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1882"/>
          </w:tcPr>
          <w:p/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Oct 2026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2 × BESS Field Engineer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€4,500/mo each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Ahead of Galascope CIF (15 Sep 2026) — install/commissioning support</w:t>
            </w:r>
          </w:p>
        </w:tc>
        <w:tc>
          <w:tcPr>
            <w:tcW w:type="dxa" w:w="1882"/>
          </w:tcPr>
          <w:p/>
        </w:tc>
      </w:tr>
      <w:tr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Nov 2026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1 × PV O&amp;M Field Technician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€1,600/mo</w:t>
            </w:r>
          </w:p>
        </w:tc>
        <w:tc>
          <w:tcPr>
            <w:tcW w:type="dxa" w:w="311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C&amp;I/≥20kWp workstream (§3.2) begins generating site visits</w:t>
            </w:r>
          </w:p>
        </w:tc>
        <w:tc>
          <w:tcPr>
            <w:tcW w:type="dxa" w:w="1882"/>
          </w:tcPr>
          <w:p/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Jan 2027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1 × Sales Executive — C&amp;I/PV O&amp;M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€1,400/mo + commission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Phase 2 marketing (§3.3) needs dedicated proposal capacity</w:t>
            </w:r>
          </w:p>
        </w:tc>
        <w:tc>
          <w:tcPr>
            <w:tcW w:type="dxa" w:w="1882"/>
          </w:tcPr>
          <w:p/>
        </w:tc>
      </w:tr>
      <w:tr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Feb 2027</w:t>
            </w:r>
          </w:p>
        </w:tc>
        <w:tc>
          <w:tcPr>
            <w:tcW w:type="dxa" w:w="2835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1 × O&amp;M Back-Office / CMMS Coordinator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€2,000/mo</w:t>
            </w:r>
          </w:p>
        </w:tc>
        <w:tc>
          <w:tcPr>
            <w:tcW w:type="dxa" w:w="311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Ahead of Galascope PAC (31 Jan 2027) — work orders, client reporting</w:t>
            </w:r>
          </w:p>
        </w:tc>
        <w:tc>
          <w:tcPr>
            <w:tcW w:type="dxa" w:w="1882"/>
          </w:tcPr>
          <w:p/>
        </w:tc>
      </w:tr>
    </w:tbl>
    <w:p>
      <w:pPr>
        <w:spacing w:before="40" w:after="160"/>
      </w:pPr>
      <w:r>
        <w:rPr>
          <w:b w:val="0"/>
          <w:i w:val="0"/>
          <w:color w:val="404040"/>
          <w:sz w:val="19"/>
        </w:rPr>
        <w:t>Headcount grows from 5 (Sep 2026) to 9 (Feb 2027) — kept one step behind confirmed demand, not ahead of it, consistent with the opex-plan-2026.md “scale when triggered” principle.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4.3  Conditional hire — upside case only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If Timotheos Timotheou, Lampros Andreadis and/or Spanercom (Anarita) sign their EPCs on the Batch 1 Extension timeline (§2.1), a 5th field engineer (€4,500/mo fully loaded) should be added in March 2027 to keep the 2-engineer-per-HV-visit safety rule (per opex-plan-2026.md §2.4) intact at the higher MWh count. This hire is NOT included in the base-case payroll or cashflow in §5–§7; it is a trigger-based decision for Dr. Sybaris and Mr. Shapiro once any of those three EPCs is signed.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4.4  Steady-state O&amp;M staffing benchmark (for context beyond this plan)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For reference, the SSOT full-portfolio O&amp;M staffing model (OM_OPEX, 486.5 MWh) assumes 6 field engineers + 1 driver/logistics + 1 back-office + 0.5 FTE O&amp;M manager, total personnel cost €401,400/yr. This plan's 9-person team at the end of the 12-month period (§4.2) is appropriately sized for the 30–120 MWh in this plan's window — not the full 486.5 MWh group-order portfolio, which is a multi-year build-out.</w:t>
      </w:r>
    </w:p>
    <w:p>
      <w:r>
        <w:br w:type="page"/>
      </w:r>
    </w:p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5. Payroll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Employer cost = gross salary × 1.154 (Cyprus 2026 statutory burden: 12.5% social insurance/funds + 2.9% GeSY = 15.4% total employer burden, per CYPRUS_TAX in lib/portfolio-data.ts). Commission (Andreas, and any new Sales Executive) is excluded from the base payroll run-rate below and paid on collection per the Unified Sales Commission Structure (LCY-COM-001).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17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134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Headcount</w:t>
            </w:r>
          </w:p>
        </w:tc>
        <w:tc>
          <w:tcPr>
            <w:tcW w:type="dxa" w:w="3118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New This Month</w:t>
            </w:r>
          </w:p>
        </w:tc>
        <w:tc>
          <w:tcPr>
            <w:tcW w:type="dxa" w:w="1701"/>
            <w:shd w:val="clear" w:color="auto" w:fill="1A365D"/>
          </w:tcPr>
          <w:p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Base Payroll (gross)</w:t>
            </w:r>
          </w:p>
        </w:tc>
        <w:tc>
          <w:tcPr>
            <w:tcW w:type="dxa" w:w="1701"/>
            <w:shd w:val="clear" w:color="auto" w:fill="1A365D"/>
          </w:tcPr>
          <w:p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Employer Cost (+15.4%)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Sep 2026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— (baseline)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€11,800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€13,619</w:t>
            </w:r>
          </w:p>
        </w:tc>
      </w:tr>
      <w:tr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Oct 2026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311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+2 BESS Field Engineers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€20,800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€24,003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Nov 2026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+1 PV O&amp;M Field Technician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€22,400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€25,850</w:t>
            </w:r>
          </w:p>
        </w:tc>
      </w:tr>
      <w:tr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Dec 2026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311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€22,400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€25,850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Jan 2027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+1 Sales Executive (C&amp;I/PV O&amp;M)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€23,800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€27,466</w:t>
            </w:r>
          </w:p>
        </w:tc>
      </w:tr>
      <w:tr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Feb 2027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11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+1 O&amp;M Back-Office Coordinator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€25,800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€29,774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Mar–Aug 2027 (each month)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€25,800</w:t>
            </w:r>
          </w:p>
        </w:tc>
        <w:tc>
          <w:tcPr>
            <w:tcW w:type="dxa" w:w="170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€29,774</w:t>
            </w:r>
          </w:p>
        </w:tc>
      </w:tr>
    </w:tbl>
    <w:p>
      <w:pPr>
        <w:spacing w:before="40" w:after="200"/>
      </w:pPr>
      <w:r>
        <w:rPr>
          <w:b w:val="0"/>
          <w:i w:val="0"/>
          <w:color w:val="404040"/>
          <w:sz w:val="18"/>
        </w:rPr>
        <w:t>Base payroll gross for Sep 2026 = €11,800 excl. Andreas commission (Alex €5,000 + Costas €3,000 + Andreas €1,000 + Zinovia €1,400 + Jihat €1,400). Field engineer cost of €4,500/mo fully loaded already includes accommodation share and statutory burden per opex-plan-2026.md §2.2 — shown gross-equivalent above for table consistency.</w:t>
      </w:r>
    </w:p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6. Office &amp; Warehouse (Premises)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6.1  Current office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28 October Ave 249, Lophitis Business Center 1, Office 201, 3035 Limassol. Current run-rate €1,500/month (per financial/ebitda-forecast-2026.md SG&amp;A allocation, €27K over 18 months). Note: preliminary-financials §3.4 records a separate director-funded claim of €7,000/month since March 2025 for “office rent” — this discrepancy should be reconciled with Timkas before the office budget line below is finalised.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6.2  Decision point — new/expanded premises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 xml:space="preserve">A commercial rental due-diligence pack was prepared 17 July 2026 for a new/larger premises search (lighthief-cyprus/rental-due-diligence-response.md). The current office was sized for a 5–person team; this plan grows headcount to 9–10 by February 2027 (§4.2), which the current office cannot comfortably absorb alongside client meetings and O&amp;M back-office work. </w:t>
      </w:r>
    </w:p>
    <w:p>
      <w:pPr>
        <w:pStyle w:val="ListBullet"/>
        <w:spacing w:after="60"/>
        <w:ind w:left="283"/>
      </w:pPr>
      <w:r>
        <w:rPr>
          <w:b/>
          <w:color w:val="1A365D"/>
          <w:sz w:val="21"/>
        </w:rPr>
        <w:t xml:space="preserve">Recommendation: </w:t>
      </w:r>
      <w:r>
        <w:rPr>
          <w:color w:val="000000"/>
          <w:sz w:val="21"/>
        </w:rPr>
        <w:t>decide by end of Q4 2026 (Nov–Dec) whether to renew/extend the current office or move.</w:t>
      </w:r>
    </w:p>
    <w:p>
      <w:pPr>
        <w:pStyle w:val="ListBullet"/>
        <w:spacing w:after="60"/>
        <w:ind w:left="283"/>
      </w:pPr>
      <w:r>
        <w:rPr>
          <w:b/>
          <w:color w:val="1A365D"/>
          <w:sz w:val="21"/>
        </w:rPr>
        <w:t xml:space="preserve">Budget range if upsized: </w:t>
      </w:r>
      <w:r>
        <w:rPr>
          <w:color w:val="000000"/>
          <w:sz w:val="21"/>
        </w:rPr>
        <w:t>€2,500–€3,500/month, effective January 2027, to align with the O&amp;M back-office coordinator start date.</w:t>
      </w:r>
    </w:p>
    <w:p>
      <w:pPr>
        <w:pStyle w:val="ListBullet"/>
        <w:spacing w:after="60"/>
        <w:ind w:left="283"/>
      </w:pPr>
      <w:r>
        <w:rPr>
          <w:b/>
          <w:color w:val="1A365D"/>
          <w:sz w:val="21"/>
        </w:rPr>
        <w:t xml:space="preserve">Guarantee options already scoped: </w:t>
      </w:r>
      <w:r>
        <w:rPr>
          <w:color w:val="000000"/>
          <w:sz w:val="21"/>
        </w:rPr>
        <w:t>Lighthief International Ltd comfort letter/guarantee, or director personal guarantee — both discussed in the July 2026 DD pack given the company's 1 July 2025 incorporation date.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6.3  Warehouse (Ypsonas)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€8,000/month gross, 50% co-funded by 7SUN → €4,000/month net Lighthief cost, plus a one-off €24,000 (2 deposits + 1 month advance) on signing. Activated from October 2026 to align with Galascope CIF (15 Sep 2026) and the 2 new field engineers' tooling/logistics needs. If the €24,000 deposit was already paid under the original March 2026 warehouse proposal, remove it from the October one-off costs in §7.</w:t>
      </w:r>
    </w:p>
    <w:p>
      <w:r>
        <w:br w:type="page"/>
      </w:r>
    </w:p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7. 12-Month Cashflow (Base Case — Galascope Only)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Base case assumes only the confirmed Galascope 1+2 batch (30 MWh) reaches PAC in the plan window. The Timotheos/Lampros/Spanercom extension is shown as an upside overlay in §7.3 — it is not included in the totals below.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304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Month</w:t>
            </w:r>
          </w:p>
        </w:tc>
        <w:tc>
          <w:tcPr>
            <w:tcW w:type="dxa" w:w="1531"/>
            <w:shd w:val="clear" w:color="auto" w:fill="1A365D"/>
          </w:tcPr>
          <w:p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OPEX</w:t>
            </w:r>
          </w:p>
        </w:tc>
        <w:tc>
          <w:tcPr>
            <w:tcW w:type="dxa" w:w="1531"/>
            <w:shd w:val="clear" w:color="auto" w:fill="1A365D"/>
          </w:tcPr>
          <w:p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PV O&amp;M Rev.</w:t>
            </w:r>
          </w:p>
        </w:tc>
        <w:tc>
          <w:tcPr>
            <w:tcW w:type="dxa" w:w="1531"/>
            <w:shd w:val="clear" w:color="auto" w:fill="1A365D"/>
          </w:tcPr>
          <w:p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BESS O&amp;M Rev.</w:t>
            </w:r>
          </w:p>
        </w:tc>
        <w:tc>
          <w:tcPr>
            <w:tcW w:type="dxa" w:w="1587"/>
            <w:shd w:val="clear" w:color="auto" w:fill="1A365D"/>
          </w:tcPr>
          <w:p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Net Cashflow</w:t>
            </w:r>
          </w:p>
        </w:tc>
        <w:tc>
          <w:tcPr>
            <w:tcW w:type="dxa" w:w="1587"/>
            <w:shd w:val="clear" w:color="auto" w:fill="1A365D"/>
          </w:tcPr>
          <w:p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Cumulative</w:t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Sep 2026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€20,600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€4,700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−€15,900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−€15,900</w:t>
            </w:r>
          </w:p>
        </w:tc>
      </w:tr>
      <w:tr>
        <w:tc>
          <w:tcPr>
            <w:tcW w:type="dxa" w:w="1304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Oct 2026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€77,070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€4,700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−€72,370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−€88,270</w:t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Nov 2026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€38,920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€5,950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−€32,970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−€121,240</w:t>
            </w:r>
          </w:p>
        </w:tc>
      </w:tr>
      <w:tr>
        <w:tc>
          <w:tcPr>
            <w:tcW w:type="dxa" w:w="1304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Dec 2026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€38,920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€5,950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−€32,970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−€154,210</w:t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Jan 2027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€43,520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€5,950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−€37,570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−€191,780</w:t>
            </w:r>
          </w:p>
        </w:tc>
      </w:tr>
      <w:tr>
        <w:tc>
          <w:tcPr>
            <w:tcW w:type="dxa" w:w="1304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Feb 2027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€47,120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€7,200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€4,350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−€35,570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−€227,350</w:t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Mar 2027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€47,120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€7,200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€4,350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−€35,570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−€262,920</w:t>
            </w:r>
          </w:p>
        </w:tc>
      </w:tr>
      <w:tr>
        <w:tc>
          <w:tcPr>
            <w:tcW w:type="dxa" w:w="1304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Apr 2027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€47,120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€8,450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€4,350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−€34,320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−€297,240</w:t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May 2027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€47,120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€8,450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€4,350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−€34,320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−€331,560</w:t>
            </w:r>
          </w:p>
        </w:tc>
      </w:tr>
      <w:tr>
        <w:tc>
          <w:tcPr>
            <w:tcW w:type="dxa" w:w="1304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Jun 2027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€47,120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€8,450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€4,350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−€34,320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−€365,880</w:t>
            </w:r>
          </w:p>
        </w:tc>
      </w:tr>
      <w:tr>
        <w:tc>
          <w:tcPr>
            <w:tcW w:type="dxa" w:w="1304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Jul 2027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€47,120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€8,450</w:t>
            </w:r>
          </w:p>
        </w:tc>
        <w:tc>
          <w:tcPr>
            <w:tcW w:type="dxa" w:w="1531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€4,350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−€34,320</w:t>
            </w:r>
          </w:p>
        </w:tc>
        <w:tc>
          <w:tcPr>
            <w:tcW w:type="dxa" w:w="1587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−€400,200</w:t>
            </w:r>
          </w:p>
        </w:tc>
      </w:tr>
      <w:tr>
        <w:tc>
          <w:tcPr>
            <w:tcW w:type="dxa" w:w="1304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Aug 2027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€47,120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€8,450</w:t>
            </w:r>
          </w:p>
        </w:tc>
        <w:tc>
          <w:tcPr>
            <w:tcW w:type="dxa" w:w="1531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€4,350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−€34,320</w:t>
            </w:r>
          </w:p>
        </w:tc>
        <w:tc>
          <w:tcPr>
            <w:tcW w:type="dxa" w:w="1587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 w:val="0"/>
                <w:color w:val="000000"/>
                <w:sz w:val="18"/>
              </w:rPr>
              <w:t>−€434,520</w:t>
            </w:r>
          </w:p>
        </w:tc>
      </w:tr>
      <w:tr>
        <w:tc>
          <w:tcPr>
            <w:tcW w:type="dxa" w:w="1304"/>
            <w:shd w:val="clear" w:color="auto" w:fill="EBF0F7"/>
          </w:tcPr>
          <w:p>
            <w:pPr>
              <w:spacing w:before="40" w:after="40"/>
              <w:jc w:val="left"/>
            </w:pPr>
            <w:r>
              <w:rPr>
                <w:b/>
                <w:color w:val="000000"/>
                <w:sz w:val="18"/>
              </w:rPr>
              <w:t>12-Month Total</w:t>
            </w:r>
          </w:p>
        </w:tc>
        <w:tc>
          <w:tcPr>
            <w:tcW w:type="dxa" w:w="1531"/>
            <w:shd w:val="clear" w:color="auto" w:fill="EBF0F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€548,870</w:t>
            </w:r>
          </w:p>
        </w:tc>
        <w:tc>
          <w:tcPr>
            <w:tcW w:type="dxa" w:w="1531"/>
            <w:shd w:val="clear" w:color="auto" w:fill="EBF0F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€83,900</w:t>
            </w:r>
          </w:p>
        </w:tc>
        <w:tc>
          <w:tcPr>
            <w:tcW w:type="dxa" w:w="1531"/>
            <w:shd w:val="clear" w:color="auto" w:fill="EBF0F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€30,450</w:t>
            </w:r>
          </w:p>
        </w:tc>
        <w:tc>
          <w:tcPr>
            <w:tcW w:type="dxa" w:w="1587"/>
            <w:shd w:val="clear" w:color="auto" w:fill="EBF0F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−€434,520</w:t>
            </w:r>
          </w:p>
        </w:tc>
        <w:tc>
          <w:tcPr>
            <w:tcW w:type="dxa" w:w="1587"/>
            <w:shd w:val="clear" w:color="auto" w:fill="EBF0F7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−€434,520</w:t>
            </w:r>
          </w:p>
        </w:tc>
      </w:tr>
    </w:tbl>
    <w:p>
      <w:pPr>
        <w:spacing w:before="40" w:after="200"/>
      </w:pPr>
      <w:r>
        <w:rPr>
          <w:b w:val="0"/>
          <w:i w:val="0"/>
          <w:color w:val="404040"/>
          <w:sz w:val="18"/>
        </w:rPr>
        <w:t>OPEX = payroll (employer cost, §5) + marketing (§3.3) + office (§6.1) + warehouse (§6.3) + fleet (2 vans from Oct26, €1,235/mo each) + one-off tools/training/warehouse-deposit (€40,000 in Oct26) + SCADA/IT/insurance/consumables (scaled down from OM_OPEX operations bucket). PV O&amp;M revenue = existing Spanercom (€4,700/mo) + 3 new contracts phased in Nov26/Jan27/Apr27 at ≈€15,000/yr each (§2.2). BESS O&amp;M revenue = 30 MWh × €1,740/MWh/yr (LTSA Tier C) from Feb 2027 (post-PAC).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7.1  Funding requirement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The base case shows a 12-month net cash requirement of approximately −€434,520. This is expected and is the standard shape of an O&amp;M ramp-up: the field team, warehouse and marketing spend all start before the first park reaches PAC.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5669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Available EPC margin to cover this plan</w:t>
            </w:r>
          </w:p>
        </w:tc>
        <w:tc>
          <w:tcPr>
            <w:tcW w:type="dxa" w:w="3402"/>
            <w:shd w:val="clear" w:color="auto" w:fill="1A365D"/>
          </w:tcPr>
          <w:p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Galascope 1+2 EPC margin (confirmed)</w:t>
            </w:r>
          </w:p>
        </w:tc>
        <w:tc>
          <w:tcPr>
            <w:tcW w:type="dxa" w:w="3402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€230,722</w:t>
            </w:r>
          </w:p>
        </w:tc>
      </w:tr>
      <w:tr>
        <w:tc>
          <w:tcPr>
            <w:tcW w:type="dxa" w:w="5669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Timotheos + Lampros + Spanercom EPC margin (if all sign)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€927,583</w:t>
            </w:r>
          </w:p>
        </w:tc>
      </w:tr>
      <w:tr>
        <w:tc>
          <w:tcPr>
            <w:tcW w:type="dxa" w:w="5669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Total available EPC margin cover</w:t>
            </w:r>
          </w:p>
        </w:tc>
        <w:tc>
          <w:tcPr>
            <w:tcW w:type="dxa" w:w="3402"/>
          </w:tcPr>
          <w:p>
            <w:pPr>
              <w:spacing w:before="40" w:after="40"/>
              <w:jc w:val="right"/>
            </w:pPr>
            <w:r>
              <w:rPr>
                <w:b/>
                <w:color w:val="000000"/>
                <w:sz w:val="18"/>
              </w:rPr>
              <w:t>up to €1,158,305</w:t>
            </w:r>
          </w:p>
        </w:tc>
      </w:tr>
    </w:tbl>
    <w:p>
      <w:pPr>
        <w:spacing w:before="40" w:after="200"/>
      </w:pPr>
      <w:r>
        <w:rPr>
          <w:b w:val="0"/>
          <w:i w:val="0"/>
          <w:color w:val="404040"/>
          <w:sz w:val="18"/>
        </w:rPr>
        <w:t>Source: lib/portfolio-data.ts BATCHES[0].margin and BATCHES[1].margin. Even the base-case funding requirement (≈€435K) is fully covered by the Galascope EPC margin alone once combined with normal trading cashflow — this plan does not require new equity beyond what Dr. Sybaris and Mr. Shapiro have already committed to the group.</w:t>
      </w:r>
    </w:p>
    <w:p>
      <w:pPr>
        <w:spacing w:before="200" w:after="80"/>
        <w:pBdr>
          <w:bottom w:val="single" w:sz="4" w:space="1" w:color="1A365D"/>
        </w:pBdr>
      </w:pPr>
      <w:r>
        <w:rPr>
          <w:b/>
          <w:color w:val="C9A432"/>
          <w:sz w:val="24"/>
        </w:rPr>
        <w:t>7.2  Sensitivity — upside case (Extension signs on schedule)</w:t>
      </w:r>
    </w:p>
    <w:p>
      <w:pPr>
        <w:spacing w:before="0" w:after="120"/>
      </w:pPr>
      <w:r>
        <w:rPr>
          <w:b w:val="0"/>
          <w:i w:val="0"/>
          <w:color w:val="000000"/>
          <w:sz w:val="21"/>
        </w:rPr>
        <w:t>If Timotheos, Lampros and Spanercom all sign and reach PAC on the same 31 Jan 2027 date, BESS O&amp;M revenue from Feb 2027 rises from €4,350/mo to €17,400/mo (120 MWh total × €1,740/MWh/yr ÷ 12), adding ≈€78,300 of extra revenue across Feb–Aug 2027 (7 months) — before accounting for the additional field engineer in §4.3 (€5,196/mo employer cost from March 2027, ≈€31,200 over 6 months). Net effect: the upside case improves the 12-month net position by roughly €47,000 versus the base case, while also being the trigger that converts €927,583 of Extension EPC margin into contracted revenue.</w:t>
      </w:r>
    </w:p>
    <w:p>
      <w:r>
        <w:br w:type="page"/>
      </w:r>
    </w:p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8. Key Assumptions &amp; Risks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969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Risk / Assumption</w:t>
            </w:r>
          </w:p>
        </w:tc>
        <w:tc>
          <w:tcPr>
            <w:tcW w:type="dxa" w:w="1701"/>
            <w:shd w:val="clear" w:color="auto" w:fill="1A365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3402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Galascope PAC slips beyond 31 Jan 2027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Field team already deployed for commissioning support — no idle cost; O&amp;M revenue start date shifts, not team size.</w:t>
            </w:r>
          </w:p>
        </w:tc>
      </w:tr>
      <w:tr>
        <w:tc>
          <w:tcPr>
            <w:tcW w:type="dxa" w:w="3969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Timotheos/Lampros/Spanercom do not sign in this window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Base case already excludes them — no plan disruption. 5th field engineer (§4.3) stays unhired.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C&amp;I/≥20kWp PV O&amp;M pipeline slower than 3 contracts/yr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Sales Executive hire (Jan27) timed after first market signal (Nov–Dec26 leads), not before.</w:t>
            </w:r>
          </w:p>
        </w:tc>
      </w:tr>
      <w:tr>
        <w:tc>
          <w:tcPr>
            <w:tcW w:type="dxa" w:w="3969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Office rent discrepancy (€1,500 vs €7,000/mo claim) unresolved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High — needs action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Reconcile with Timkas/accountant before Q4 2026 premises decision (§6.2).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Andreas Christoforou pay rate discrepancy (team-data.ts vs README)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Confirm actual contracted rate before finalising §5 payroll run-rate.</w:t>
            </w:r>
          </w:p>
        </w:tc>
      </w:tr>
      <w:tr>
        <w:tc>
          <w:tcPr>
            <w:tcW w:type="dxa" w:w="3969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Warehouse €24,000 deposit may already be paid (Mar 2026 proposal)</w:t>
            </w:r>
          </w:p>
        </w:tc>
        <w:tc>
          <w:tcPr>
            <w:tcW w:type="dxa" w:w="1701"/>
            <w:shd w:val="clear" w:color="auto" w:fill="F5F7FA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Medium</w:t>
            </w:r>
          </w:p>
        </w:tc>
        <w:tc>
          <w:tcPr>
            <w:tcW w:type="dxa" w:w="3402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Confirm with accountant; if paid, remove from Oct26 one-off cost in §7.</w:t>
            </w:r>
          </w:p>
        </w:tc>
      </w:tr>
      <w:tr>
        <w:tc>
          <w:tcPr>
            <w:tcW w:type="dxa" w:w="3969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Marketing spend generates leads faster than 9-person team can service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>
              <w:rPr>
                <w:b w:val="0"/>
                <w:color w:val="000000"/>
                <w:sz w:val="18"/>
              </w:rPr>
              <w:t>Low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Phase 2 budget increase (§3.3) deliberately timed after back-office coordinator hire (Feb27).</w:t>
            </w:r>
          </w:p>
        </w:tc>
      </w:tr>
    </w:tbl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9. Quarterly Milestones &amp; Decision Calendar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17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Quarter</w:t>
            </w:r>
          </w:p>
        </w:tc>
        <w:tc>
          <w:tcPr>
            <w:tcW w:type="dxa" w:w="4535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Milestones</w:t>
            </w:r>
          </w:p>
        </w:tc>
        <w:tc>
          <w:tcPr>
            <w:tcW w:type="dxa" w:w="3118"/>
            <w:shd w:val="clear" w:color="auto" w:fill="1A365D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8"/>
              </w:rPr>
              <w:t>Decision Needed From Sybaris/Shapiro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Q1 (Sep–Nov 2026)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Galascope CIF (15 Sep); 2 field engineers + warehouse activated; PV O&amp;M field technician hired; Phase 1 marketing live.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Confirm office renewal vs. new premises search timeline.</w:t>
            </w:r>
          </w:p>
        </w:tc>
      </w:tr>
      <w:tr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Q2 (Dec 2026–Feb 2027)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Galascope PAC target (31 Jan); Sales Exec + O&amp;M Back-Office Coordinator hired; Phase 2 marketing begins; BESS O&amp;M billing starts.</w:t>
            </w:r>
          </w:p>
        </w:tc>
        <w:tc>
          <w:tcPr>
            <w:tcW w:type="dxa" w:w="311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Go/no-go on office upsize (§6.2); review Timotheos/Lampros/Spanercom signing status — trigger 5th engineer if any sign.</w:t>
            </w:r>
          </w:p>
        </w:tc>
      </w:tr>
      <w:tr>
        <w:tc>
          <w:tcPr>
            <w:tcW w:type="dxa" w:w="1417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Q3 (Mar–May 2027)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First 2 of 3 new PV O&amp;M contracts targeted signed; 90-day review of C&amp;I/≥20kWp campaign conversion rate.</w:t>
            </w:r>
          </w:p>
        </w:tc>
        <w:tc>
          <w:tcPr>
            <w:tcW w:type="dxa" w:w="3118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Approve/adjust marketing budget split (§3.3) based on actual lead quality.</w:t>
            </w:r>
          </w:p>
        </w:tc>
      </w:tr>
      <w:tr>
        <w:tc>
          <w:tcPr>
            <w:tcW w:type="dxa" w:w="1417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Q4 (Jun–Aug 2027)</w:t>
            </w:r>
          </w:p>
        </w:tc>
        <w:tc>
          <w:tcPr>
            <w:tcW w:type="dxa" w:w="4535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3rd PV O&amp;M contract signed; full-year review vs. plan; scoping for Year 2 (steady-state OM_OPEX model, §4.4).</w:t>
            </w:r>
          </w:p>
        </w:tc>
        <w:tc>
          <w:tcPr>
            <w:tcW w:type="dxa" w:w="3118"/>
            <w:shd w:val="clear" w:color="auto" w:fill="F5F7FA"/>
          </w:tcPr>
          <w:p>
            <w:pPr>
              <w:spacing w:before="40" w:after="40"/>
              <w:jc w:val="left"/>
            </w:pPr>
            <w:r>
              <w:rPr>
                <w:b w:val="0"/>
                <w:color w:val="000000"/>
                <w:sz w:val="18"/>
              </w:rPr>
              <w:t>Sign off Year 2 plan; decide on scaling beyond 10-person team.</w:t>
            </w:r>
          </w:p>
        </w:tc>
      </w:tr>
    </w:tbl>
    <w:p>
      <w:r>
        <w:br w:type="page"/>
      </w:r>
    </w:p>
    <w:p>
      <w:pPr>
        <w:spacing w:before="320" w:after="80"/>
        <w:pBdr>
          <w:bottom w:val="single" w:sz="4" w:space="1" w:color="C9A432"/>
        </w:pBdr>
      </w:pPr>
      <w:r>
        <w:rPr>
          <w:b/>
          <w:color w:val="C9A432"/>
          <w:sz w:val="30"/>
        </w:rPr>
        <w:t>Approval</w:t>
      </w:r>
    </w:p>
    <w:p>
      <w:pPr>
        <w:spacing w:before="0" w:after="320"/>
      </w:pPr>
      <w:r>
        <w:rPr>
          <w:b w:val="0"/>
          <w:i w:val="0"/>
          <w:color w:val="000000"/>
          <w:sz w:val="21"/>
        </w:rPr>
        <w:t>This plan is submitted for review and sign-off by: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535"/>
          </w:tcPr>
          <w:p>
            <w:pPr>
              <w:spacing w:after="640"/>
            </w:pPr>
            <w:r>
              <w:rPr>
                <w:b/>
                <w:color w:val="000000"/>
                <w:sz w:val="21"/>
              </w:rPr>
              <w:t>Dr. Arkadiusz Sybaris</w:t>
            </w:r>
          </w:p>
          <w:p>
            <w:pPr>
              <w:spacing w:after="80"/>
            </w:pPr>
            <w:r>
              <w:rPr>
                <w:b w:val="0"/>
                <w:color w:val="000000"/>
                <w:sz w:val="21"/>
              </w:rPr>
              <w:t>Signature: ___________________________</w:t>
            </w:r>
          </w:p>
          <w:p>
            <w:pPr>
              <w:spacing w:after="80"/>
            </w:pPr>
            <w:r>
              <w:rPr>
                <w:b w:val="0"/>
                <w:color w:val="000000"/>
                <w:sz w:val="21"/>
              </w:rPr>
              <w:t>Name: Dr. Arkadiusz Sybaris</w:t>
            </w:r>
          </w:p>
          <w:p>
            <w:pPr>
              <w:spacing w:after="80"/>
            </w:pPr>
            <w:r>
              <w:rPr>
                <w:b w:val="0"/>
                <w:color w:val="000000"/>
                <w:sz w:val="21"/>
              </w:rPr>
              <w:t>Title: Founder &amp; CEO / Ultimate Beneficial Owner, Lighthief Group</w:t>
            </w:r>
          </w:p>
          <w:p>
            <w:pPr>
              <w:spacing w:after="80"/>
            </w:pPr>
            <w:r>
              <w:rPr>
                <w:b w:val="0"/>
                <w:color w:val="000000"/>
                <w:sz w:val="21"/>
              </w:rPr>
              <w:t>Date: ___________________________</w:t>
            </w:r>
          </w:p>
        </w:tc>
        <w:tc>
          <w:tcPr>
            <w:tcW w:type="dxa" w:w="4535"/>
          </w:tcPr>
          <w:p>
            <w:pPr>
              <w:spacing w:after="640"/>
            </w:pPr>
            <w:r>
              <w:rPr>
                <w:b/>
                <w:color w:val="000000"/>
                <w:sz w:val="21"/>
              </w:rPr>
              <w:t>Michael Shapiro</w:t>
            </w:r>
          </w:p>
          <w:p>
            <w:pPr>
              <w:spacing w:after="80"/>
            </w:pPr>
            <w:r>
              <w:rPr>
                <w:b w:val="0"/>
                <w:color w:val="000000"/>
                <w:sz w:val="21"/>
              </w:rPr>
              <w:t>Signature: ___________________________</w:t>
            </w:r>
          </w:p>
          <w:p>
            <w:pPr>
              <w:spacing w:after="80"/>
            </w:pPr>
            <w:r>
              <w:rPr>
                <w:b w:val="0"/>
                <w:color w:val="000000"/>
                <w:sz w:val="21"/>
              </w:rPr>
              <w:t>Name: Michael Shapiro</w:t>
            </w:r>
          </w:p>
          <w:p>
            <w:pPr>
              <w:spacing w:after="80"/>
            </w:pPr>
            <w:r>
              <w:rPr>
                <w:b w:val="0"/>
                <w:color w:val="000000"/>
                <w:sz w:val="21"/>
              </w:rPr>
              <w:t>Title: Reviewing Principal</w:t>
            </w:r>
          </w:p>
          <w:p>
            <w:pPr>
              <w:spacing w:after="80"/>
            </w:pPr>
            <w:r>
              <w:rPr>
                <w:b w:val="0"/>
                <w:color w:val="000000"/>
                <w:sz w:val="21"/>
              </w:rPr>
              <w:t>Date: ___________________________</w:t>
            </w:r>
          </w:p>
        </w:tc>
      </w:tr>
    </w:tbl>
    <w:p/>
    <w:p>
      <w:pPr>
        <w:spacing w:before="240" w:after="120"/>
        <w:jc w:val="center"/>
      </w:pPr>
      <w:r>
        <w:rPr>
          <w:b w:val="0"/>
          <w:i w:val="0"/>
          <w:color w:val="404040"/>
          <w:sz w:val="18"/>
        </w:rPr>
        <w:t>Lighthief Cyprus Ltd · HE 477423 · solarfarms.cy</w:t>
      </w:r>
    </w:p>
    <w:p>
      <w:pPr>
        <w:spacing w:before="0" w:after="120"/>
        <w:jc w:val="center"/>
      </w:pPr>
      <w:r>
        <w:rPr>
          <w:b w:val="0"/>
          <w:i w:val="0"/>
          <w:color w:val="404040"/>
          <w:sz w:val="18"/>
        </w:rPr>
        <w:t>28 October Ave 249, Lophitis Business Center 1, Office 201, 3035 Limassol, Cyprus · +357 77 77 00 50 · office@lighthief.com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