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Briefing for the Authorised Architect / ETEK Designer</w:t>
      </w:r>
    </w:p>
    <w:p>
      <w:pPr>
        <w:jc w:val="center"/>
      </w:pPr>
      <w:r>
        <w:rPr>
          <w:color w:val="555555"/>
          <w:sz w:val="22"/>
        </w:rPr>
        <w:t>BESS in a licensed RES (solar) park — planning and building exemption route</w:t>
        <w:br/>
        <w:t>Κ.Δ.Π. 15/2026 and Κ.Δ.Π. 17/2026 (Official Gazette 5992, 16 January 2026)</w:t>
      </w:r>
    </w:p>
    <w:p/>
    <w:p>
      <w:pPr>
        <w:jc w:val="center"/>
      </w:pPr>
      <w:r>
        <w:rPr>
          <w:b/>
          <w:sz w:val="20"/>
        </w:rPr>
        <w:t>Lighthief Cyprus Ltd</w:t>
      </w:r>
    </w:p>
    <w:p>
      <w:pPr>
        <w:jc w:val="center"/>
      </w:pPr>
      <w:r>
        <w:rPr>
          <w:sz w:val="20"/>
        </w:rPr>
        <w:t>Ref: LCY-ARCH-BRIEF-KDP-2026-001</w:t>
      </w:r>
    </w:p>
    <w:p>
      <w:pPr>
        <w:jc w:val="center"/>
      </w:pPr>
      <w:r>
        <w:rPr>
          <w:sz w:val="20"/>
        </w:rPr>
        <w:t>Version: 1.0   |   Date: 24 April 2026</w:t>
      </w:r>
    </w:p>
    <w:p>
      <w:r>
        <w:br w:type="page"/>
      </w:r>
    </w:p>
    <w:p>
      <w:pPr>
        <w:spacing w:before="280" w:after="120"/>
      </w:pPr>
      <w:r>
        <w:rPr>
          <w:b/>
          <w:color w:val="1A365D"/>
          <w:sz w:val="24"/>
        </w:rPr>
        <w:t>1. Purpose of this briefing</w:t>
      </w:r>
    </w:p>
    <w:p>
      <w:r>
        <w:t>Lighthief supports clients who add a containerised Battery Energy Storage System (BESS) to an existing CERA-licensed solar (RES) station. When the conditions of the 2026 special development decrees are met, a separate building permit for the storage may be treated as deemed issued, and the town-planning route is handled through a package centred on a signed Υπεύθυνη δήλωση μελετητή (responsible study declaration) and the drawings listed in the decrees.</w:t>
      </w:r>
    </w:p>
    <w:p>
      <w:r>
        <w:t>This document explains what we need from you as the ETEK-registered architect (or, where the design office splits scope, the lead planning and layout designer) so the submitted plans are consistent with Κ.Δ.Π. 15/2026 and 17/2026 and with the way we annotate our BESS layout drawings (distances, height, access).</w:t>
      </w:r>
    </w:p>
    <w:p>
      <w:pPr>
        <w:spacing w:before="280" w:after="120"/>
      </w:pPr>
      <w:r>
        <w:rPr>
          <w:b/>
          <w:color w:val="1A365D"/>
          <w:sz w:val="24"/>
        </w:rPr>
        <w:t>2. CERA, EOA, and where forms are filed</w:t>
      </w:r>
    </w:p>
    <w:p>
      <w:r>
        <w:t>The following points avoid mixing electricity licensing with the planning / building file:</w:t>
      </w:r>
    </w:p>
    <w:p>
      <w:pPr>
        <w:pStyle w:val="ListBullet"/>
      </w:pPr>
      <w:r>
        <w:rPr>
          <w:sz w:val="22"/>
        </w:rPr>
        <w:t>CERA (ΡΑΕΚ) is the electricity regulator (generation licences, market). It is not the address for these particular planning and building exemption forms.</w:t>
      </w:r>
    </w:p>
    <w:p>
      <w:pPr>
        <w:pStyle w:val="ListBullet"/>
      </w:pPr>
      <w:r>
        <w:rPr>
          <w:sz w:val="22"/>
        </w:rPr>
        <w:t>The decrees use αρμόδια αρχή (competent planning authority). For Κ.Δ.Π. 15/2026, the responsible declaration is submitted to an e-mail address published on the website of the local EOA (Επαρχιακός Οργανισμός Αυτοδιοίκησης — district administration), unless replaced by a centralised portal.</w:t>
      </w:r>
    </w:p>
    <w:p>
      <w:pPr>
        <w:pStyle w:val="ListBullet"/>
      </w:pPr>
      <w:r>
        <w:rPr>
          <w:sz w:val="22"/>
        </w:rPr>
        <w:t>For Κ.Δ.Π. 17/2026, Παράρτημα II material is submitted through the ΙΠΠΟΔΑΜΟΣ information system, as stated in the decree. Always use the current instructions and addresses for the client’s district.</w:t>
      </w:r>
    </w:p>
    <w:p>
      <w:pPr>
        <w:spacing w:before="280" w:after="120"/>
      </w:pPr>
      <w:r>
        <w:rPr>
          <w:b/>
          <w:color w:val="1A365D"/>
          <w:sz w:val="24"/>
        </w:rPr>
        <w:t>3. What we ask you to do</w:t>
      </w:r>
    </w:p>
    <w:p>
      <w:pPr>
        <w:pStyle w:val="ListBullet"/>
      </w:pPr>
      <w:r>
        <w:rPr>
          <w:sz w:val="22"/>
        </w:rPr>
        <w:t>Review the annotated layout and Χωροταξικό we provide: boundary setbacks, 3 m height envelope, access for fire, paving limit, and positions of battery containers and MV skids on the licensed plot.</w:t>
      </w:r>
    </w:p>
    <w:p>
      <w:pPr>
        <w:pStyle w:val="ListBullet"/>
      </w:pPr>
      <w:r>
        <w:rPr>
          <w:sz w:val="22"/>
        </w:rPr>
        <w:t>Confirm that, on the information given, the proposal is consistent with the spatial and visual conditions in Κ.Δ.Π. 15/2026 and 17/2026, subject to correct survey, cadastre, and any Development Plan or Ministerial Order that applies to the specific parcel.</w:t>
      </w:r>
    </w:p>
    <w:p>
      <w:pPr>
        <w:pStyle w:val="ListBullet"/>
      </w:pPr>
      <w:r>
        <w:rPr>
          <w:sz w:val="22"/>
        </w:rPr>
        <w:t>Sign the official state appendix as the Μελετητής where your ETEK specialty covers this scope, and provide ETEK registration and professional indemnity particulars as required on the form.</w:t>
      </w:r>
    </w:p>
    <w:p>
      <w:pPr>
        <w:pStyle w:val="ListBullet"/>
      </w:pPr>
      <w:r>
        <w:rPr>
          <w:sz w:val="22"/>
        </w:rPr>
        <w:t>Coordinate with civil/structural and electrical consultants: your deliverable is planning and layout plus the declaration; foundations, earthing, and grid/DSO documentation are other disciplines unless your firm also holds those categories.</w:t>
      </w:r>
    </w:p>
    <w:p>
      <w:pPr>
        <w:spacing w:before="280" w:after="120"/>
      </w:pPr>
      <w:r>
        <w:rPr>
          <w:b/>
          <w:color w:val="1A365D"/>
          <w:sz w:val="24"/>
        </w:rPr>
        <w:t>4. Legal basis (at a glance)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D"/>
          </w:tcPr>
          <w:p>
            <w:r/>
            <w:r>
              <w:rPr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4320"/>
            <w:shd w:fill="1E3A5D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Κ.Δ.Π. 15/2026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Roads and buildings special development decree: BESS (and optional data centre) in an existing licensed RES site; Appendix: Υπεύθυνη δήλωση μελετητή; submission to competent authority (EOA e-mail in transitional period per decree).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Κ.Δ.Π. 17/2026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Town planning special development decree; repeals Κ.Δ.Π. 215/2025. Appendix I: conditions by sector; Appendix II: required drawings; submission through ΙΠΠΟΔΑΜΟΣ as per Article 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Ν. 180(Ι)/2025 / Ν. 181(Ι)/2025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Enabling deemed permit routes as referenced in the decrees (as in force).</w:t>
            </w:r>
          </w:p>
        </w:tc>
      </w:tr>
    </w:tbl>
    <w:p/>
    <w:p>
      <w:pPr>
        <w:spacing w:before="280" w:after="120"/>
      </w:pPr>
      <w:r>
        <w:rPr>
          <w:b/>
          <w:color w:val="1A365D"/>
          <w:sz w:val="24"/>
        </w:rPr>
        <w:t>5. Conditions you will see on our marked drawings</w:t>
      </w:r>
    </w:p>
    <w:p>
      <w:r>
        <w:t>The table is a working checklist. Final numbers must follow the current official Greek text of the decrees and any written clarification from the competent authority.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D"/>
          </w:tcPr>
          <w:p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4320"/>
            <w:shd w:fill="1E3A5D"/>
          </w:tcPr>
          <w:p>
            <w:r/>
            <w:r>
              <w:rPr>
                <w:b/>
                <w:color w:val="FFFFFF"/>
                <w:sz w:val="18"/>
              </w:rPr>
              <w:t>Typical rule (verify in decree and on site)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Setback from plot boundary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least 6,00 m from boundaries, including where the boundary is formed by the road network (see Κ.Δ.Π. 17 §4 and parallel conditions in Κ.Δ.Π. 15).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Maximum 3,00 m from the lower of natural or finished ground, including support structures and roof-mounted services (e.g. HVAC). Multiple units are not placed one above the other above that 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Paving / hardstanding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Cementing limited to the minimum necessary for the equipment installation.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Topography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material alteration of natural ground levels except what the installation reasonably requires.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Finishes / appearance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Neutral, earth-tone claddings; no bright or highly reflective treatment where the decree so requires.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Fire (layout-related)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Perimeter access for fire vehicles: commonly dimensioned at 6 m in the fire section of the exemption decrees; final detail per decree text and the Fire Service where they opine on the file.</w:t>
            </w:r>
          </w:p>
        </w:tc>
      </w:tr>
    </w:tbl>
    <w:p/>
    <w:p>
      <w:pPr>
        <w:spacing w:before="280" w:after="120"/>
      </w:pPr>
      <w:r>
        <w:rPr>
          <w:b/>
          <w:color w:val="1A365D"/>
          <w:sz w:val="24"/>
        </w:rPr>
        <w:t>6. Κ.Δ.Π. 17/2026 — Παράρτημα ΙΙ (supporting your submission)</w:t>
      </w:r>
    </w:p>
    <w:p>
      <w:r>
        <w:t>The official gazette lists the exact documents. Typically the pack includes, among other items: cadastral/ property particulars; a copy of existing planning and/or building permissions for the RES plant; a Χωροταξικό Διάγραμμα Δόμησης showing the licensed works, the proposed storage, set-out distances to plot boundaries, and spot levels on the development parcel, adjoining plots, and roads; owner or co-owner consent; and ETEK professional insurance proof for the signatory, as listed.</w:t>
      </w:r>
    </w:p>
    <w:p>
      <w:pPr>
        <w:spacing w:before="280" w:after="120"/>
      </w:pPr>
      <w:r>
        <w:rPr>
          <w:b/>
          <w:color w:val="1A365D"/>
          <w:sz w:val="24"/>
        </w:rPr>
        <w:t>7. Lighthief deliverables vs architect deliverables</w:t>
      </w:r>
    </w:p>
    <w:p>
      <w:pPr>
        <w:spacing w:before="200"/>
      </w:pPr>
      <w:r>
        <w:rPr>
          <w:b/>
          <w:color w:val="34495E"/>
          <w:sz w:val="22"/>
        </w:rPr>
        <w:t>Lighthief / EPC (typical input)</w:t>
      </w:r>
    </w:p>
    <w:p>
      <w:pPr>
        <w:pStyle w:val="ListBullet"/>
      </w:pPr>
      <w:r>
        <w:rPr>
          <w:sz w:val="22"/>
        </w:rPr>
        <w:t>Marked plan: container footprints, key dimensions, height check versus 3 m, access and circulation, trench routes where shown.</w:t>
      </w:r>
    </w:p>
    <w:p>
      <w:pPr>
        <w:pStyle w:val="ListBullet"/>
      </w:pPr>
      <w:r>
        <w:rPr>
          <w:sz w:val="22"/>
        </w:rPr>
        <w:t>Reference dimensions from the OEM (e.g. 20 ft / 40 ft container external sizes) for drawing consistency.</w:t>
      </w:r>
    </w:p>
    <w:p>
      <w:pPr>
        <w:spacing w:before="200"/>
      </w:pPr>
      <w:r>
        <w:rPr>
          <w:b/>
          <w:color w:val="34495E"/>
          <w:sz w:val="22"/>
        </w:rPr>
        <w:t>Your office (typical output)</w:t>
      </w:r>
    </w:p>
    <w:p>
      <w:pPr>
        <w:pStyle w:val="ListBullet"/>
      </w:pPr>
      <w:r>
        <w:rPr>
          <w:sz w:val="22"/>
        </w:rPr>
        <w:t>Final drawing sheet(s) in the form and language expected by the authority: Greek labels, scale, north, legend, alignment with the cadastral print where required.</w:t>
      </w:r>
    </w:p>
    <w:p>
      <w:pPr>
        <w:pStyle w:val="ListBullet"/>
      </w:pPr>
      <w:r>
        <w:rPr>
          <w:sz w:val="22"/>
        </w:rPr>
        <w:t>Signed Υπεύθυνη δήλωση on the official form attached to the published decree, consistent with your professional review.</w:t>
      </w:r>
    </w:p>
    <w:p>
      <w:pPr>
        <w:spacing w:before="280" w:after="120"/>
      </w:pPr>
      <w:r>
        <w:rPr>
          <w:b/>
          <w:color w:val="1A365D"/>
          <w:sz w:val="24"/>
        </w:rPr>
        <w:t>8. Outside this briefing (other consultants)</w:t>
      </w:r>
    </w:p>
    <w:p>
      <w:r>
        <w:t>Structural design of the reinforced concrete pad (a decree condition), external lightning and earthing, electrical and inverter/MV work, fire suppression system detail, and EAC/DSO grid application materials are not covered by this document unless your firm is retained for those specific disciplines.</w:t>
      </w:r>
    </w:p>
    <w:p>
      <w:pPr>
        <w:spacing w:before="280" w:after="120"/>
      </w:pPr>
      <w:r>
        <w:rPr>
          <w:b/>
          <w:color w:val="1A365D"/>
          <w:sz w:val="24"/>
        </w:rPr>
        <w:t>9. Next steps</w:t>
      </w:r>
    </w:p>
    <w:p>
      <w:pPr>
        <w:pStyle w:val="ListBullet"/>
      </w:pPr>
      <w:r>
        <w:rPr>
          <w:sz w:val="22"/>
        </w:rPr>
        <w:t>Issue us a marked-up list if any dimension or boundary on our plan conflicts with the exemption or the development plan for the site.</w:t>
      </w:r>
    </w:p>
    <w:p>
      <w:pPr>
        <w:pStyle w:val="ListBullet"/>
      </w:pPr>
      <w:r>
        <w:rPr>
          <w:sz w:val="22"/>
        </w:rPr>
        <w:t>Complete the state form with your ETEK and insurance block as published in Κ.Δ.Π. 15/2026 or 17/2026.</w:t>
      </w:r>
    </w:p>
    <w:p/>
    <w:p>
      <w:r>
        <w:rPr>
          <w:b/>
        </w:rPr>
        <w:t xml:space="preserve">Contact: </w:t>
      </w:r>
      <w:r>
        <w:t>office@lighthief.com</w:t>
      </w:r>
      <w:r>
        <w:t xml:space="preserve">  |  </w:t>
      </w:r>
      <w:r>
        <w:t>https://solarfarms.cy</w:t>
      </w:r>
    </w:p>
    <w:p>
      <w:pPr>
        <w:spacing w:before="280" w:after="120"/>
      </w:pPr>
      <w:r>
        <w:rPr>
          <w:b/>
          <w:color w:val="1A365D"/>
          <w:sz w:val="24"/>
        </w:rPr>
        <w:t>10. Internal reference documents (Lighthief repo)</w:t>
      </w:r>
    </w:p>
    <w:p>
      <w:r>
        <w:t>docs/cera/ (official PDFs and README), docs/CyprusDSO.md (Section 18 — permit exemption terms), and docs/internal/civil-engineer-dso-bess-positioning-guide.html (spacing and TSO/DSO layout cross-checks).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