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ALEXANDER PAPACOSTA — LEGAL DOCUMENT PACK</w:t>
      </w:r>
    </w:p>
    <w:p>
      <w:pPr>
        <w:jc w:val="center"/>
      </w:pPr>
      <w:r>
        <w:rPr>
          <w:rFonts w:ascii="Calibri" w:hAnsi="Calibri"/>
          <w:b w:val="0"/>
          <w:i/>
          <w:color w:val="404040"/>
          <w:sz w:val="22"/>
        </w:rPr>
        <w:t>Lighthief Cyprus Ltd · Founder Alignment · May 2026</w:t>
      </w:r>
    </w:p>
    <w:p>
      <w:pPr>
        <w:jc w:val="center"/>
      </w:pPr>
      <w:r>
        <w:rPr>
          <w:rFonts w:ascii="Calibri" w:hAnsi="Calibri"/>
          <w:b w:val="0"/>
          <w:i w:val="0"/>
          <w:color w:val="404040"/>
          <w:sz w:val="18"/>
        </w:rPr>
        <w:t>Combined draft for counsel review — not for execution without legal sign-off</w:t>
      </w:r>
    </w:p>
    <w:p/>
    <w:p>
      <w:r>
        <w:rPr>
          <w:rFonts w:ascii="Calibri" w:hAnsi="Calibri"/>
          <w:b w:val="0"/>
          <w:i w:val="0"/>
          <w:color w:val="404040"/>
          <w:sz w:val="18"/>
        </w:rPr>
        <w:t>Page 1 of the legal content begins with the Executive Summary on the following page. Each numbered Part thereafter starts on a new page with its own footer.</w:t>
      </w:r>
    </w:p>
    <w:p/>
    <w:p>
      <w:r>
        <w:rPr>
          <w:rFonts w:ascii="Calibri" w:hAnsi="Calibri"/>
          <w:b/>
          <w:i w:val="0"/>
          <w:color w:val="1A365D"/>
          <w:sz w:val="24"/>
        </w:rPr>
        <w:t>DOCUMENT INDEX</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w:t>
            </w:r>
          </w:p>
        </w:tc>
        <w:tc>
          <w:tcPr>
            <w:tcW w:type="dxa" w:w="2351"/>
            <w:shd w:fill="1A365D" w:val="clear"/>
          </w:tcPr>
          <w:p>
            <w:r/>
            <w:r>
              <w:rPr>
                <w:rFonts w:ascii="Calibri" w:hAnsi="Calibri"/>
                <w:b/>
                <w:i w:val="0"/>
                <w:color w:val="FFFFFF"/>
                <w:sz w:val="18"/>
              </w:rPr>
              <w:t>Reference</w:t>
            </w:r>
          </w:p>
        </w:tc>
        <w:tc>
          <w:tcPr>
            <w:tcW w:type="dxa" w:w="2351"/>
            <w:shd w:fill="1A365D" w:val="clear"/>
          </w:tcPr>
          <w:p>
            <w:r/>
            <w:r>
              <w:rPr>
                <w:rFonts w:ascii="Calibri" w:hAnsi="Calibri"/>
                <w:b/>
                <w:i w:val="0"/>
                <w:color w:val="FFFFFF"/>
                <w:sz w:val="18"/>
              </w:rPr>
              <w:t>Document</w:t>
            </w:r>
          </w:p>
        </w:tc>
        <w:tc>
          <w:tcPr>
            <w:tcW w:type="dxa" w:w="2351"/>
            <w:shd w:fill="1A365D" w:val="clear"/>
          </w:tcPr>
          <w:p>
            <w:r/>
            <w:r>
              <w:rPr>
                <w:rFonts w:ascii="Calibri" w:hAnsi="Calibri"/>
                <w:b/>
                <w:i w:val="0"/>
                <w:color w:val="FFFFFF"/>
                <w:sz w:val="18"/>
              </w:rPr>
              <w:t>Pagination</w:t>
            </w:r>
          </w:p>
        </w:tc>
      </w:tr>
      <w:tr>
        <w:tc>
          <w:tcPr>
            <w:tcW w:type="dxa" w:w="2351"/>
          </w:tcPr>
          <w:p>
            <w:r/>
            <w:r>
              <w:rPr>
                <w:rFonts w:ascii="Calibri" w:hAnsi="Calibri"/>
                <w:b w:val="0"/>
                <w:i w:val="0"/>
                <w:color w:val="000000"/>
                <w:sz w:val="18"/>
              </w:rPr>
              <w:t>—</w:t>
            </w:r>
          </w:p>
        </w:tc>
        <w:tc>
          <w:tcPr>
            <w:tcW w:type="dxa" w:w="2351"/>
          </w:tcPr>
          <w:p>
            <w:r/>
            <w:r>
              <w:rPr>
                <w:rFonts w:ascii="Calibri" w:hAnsi="Calibri"/>
                <w:b w:val="0"/>
                <w:i w:val="0"/>
                <w:color w:val="000000"/>
                <w:sz w:val="18"/>
              </w:rPr>
              <w:t>LCY-SUMMARY-2026</w:t>
            </w:r>
          </w:p>
        </w:tc>
        <w:tc>
          <w:tcPr>
            <w:tcW w:type="dxa" w:w="2351"/>
          </w:tcPr>
          <w:p>
            <w:r/>
            <w:r>
              <w:rPr>
                <w:rFonts w:ascii="Calibri" w:hAnsi="Calibri"/>
                <w:b w:val="0"/>
                <w:i w:val="0"/>
                <w:color w:val="000000"/>
                <w:sz w:val="18"/>
              </w:rPr>
              <w:t>Executive Summary — economics, signing, document map</w:t>
            </w:r>
          </w:p>
        </w:tc>
        <w:tc>
          <w:tcPr>
            <w:tcW w:type="dxa" w:w="2351"/>
          </w:tcPr>
          <w:p>
            <w:r/>
            <w:r>
              <w:rPr>
                <w:rFonts w:ascii="Calibri" w:hAnsi="Calibri"/>
                <w:b w:val="0"/>
                <w:i w:val="0"/>
                <w:color w:val="000000"/>
                <w:sz w:val="18"/>
              </w:rPr>
              <w:t>See footer</w:t>
            </w:r>
          </w:p>
        </w:tc>
      </w:tr>
      <w:tr>
        <w:tc>
          <w:tcPr>
            <w:tcW w:type="dxa" w:w="2351"/>
          </w:tcPr>
          <w:p>
            <w:r/>
            <w:r>
              <w:rPr>
                <w:rFonts w:ascii="Calibri" w:hAnsi="Calibri"/>
                <w:b w:val="0"/>
                <w:i w:val="0"/>
                <w:color w:val="000000"/>
                <w:sz w:val="18"/>
              </w:rPr>
              <w:t>R1</w:t>
            </w:r>
          </w:p>
        </w:tc>
        <w:tc>
          <w:tcPr>
            <w:tcW w:type="dxa" w:w="2351"/>
          </w:tcPr>
          <w:p>
            <w:r/>
            <w:r>
              <w:rPr>
                <w:rFonts w:ascii="Calibri" w:hAnsi="Calibri"/>
                <w:b w:val="0"/>
                <w:i w:val="0"/>
                <w:color w:val="000000"/>
                <w:sz w:val="18"/>
              </w:rPr>
              <w:t>LCY-PARK-REG-2026-001</w:t>
            </w:r>
          </w:p>
        </w:tc>
        <w:tc>
          <w:tcPr>
            <w:tcW w:type="dxa" w:w="2351"/>
          </w:tcPr>
          <w:p>
            <w:r/>
            <w:r>
              <w:rPr>
                <w:rFonts w:ascii="Calibri" w:hAnsi="Calibri"/>
                <w:b w:val="0"/>
                <w:i w:val="0"/>
                <w:color w:val="000000"/>
                <w:sz w:val="18"/>
              </w:rPr>
              <w:t>Park &amp; Pipeline Register (51 + LOI parks)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R2</w:t>
            </w:r>
          </w:p>
        </w:tc>
        <w:tc>
          <w:tcPr>
            <w:tcW w:type="dxa" w:w="2351"/>
          </w:tcPr>
          <w:p>
            <w:r/>
            <w:r>
              <w:rPr>
                <w:rFonts w:ascii="Calibri" w:hAnsi="Calibri"/>
                <w:b w:val="0"/>
                <w:i w:val="0"/>
                <w:color w:val="000000"/>
                <w:sz w:val="18"/>
              </w:rPr>
              <w:t>LCY-FUTURE-BIZ-2026-001</w:t>
            </w:r>
          </w:p>
        </w:tc>
        <w:tc>
          <w:tcPr>
            <w:tcW w:type="dxa" w:w="2351"/>
          </w:tcPr>
          <w:p>
            <w:r/>
            <w:r>
              <w:rPr>
                <w:rFonts w:ascii="Calibri" w:hAnsi="Calibri"/>
                <w:b w:val="0"/>
                <w:i w:val="0"/>
                <w:color w:val="000000"/>
                <w:sz w:val="18"/>
              </w:rPr>
              <w:t>Future Business — Protection for Not-Yet-Existing Work</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L1</w:t>
            </w:r>
          </w:p>
        </w:tc>
        <w:tc>
          <w:tcPr>
            <w:tcW w:type="dxa" w:w="2351"/>
          </w:tcPr>
          <w:p>
            <w:r/>
            <w:r>
              <w:rPr>
                <w:rFonts w:ascii="Calibri" w:hAnsi="Calibri"/>
                <w:b w:val="0"/>
                <w:i w:val="0"/>
                <w:color w:val="000000"/>
                <w:sz w:val="18"/>
              </w:rPr>
              <w:t>LCY-LOI-GAL-B1-2026-R15</w:t>
            </w:r>
          </w:p>
        </w:tc>
        <w:tc>
          <w:tcPr>
            <w:tcW w:type="dxa" w:w="2351"/>
          </w:tcPr>
          <w:p>
            <w:r/>
            <w:r>
              <w:rPr>
                <w:rFonts w:ascii="Calibri" w:hAnsi="Calibri"/>
                <w:b w:val="0"/>
                <w:i w:val="0"/>
                <w:color w:val="000000"/>
                <w:sz w:val="18"/>
              </w:rPr>
              <w:t>LOI — Galascope Ltd (G1 + G2)</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L2</w:t>
            </w:r>
          </w:p>
        </w:tc>
        <w:tc>
          <w:tcPr>
            <w:tcW w:type="dxa" w:w="2351"/>
          </w:tcPr>
          <w:p>
            <w:r/>
            <w:r>
              <w:rPr>
                <w:rFonts w:ascii="Calibri" w:hAnsi="Calibri"/>
                <w:b w:val="0"/>
                <w:i w:val="0"/>
                <w:color w:val="000000"/>
                <w:sz w:val="18"/>
              </w:rPr>
              <w:t>LCY-LOI-ESP-PIPELINE-2026-R15</w:t>
            </w:r>
          </w:p>
        </w:tc>
        <w:tc>
          <w:tcPr>
            <w:tcW w:type="dxa" w:w="2351"/>
          </w:tcPr>
          <w:p>
            <w:r/>
            <w:r>
              <w:rPr>
                <w:rFonts w:ascii="Calibri" w:hAnsi="Calibri"/>
                <w:b w:val="0"/>
                <w:i w:val="0"/>
                <w:color w:val="000000"/>
                <w:sz w:val="18"/>
              </w:rPr>
              <w:t>LOI — Esperia Energy Pipeline (9 parks)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w:t>
            </w:r>
          </w:p>
        </w:tc>
        <w:tc>
          <w:tcPr>
            <w:tcW w:type="dxa" w:w="2351"/>
          </w:tcPr>
          <w:p>
            <w:r/>
            <w:r>
              <w:rPr>
                <w:rFonts w:ascii="Calibri" w:hAnsi="Calibri"/>
                <w:b w:val="0"/>
                <w:i w:val="0"/>
                <w:color w:val="000000"/>
                <w:sz w:val="18"/>
              </w:rPr>
              <w:t>LCY-MOI-TOCA-2026-001</w:t>
            </w:r>
          </w:p>
        </w:tc>
        <w:tc>
          <w:tcPr>
            <w:tcW w:type="dxa" w:w="2351"/>
          </w:tcPr>
          <w:p>
            <w:r/>
            <w:r>
              <w:rPr>
                <w:rFonts w:ascii="Calibri" w:hAnsi="Calibri"/>
                <w:b w:val="0"/>
                <w:i w:val="0"/>
                <w:color w:val="000000"/>
                <w:sz w:val="18"/>
              </w:rPr>
              <w:t>Team Operational Consultancy Agreement — Main Agreement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2</w:t>
            </w:r>
          </w:p>
        </w:tc>
        <w:tc>
          <w:tcPr>
            <w:tcW w:type="dxa" w:w="2351"/>
          </w:tcPr>
          <w:p>
            <w:r/>
            <w:r>
              <w:rPr>
                <w:rFonts w:ascii="Calibri" w:hAnsi="Calibri"/>
                <w:b w:val="0"/>
                <w:i w:val="0"/>
                <w:color w:val="000000"/>
                <w:sz w:val="18"/>
              </w:rPr>
              <w:t>LCY-MOI-TOCA-2026-001 · Sch. 1</w:t>
            </w:r>
          </w:p>
        </w:tc>
        <w:tc>
          <w:tcPr>
            <w:tcW w:type="dxa" w:w="2351"/>
          </w:tcPr>
          <w:p>
            <w:r/>
            <w:r>
              <w:rPr>
                <w:rFonts w:ascii="Calibri" w:hAnsi="Calibri"/>
                <w:b w:val="0"/>
                <w:i w:val="0"/>
                <w:color w:val="000000"/>
                <w:sz w:val="18"/>
              </w:rPr>
              <w:t>Schedule 1 &amp; 1A — Existing + Pipeline LOI Parks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3</w:t>
            </w:r>
          </w:p>
        </w:tc>
        <w:tc>
          <w:tcPr>
            <w:tcW w:type="dxa" w:w="2351"/>
          </w:tcPr>
          <w:p>
            <w:r/>
            <w:r>
              <w:rPr>
                <w:rFonts w:ascii="Calibri" w:hAnsi="Calibri"/>
                <w:b w:val="0"/>
                <w:i w:val="0"/>
                <w:color w:val="000000"/>
                <w:sz w:val="18"/>
              </w:rPr>
              <w:t>LCY-MOI-TOCA-2026-001 · Sch. 2</w:t>
            </w:r>
          </w:p>
        </w:tc>
        <w:tc>
          <w:tcPr>
            <w:tcW w:type="dxa" w:w="2351"/>
          </w:tcPr>
          <w:p>
            <w:r/>
            <w:r>
              <w:rPr>
                <w:rFonts w:ascii="Calibri" w:hAnsi="Calibri"/>
                <w:b w:val="0"/>
                <w:i w:val="0"/>
                <w:color w:val="000000"/>
                <w:sz w:val="18"/>
              </w:rPr>
              <w:t>Schedule 2 — Net Margin Calculation Example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4</w:t>
            </w:r>
          </w:p>
        </w:tc>
        <w:tc>
          <w:tcPr>
            <w:tcW w:type="dxa" w:w="2351"/>
          </w:tcPr>
          <w:p>
            <w:r/>
            <w:r>
              <w:rPr>
                <w:rFonts w:ascii="Calibri" w:hAnsi="Calibri"/>
                <w:b w:val="0"/>
                <w:i w:val="0"/>
                <w:color w:val="000000"/>
                <w:sz w:val="18"/>
              </w:rPr>
              <w:t>LCY-MOI-TOCA-2026-001 · Sch. 3</w:t>
            </w:r>
          </w:p>
        </w:tc>
        <w:tc>
          <w:tcPr>
            <w:tcW w:type="dxa" w:w="2351"/>
          </w:tcPr>
          <w:p>
            <w:r/>
            <w:r>
              <w:rPr>
                <w:rFonts w:ascii="Calibri" w:hAnsi="Calibri"/>
                <w:b w:val="0"/>
                <w:i w:val="0"/>
                <w:color w:val="000000"/>
                <w:sz w:val="18"/>
              </w:rPr>
              <w:t>Schedule 3 — Scope of Operational Services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5</w:t>
            </w:r>
          </w:p>
        </w:tc>
        <w:tc>
          <w:tcPr>
            <w:tcW w:type="dxa" w:w="2351"/>
          </w:tcPr>
          <w:p>
            <w:r/>
            <w:r>
              <w:rPr>
                <w:rFonts w:ascii="Calibri" w:hAnsi="Calibri"/>
                <w:b w:val="0"/>
                <w:i w:val="0"/>
                <w:color w:val="000000"/>
                <w:sz w:val="18"/>
              </w:rPr>
              <w:t>LCY-MOI-TOCA-2026-001 · Execution</w:t>
            </w:r>
          </w:p>
        </w:tc>
        <w:tc>
          <w:tcPr>
            <w:tcW w:type="dxa" w:w="2351"/>
          </w:tcPr>
          <w:p>
            <w:r/>
            <w:r>
              <w:rPr>
                <w:rFonts w:ascii="Calibri" w:hAnsi="Calibri"/>
                <w:b w:val="0"/>
                <w:i w:val="0"/>
                <w:color w:val="000000"/>
                <w:sz w:val="18"/>
              </w:rPr>
              <w:t>Execution — Consultancy Agreement Signatures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6</w:t>
            </w:r>
          </w:p>
        </w:tc>
        <w:tc>
          <w:tcPr>
            <w:tcW w:type="dxa" w:w="2351"/>
          </w:tcPr>
          <w:p>
            <w:r/>
            <w:r>
              <w:rPr>
                <w:rFonts w:ascii="Calibri" w:hAnsi="Calibri"/>
                <w:b w:val="0"/>
                <w:i w:val="0"/>
                <w:color w:val="000000"/>
                <w:sz w:val="18"/>
              </w:rPr>
              <w:t>LCY-MOI-TOCA-2026-001 · Annex A</w:t>
            </w:r>
          </w:p>
        </w:tc>
        <w:tc>
          <w:tcPr>
            <w:tcW w:type="dxa" w:w="2351"/>
          </w:tcPr>
          <w:p>
            <w:r/>
            <w:r>
              <w:rPr>
                <w:rFonts w:ascii="Calibri" w:hAnsi="Calibri"/>
                <w:b w:val="0"/>
                <w:i w:val="0"/>
                <w:color w:val="000000"/>
                <w:sz w:val="18"/>
              </w:rPr>
              <w:t>Annex A — Written Shareholder Resolution (Moi Ostrov)</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7</w:t>
            </w:r>
          </w:p>
        </w:tc>
        <w:tc>
          <w:tcPr>
            <w:tcW w:type="dxa" w:w="2351"/>
          </w:tcPr>
          <w:p>
            <w:r/>
            <w:r>
              <w:rPr>
                <w:rFonts w:ascii="Calibri" w:hAnsi="Calibri"/>
                <w:b w:val="0"/>
                <w:i w:val="0"/>
                <w:color w:val="000000"/>
                <w:sz w:val="18"/>
              </w:rPr>
              <w:t>LCY-MOI-TOCA-2026-001 · Annex B</w:t>
            </w:r>
          </w:p>
        </w:tc>
        <w:tc>
          <w:tcPr>
            <w:tcW w:type="dxa" w:w="2351"/>
          </w:tcPr>
          <w:p>
            <w:r/>
            <w:r>
              <w:rPr>
                <w:rFonts w:ascii="Calibri" w:hAnsi="Calibri"/>
                <w:b w:val="0"/>
                <w:i w:val="0"/>
                <w:color w:val="000000"/>
                <w:sz w:val="18"/>
              </w:rPr>
              <w:t>Annex B — UBO Personal Undertaking</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8</w:t>
            </w:r>
          </w:p>
        </w:tc>
        <w:tc>
          <w:tcPr>
            <w:tcW w:type="dxa" w:w="2351"/>
          </w:tcPr>
          <w:p>
            <w:r/>
            <w:r>
              <w:rPr>
                <w:rFonts w:ascii="Calibri" w:hAnsi="Calibri"/>
                <w:b w:val="0"/>
                <w:i w:val="0"/>
                <w:color w:val="000000"/>
                <w:sz w:val="18"/>
              </w:rPr>
              <w:t>LCY-EMP-AP-2026-001</w:t>
            </w:r>
          </w:p>
        </w:tc>
        <w:tc>
          <w:tcPr>
            <w:tcW w:type="dxa" w:w="2351"/>
          </w:tcPr>
          <w:p>
            <w:r/>
            <w:r>
              <w:rPr>
                <w:rFonts w:ascii="Calibri" w:hAnsi="Calibri"/>
                <w:b w:val="0"/>
                <w:i w:val="0"/>
                <w:color w:val="000000"/>
                <w:sz w:val="18"/>
              </w:rPr>
              <w:t>MD Employment Agreement (€2k net → €5k gross)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9</w:t>
            </w:r>
          </w:p>
        </w:tc>
        <w:tc>
          <w:tcPr>
            <w:tcW w:type="dxa" w:w="2351"/>
          </w:tcPr>
          <w:p>
            <w:r/>
            <w:r>
              <w:rPr>
                <w:rFonts w:ascii="Calibri" w:hAnsi="Calibri"/>
                <w:b w:val="0"/>
                <w:i w:val="0"/>
                <w:color w:val="000000"/>
                <w:sz w:val="18"/>
              </w:rPr>
              <w:t>LCY-SHR-EMP-2026-001</w:t>
            </w:r>
          </w:p>
        </w:tc>
        <w:tc>
          <w:tcPr>
            <w:tcW w:type="dxa" w:w="2351"/>
          </w:tcPr>
          <w:p>
            <w:r/>
            <w:r>
              <w:rPr>
                <w:rFonts w:ascii="Calibri" w:hAnsi="Calibri"/>
                <w:b w:val="0"/>
                <w:i w:val="0"/>
                <w:color w:val="000000"/>
                <w:sz w:val="18"/>
              </w:rPr>
              <w:t>Shareholder Resolution — MD Employment Approval</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10</w:t>
            </w:r>
          </w:p>
        </w:tc>
        <w:tc>
          <w:tcPr>
            <w:tcW w:type="dxa" w:w="2351"/>
          </w:tcPr>
          <w:p>
            <w:r/>
            <w:r>
              <w:rPr>
                <w:rFonts w:ascii="Calibri" w:hAnsi="Calibri"/>
                <w:b w:val="0"/>
                <w:i w:val="0"/>
                <w:color w:val="000000"/>
                <w:sz w:val="18"/>
              </w:rPr>
              <w:t>LCY-MD-EQ-2026-001</w:t>
            </w:r>
          </w:p>
        </w:tc>
        <w:tc>
          <w:tcPr>
            <w:tcW w:type="dxa" w:w="2351"/>
          </w:tcPr>
          <w:p>
            <w:r/>
            <w:r>
              <w:rPr>
                <w:rFonts w:ascii="Calibri" w:hAnsi="Calibri"/>
                <w:b w:val="0"/>
                <w:i w:val="0"/>
                <w:color w:val="000000"/>
                <w:sz w:val="18"/>
              </w:rPr>
              <w:t>MD Equity Participation Side Letter</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11</w:t>
            </w:r>
          </w:p>
        </w:tc>
        <w:tc>
          <w:tcPr>
            <w:tcW w:type="dxa" w:w="2351"/>
          </w:tcPr>
          <w:p>
            <w:r/>
            <w:r>
              <w:rPr>
                <w:rFonts w:ascii="Calibri" w:hAnsi="Calibri"/>
                <w:b w:val="0"/>
                <w:i w:val="0"/>
                <w:color w:val="000000"/>
                <w:sz w:val="18"/>
              </w:rPr>
              <w:t>LCY-OPT-A-2026-001</w:t>
            </w:r>
          </w:p>
        </w:tc>
        <w:tc>
          <w:tcPr>
            <w:tcW w:type="dxa" w:w="2351"/>
          </w:tcPr>
          <w:p>
            <w:r/>
            <w:r>
              <w:rPr>
                <w:rFonts w:ascii="Calibri" w:hAnsi="Calibri"/>
                <w:b w:val="0"/>
                <w:i w:val="0"/>
                <w:color w:val="000000"/>
                <w:sz w:val="18"/>
              </w:rPr>
              <w:t>Option A — Founder Runway &amp; MD Economics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12</w:t>
            </w:r>
          </w:p>
        </w:tc>
        <w:tc>
          <w:tcPr>
            <w:tcW w:type="dxa" w:w="2351"/>
          </w:tcPr>
          <w:p>
            <w:r/>
            <w:r>
              <w:rPr>
                <w:rFonts w:ascii="Calibri" w:hAnsi="Calibri"/>
                <w:b w:val="0"/>
                <w:i w:val="0"/>
                <w:color w:val="000000"/>
                <w:sz w:val="18"/>
              </w:rPr>
              <w:t>LCY-MOI-ADH-2026-001</w:t>
            </w:r>
          </w:p>
        </w:tc>
        <w:tc>
          <w:tcPr>
            <w:tcW w:type="dxa" w:w="2351"/>
          </w:tcPr>
          <w:p>
            <w:r/>
            <w:r>
              <w:rPr>
                <w:rFonts w:ascii="Calibri" w:hAnsi="Calibri"/>
                <w:b w:val="0"/>
                <w:i w:val="0"/>
                <w:color w:val="000000"/>
                <w:sz w:val="18"/>
              </w:rPr>
              <w:t>Deed of Group Adherence (template)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13</w:t>
            </w:r>
          </w:p>
        </w:tc>
        <w:tc>
          <w:tcPr>
            <w:tcW w:type="dxa" w:w="2351"/>
          </w:tcPr>
          <w:p>
            <w:r/>
            <w:r>
              <w:rPr>
                <w:rFonts w:ascii="Calibri" w:hAnsi="Calibri"/>
                <w:b w:val="0"/>
                <w:i w:val="0"/>
                <w:color w:val="000000"/>
                <w:sz w:val="18"/>
              </w:rPr>
              <w:t>LCY-DIR-IND-2026-001</w:t>
            </w:r>
          </w:p>
        </w:tc>
        <w:tc>
          <w:tcPr>
            <w:tcW w:type="dxa" w:w="2351"/>
          </w:tcPr>
          <w:p>
            <w:r/>
            <w:r>
              <w:rPr>
                <w:rFonts w:ascii="Calibri" w:hAnsi="Calibri"/>
                <w:b w:val="0"/>
                <w:i w:val="0"/>
                <w:color w:val="000000"/>
                <w:sz w:val="18"/>
              </w:rPr>
              <w:t>Director &amp; Officer Protections (D&amp;O +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14</w:t>
            </w:r>
          </w:p>
        </w:tc>
        <w:tc>
          <w:tcPr>
            <w:tcW w:type="dxa" w:w="2351"/>
          </w:tcPr>
          <w:p>
            <w:r/>
            <w:r>
              <w:rPr>
                <w:rFonts w:ascii="Calibri" w:hAnsi="Calibri"/>
                <w:b w:val="0"/>
                <w:i w:val="0"/>
                <w:color w:val="000000"/>
                <w:sz w:val="18"/>
              </w:rPr>
              <w:t>LCY-SHR-DO-2026-001</w:t>
            </w:r>
          </w:p>
        </w:tc>
        <w:tc>
          <w:tcPr>
            <w:tcW w:type="dxa" w:w="2351"/>
          </w:tcPr>
          <w:p>
            <w:r/>
            <w:r>
              <w:rPr>
                <w:rFonts w:ascii="Calibri" w:hAnsi="Calibri"/>
                <w:b w:val="0"/>
                <w:i w:val="0"/>
                <w:color w:val="000000"/>
                <w:sz w:val="18"/>
              </w:rPr>
              <w:t>Shareholder Resolution — D&amp;O Insurance &amp;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15</w:t>
            </w:r>
          </w:p>
        </w:tc>
        <w:tc>
          <w:tcPr>
            <w:tcW w:type="dxa" w:w="2351"/>
          </w:tcPr>
          <w:p>
            <w:r/>
            <w:r>
              <w:rPr>
                <w:rFonts w:ascii="Calibri" w:hAnsi="Calibri"/>
                <w:b w:val="0"/>
                <w:i w:val="0"/>
                <w:color w:val="000000"/>
                <w:sz w:val="18"/>
              </w:rPr>
              <w:t>LCY-GOV-SIGN-2026-001</w:t>
            </w:r>
          </w:p>
        </w:tc>
        <w:tc>
          <w:tcPr>
            <w:tcW w:type="dxa" w:w="2351"/>
          </w:tcPr>
          <w:p>
            <w:r/>
            <w:r>
              <w:rPr>
                <w:rFonts w:ascii="Calibri" w:hAnsi="Calibri"/>
                <w:b w:val="0"/>
                <w:i w:val="0"/>
                <w:color w:val="000000"/>
                <w:sz w:val="18"/>
              </w:rPr>
              <w:t>Signing Matrix &amp; Governance (who signs what)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16</w:t>
            </w:r>
          </w:p>
        </w:tc>
        <w:tc>
          <w:tcPr>
            <w:tcW w:type="dxa" w:w="2351"/>
          </w:tcPr>
          <w:p>
            <w:r/>
            <w:r>
              <w:rPr>
                <w:rFonts w:ascii="Calibri" w:hAnsi="Calibri"/>
                <w:b w:val="0"/>
                <w:i w:val="0"/>
                <w:color w:val="000000"/>
                <w:sz w:val="18"/>
              </w:rPr>
              <w:t>LCY-BRD-2026-001</w:t>
            </w:r>
          </w:p>
        </w:tc>
        <w:tc>
          <w:tcPr>
            <w:tcW w:type="dxa" w:w="2351"/>
          </w:tcPr>
          <w:p>
            <w:r/>
            <w:r>
              <w:rPr>
                <w:rFonts w:ascii="Calibri" w:hAnsi="Calibri"/>
                <w:b w:val="0"/>
                <w:i w:val="0"/>
                <w:color w:val="000000"/>
                <w:sz w:val="18"/>
              </w:rPr>
              <w:t>Board Minutes — Phase 1 (Founder alignment pack)</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17</w:t>
            </w:r>
          </w:p>
        </w:tc>
        <w:tc>
          <w:tcPr>
            <w:tcW w:type="dxa" w:w="2351"/>
          </w:tcPr>
          <w:p>
            <w:r/>
            <w:r>
              <w:rPr>
                <w:rFonts w:ascii="Calibri" w:hAnsi="Calibri"/>
                <w:b w:val="0"/>
                <w:i w:val="0"/>
                <w:color w:val="000000"/>
                <w:sz w:val="18"/>
              </w:rPr>
              <w:t>LCY-BRD-2026-002</w:t>
            </w:r>
          </w:p>
        </w:tc>
        <w:tc>
          <w:tcPr>
            <w:tcW w:type="dxa" w:w="2351"/>
          </w:tcPr>
          <w:p>
            <w:r/>
            <w:r>
              <w:rPr>
                <w:rFonts w:ascii="Calibri" w:hAnsi="Calibri"/>
                <w:b w:val="0"/>
                <w:i w:val="0"/>
                <w:color w:val="000000"/>
                <w:sz w:val="18"/>
              </w:rPr>
              <w:t>Board Minutes — Phase 2 (Equity side letter / pre-investor)</w:t>
            </w:r>
          </w:p>
        </w:tc>
        <w:tc>
          <w:tcPr>
            <w:tcW w:type="dxa" w:w="2351"/>
          </w:tcPr>
          <w:p>
            <w:r/>
            <w:r>
              <w:rPr>
                <w:rFonts w:ascii="Calibri" w:hAnsi="Calibri"/>
                <w:b w:val="0"/>
                <w:i w:val="0"/>
                <w:color w:val="000000"/>
                <w:sz w:val="18"/>
              </w:rPr>
              <w:t>Restarts at page 1</w:t>
            </w:r>
          </w:p>
        </w:tc>
      </w:tr>
    </w:tbl>
    <w:p/>
    <w:p>
      <w:pPr>
        <w:jc w:val="both"/>
      </w:pPr>
      <w:r>
        <w:rPr>
          <w:rFonts w:ascii="Calibri" w:hAnsi="Calibri"/>
          <w:b w:val="0"/>
          <w:i w:val="0"/>
          <w:color w:val="404040"/>
          <w:sz w:val="18"/>
        </w:rPr>
        <w:t>Each part below begins on a new page with its own footer and page numbering. Print or PDF each section separately using the footer label, or print the full pack for counsel review.</w:t>
      </w:r>
    </w:p>
    <w:p>
      <w:pPr>
        <w:sectPr>
          <w:footerReference w:type="default" r:id="rId9"/>
          <w:pgSz w:w="12240" w:h="15840"/>
          <w:pgMar w:top="1134" w:right="1417" w:bottom="1247" w:left="1417" w:header="720" w:footer="720" w:gutter="0"/>
          <w:cols w:space="720"/>
          <w:docGrid w:linePitch="360"/>
        </w:sectPr>
      </w:pPr>
    </w:p>
    <w:p>
      <w:pPr>
        <w:jc w:val="center"/>
      </w:pPr>
      <w:r>
        <w:rPr>
          <w:rFonts w:ascii="Calibri" w:hAnsi="Calibri"/>
          <w:b/>
          <w:i w:val="0"/>
          <w:color w:val="1A365D"/>
          <w:sz w:val="28"/>
        </w:rPr>
        <w:t>EXECUTIVE SUMMARY</w:t>
      </w:r>
    </w:p>
    <w:p/>
    <w:p>
      <w:pPr>
        <w:jc w:val="both"/>
      </w:pPr>
      <w:r>
        <w:rPr>
          <w:rFonts w:ascii="Calibri" w:hAnsi="Calibri"/>
          <w:b w:val="0"/>
          <w:i w:val="0"/>
          <w:color w:val="000000"/>
          <w:sz w:val="20"/>
        </w:rPr>
        <w:t>Alexander Papacosta — Founder Alignment Pack</w:t>
      </w:r>
    </w:p>
    <w:p>
      <w:pPr>
        <w:jc w:val="both"/>
      </w:pPr>
      <w:r>
        <w:rPr>
          <w:rFonts w:ascii="Calibri" w:hAnsi="Calibri"/>
          <w:b/>
          <w:i w:val="0"/>
          <w:color w:val="000000"/>
          <w:sz w:val="20"/>
        </w:rPr>
        <w:t>Lighthief Cyprus Ltd (HE 477423) · May 2026</w:t>
      </w:r>
    </w:p>
    <w:p>
      <w:pPr>
        <w:ind w:left="567"/>
      </w:pPr>
      <w:r>
        <w:rPr>
          <w:rFonts w:ascii="Calibri" w:hAnsi="Calibri"/>
          <w:b w:val="0"/>
          <w:i/>
          <w:color w:val="404040"/>
          <w:sz w:val="20"/>
        </w:rPr>
        <w:t>**DRAFT — for Cyprus counsel review only.** Not legal advice. Do not execute without qualified lawyer and payroll adviser sign-off.</w:t>
      </w:r>
    </w:p>
    <w:p>
      <w:pPr>
        <w:spacing w:before="240"/>
      </w:pPr>
      <w:r>
        <w:rPr>
          <w:rFonts w:ascii="Calibri" w:hAnsi="Calibri"/>
          <w:b/>
          <w:i w:val="0"/>
          <w:color w:val="C9A432"/>
          <w:sz w:val="24"/>
        </w:rPr>
        <w:t>1. Purpose</w:t>
      </w:r>
    </w:p>
    <w:p>
      <w:pPr>
        <w:jc w:val="both"/>
      </w:pPr>
      <w:r>
        <w:rPr>
          <w:rFonts w:ascii="Calibri" w:hAnsi="Calibri"/>
          <w:b w:val="0"/>
          <w:i w:val="0"/>
          <w:color w:val="000000"/>
          <w:sz w:val="20"/>
        </w:rPr>
        <w:t>This pack aligns Managing Director compensation, Moi Ostrov introducer fees, equity on major EPC signings, optional investor participation, and director protection before Galascope / Esperia execution and any third-party investment.</w:t>
      </w:r>
    </w:p>
    <w:p>
      <w:pPr>
        <w:spacing w:before="240"/>
      </w:pPr>
      <w:r>
        <w:rPr>
          <w:rFonts w:ascii="Calibri" w:hAnsi="Calibri"/>
          <w:b/>
          <w:i w:val="0"/>
          <w:color w:val="C9A432"/>
          <w:sz w:val="24"/>
        </w:rPr>
        <w:t>2. Economics at a glance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Bucket</w:t>
            </w:r>
          </w:p>
        </w:tc>
        <w:tc>
          <w:tcPr>
            <w:tcW w:type="dxa" w:w="3135"/>
            <w:shd w:fill="1A365D" w:val="clear"/>
          </w:tcPr>
          <w:p>
            <w:r/>
            <w:r>
              <w:rPr>
                <w:rFonts w:ascii="Calibri" w:hAnsi="Calibri"/>
                <w:b/>
                <w:i w:val="0"/>
                <w:color w:val="FFFFFF"/>
                <w:sz w:val="18"/>
              </w:rPr>
              <w:t>What MD receives</w:t>
            </w:r>
          </w:p>
        </w:tc>
        <w:tc>
          <w:tcPr>
            <w:tcW w:type="dxa" w:w="3135"/>
            <w:shd w:fill="1A365D" w:val="clear"/>
          </w:tcPr>
          <w:p>
            <w:r/>
            <w:r>
              <w:rPr>
                <w:rFonts w:ascii="Calibri" w:hAnsi="Calibri"/>
                <w:b/>
                <w:i w:val="0"/>
                <w:color w:val="FFFFFF"/>
                <w:sz w:val="18"/>
              </w:rPr>
              <w:t>Instrument (Part)</w:t>
            </w:r>
          </w:p>
        </w:tc>
      </w:tr>
      <w:tr>
        <w:tc>
          <w:tcPr>
            <w:tcW w:type="dxa" w:w="3135"/>
          </w:tcPr>
          <w:p>
            <w:r/>
            <w:r>
              <w:rPr>
                <w:rFonts w:ascii="Calibri" w:hAnsi="Calibri"/>
                <w:b w:val="0"/>
                <w:i w:val="0"/>
                <w:color w:val="000000"/>
                <w:sz w:val="18"/>
              </w:rPr>
              <w:t>Origination</w:t>
            </w:r>
          </w:p>
        </w:tc>
        <w:tc>
          <w:tcPr>
            <w:tcW w:type="dxa" w:w="3135"/>
          </w:tcPr>
          <w:p>
            <w:r/>
            <w:r>
              <w:rPr>
                <w:rFonts w:ascii="Calibri" w:hAnsi="Calibri"/>
                <w:b w:val="0"/>
                <w:i w:val="0"/>
                <w:color w:val="000000"/>
                <w:sz w:val="18"/>
              </w:rPr>
              <w:t>30% Net Margin on 51 + 9 LOI parks (Part A on pay)</w:t>
            </w:r>
          </w:p>
        </w:tc>
        <w:tc>
          <w:tcPr>
            <w:tcW w:type="dxa" w:w="3135"/>
          </w:tcPr>
          <w:p>
            <w:r/>
            <w:r>
              <w:rPr>
                <w:rFonts w:ascii="Calibri" w:hAnsi="Calibri"/>
                <w:b w:val="0"/>
                <w:i w:val="0"/>
                <w:color w:val="000000"/>
                <w:sz w:val="18"/>
              </w:rPr>
              <w:t>Parts 1–7 · Sch. 1 &amp; 1A</w:t>
            </w:r>
          </w:p>
        </w:tc>
      </w:tr>
      <w:tr>
        <w:tc>
          <w:tcPr>
            <w:tcW w:type="dxa" w:w="3135"/>
          </w:tcPr>
          <w:p>
            <w:r/>
            <w:r>
              <w:rPr>
                <w:rFonts w:ascii="Calibri" w:hAnsi="Calibri"/>
                <w:b w:val="0"/>
                <w:i w:val="0"/>
                <w:color w:val="000000"/>
                <w:sz w:val="18"/>
              </w:rPr>
              <w:t>Operations</w:t>
            </w:r>
          </w:p>
        </w:tc>
        <w:tc>
          <w:tcPr>
            <w:tcW w:type="dxa" w:w="3135"/>
          </w:tcPr>
          <w:p>
            <w:r/>
            <w:r>
              <w:rPr>
                <w:rFonts w:ascii="Calibri" w:hAnsi="Calibri"/>
                <w:b w:val="0"/>
                <w:i w:val="0"/>
                <w:color w:val="000000"/>
                <w:sz w:val="18"/>
              </w:rPr>
              <w:t>30% on all future Company revenue through LCY (Cyprus) — not only BESS</w:t>
            </w:r>
          </w:p>
        </w:tc>
        <w:tc>
          <w:tcPr>
            <w:tcW w:type="dxa" w:w="3135"/>
          </w:tcPr>
          <w:p>
            <w:r/>
            <w:r>
              <w:rPr>
                <w:rFonts w:ascii="Calibri" w:hAnsi="Calibri"/>
                <w:b w:val="0"/>
                <w:i w:val="0"/>
                <w:color w:val="000000"/>
                <w:sz w:val="18"/>
              </w:rPr>
              <w:t>Parts 1–7 · Part B</w:t>
            </w:r>
          </w:p>
        </w:tc>
      </w:tr>
      <w:tr>
        <w:tc>
          <w:tcPr>
            <w:tcW w:type="dxa" w:w="3135"/>
          </w:tcPr>
          <w:p>
            <w:r/>
            <w:r>
              <w:rPr>
                <w:rFonts w:ascii="Calibri" w:hAnsi="Calibri"/>
                <w:b w:val="0"/>
                <w:i w:val="0"/>
                <w:color w:val="000000"/>
                <w:sz w:val="18"/>
              </w:rPr>
              <w:t>LOIs</w:t>
            </w:r>
          </w:p>
        </w:tc>
        <w:tc>
          <w:tcPr>
            <w:tcW w:type="dxa" w:w="3135"/>
          </w:tcPr>
          <w:p>
            <w:r/>
            <w:r>
              <w:rPr>
                <w:rFonts w:ascii="Calibri" w:hAnsi="Calibri"/>
                <w:b w:val="0"/>
                <w:i w:val="0"/>
                <w:color w:val="000000"/>
                <w:sz w:val="18"/>
              </w:rPr>
              <w:t>Galascope 2 parks · Esperia pipeline 9 parks</w:t>
            </w:r>
          </w:p>
        </w:tc>
        <w:tc>
          <w:tcPr>
            <w:tcW w:type="dxa" w:w="3135"/>
          </w:tcPr>
          <w:p>
            <w:r/>
            <w:r>
              <w:rPr>
                <w:rFonts w:ascii="Calibri" w:hAnsi="Calibri"/>
                <w:b w:val="0"/>
                <w:i w:val="0"/>
                <w:color w:val="000000"/>
                <w:sz w:val="18"/>
              </w:rPr>
              <w:t>Parts L1–L2</w:t>
            </w:r>
          </w:p>
        </w:tc>
      </w:tr>
      <w:tr>
        <w:tc>
          <w:tcPr>
            <w:tcW w:type="dxa" w:w="3135"/>
          </w:tcPr>
          <w:p>
            <w:r/>
            <w:r>
              <w:rPr>
                <w:rFonts w:ascii="Calibri" w:hAnsi="Calibri"/>
                <w:b w:val="0"/>
                <w:i w:val="0"/>
                <w:color w:val="000000"/>
                <w:sz w:val="18"/>
              </w:rPr>
              <w:t>Park register</w:t>
            </w:r>
          </w:p>
        </w:tc>
        <w:tc>
          <w:tcPr>
            <w:tcW w:type="dxa" w:w="3135"/>
          </w:tcPr>
          <w:p>
            <w:r/>
            <w:r>
              <w:rPr>
                <w:rFonts w:ascii="Calibri" w:hAnsi="Calibri"/>
                <w:b w:val="0"/>
                <w:i w:val="0"/>
                <w:color w:val="000000"/>
                <w:sz w:val="18"/>
              </w:rPr>
              <w:t>All quoted sites named</w:t>
            </w:r>
          </w:p>
        </w:tc>
        <w:tc>
          <w:tcPr>
            <w:tcW w:type="dxa" w:w="3135"/>
          </w:tcPr>
          <w:p>
            <w:r/>
            <w:r>
              <w:rPr>
                <w:rFonts w:ascii="Calibri" w:hAnsi="Calibri"/>
                <w:b w:val="0"/>
                <w:i w:val="0"/>
                <w:color w:val="000000"/>
                <w:sz w:val="18"/>
              </w:rPr>
              <w:t>Part R1</w:t>
            </w:r>
          </w:p>
        </w:tc>
      </w:tr>
      <w:tr>
        <w:tc>
          <w:tcPr>
            <w:tcW w:type="dxa" w:w="3135"/>
          </w:tcPr>
          <w:p>
            <w:r/>
            <w:r>
              <w:rPr>
                <w:rFonts w:ascii="Calibri" w:hAnsi="Calibri"/>
                <w:b w:val="0"/>
                <w:i w:val="0"/>
                <w:color w:val="000000"/>
                <w:sz w:val="18"/>
              </w:rPr>
              <w:t>Future / not yet existing</w:t>
            </w:r>
          </w:p>
        </w:tc>
        <w:tc>
          <w:tcPr>
            <w:tcW w:type="dxa" w:w="3135"/>
          </w:tcPr>
          <w:p>
            <w:r/>
            <w:r>
              <w:rPr>
                <w:rFonts w:ascii="Calibri" w:hAnsi="Calibri"/>
                <w:b w:val="0"/>
                <w:i w:val="0"/>
                <w:color w:val="000000"/>
                <w:sz w:val="18"/>
              </w:rPr>
              <w:t>Protected Project + Clause 12 + LOI lock</w:t>
            </w:r>
          </w:p>
        </w:tc>
        <w:tc>
          <w:tcPr>
            <w:tcW w:type="dxa" w:w="3135"/>
          </w:tcPr>
          <w:p>
            <w:r/>
            <w:r>
              <w:rPr>
                <w:rFonts w:ascii="Calibri" w:hAnsi="Calibri"/>
                <w:b w:val="0"/>
                <w:i w:val="0"/>
                <w:color w:val="000000"/>
                <w:sz w:val="18"/>
              </w:rPr>
              <w:t>Part R2</w:t>
            </w:r>
          </w:p>
        </w:tc>
      </w:tr>
      <w:tr>
        <w:tc>
          <w:tcPr>
            <w:tcW w:type="dxa" w:w="3135"/>
          </w:tcPr>
          <w:p>
            <w:r/>
            <w:r>
              <w:rPr>
                <w:rFonts w:ascii="Calibri" w:hAnsi="Calibri"/>
                <w:b w:val="0"/>
                <w:i w:val="0"/>
                <w:color w:val="000000"/>
                <w:sz w:val="18"/>
              </w:rPr>
              <w:t>Employment</w:t>
            </w:r>
          </w:p>
        </w:tc>
        <w:tc>
          <w:tcPr>
            <w:tcW w:type="dxa" w:w="3135"/>
          </w:tcPr>
          <w:p>
            <w:r/>
            <w:r>
              <w:rPr>
                <w:rFonts w:ascii="Calibri" w:hAnsi="Calibri"/>
                <w:b w:val="0"/>
                <w:i w:val="0"/>
                <w:color w:val="000000"/>
                <w:sz w:val="18"/>
              </w:rPr>
              <w:t>€2,000 net/mo from 1 Jul 2025 → €5,000 gross from Galascope EPC</w:t>
            </w:r>
          </w:p>
        </w:tc>
        <w:tc>
          <w:tcPr>
            <w:tcW w:type="dxa" w:w="3135"/>
          </w:tcPr>
          <w:p>
            <w:r/>
            <w:r>
              <w:rPr>
                <w:rFonts w:ascii="Calibri" w:hAnsi="Calibri"/>
                <w:b w:val="0"/>
                <w:i w:val="0"/>
                <w:color w:val="000000"/>
                <w:sz w:val="18"/>
              </w:rPr>
              <w:t>Parts 8–9 · LCY-EMP-AP-2026-001</w:t>
            </w:r>
          </w:p>
        </w:tc>
      </w:tr>
      <w:tr>
        <w:tc>
          <w:tcPr>
            <w:tcW w:type="dxa" w:w="3135"/>
          </w:tcPr>
          <w:p>
            <w:r/>
            <w:r>
              <w:rPr>
                <w:rFonts w:ascii="Calibri" w:hAnsi="Calibri"/>
                <w:b w:val="0"/>
                <w:i w:val="0"/>
                <w:color w:val="000000"/>
                <w:sz w:val="18"/>
              </w:rPr>
              <w:t>EPC equity</w:t>
            </w:r>
          </w:p>
        </w:tc>
        <w:tc>
          <w:tcPr>
            <w:tcW w:type="dxa" w:w="3135"/>
          </w:tcPr>
          <w:p>
            <w:r/>
            <w:r>
              <w:rPr>
                <w:rFonts w:ascii="Calibri" w:hAnsi="Calibri"/>
                <w:b w:val="0"/>
                <w:i w:val="0"/>
                <w:color w:val="000000"/>
                <w:sz w:val="18"/>
              </w:rPr>
              <w:t>10% on Galascope EPC signing + 10% on Esperia EPC signing (20% max)</w:t>
            </w:r>
          </w:p>
        </w:tc>
        <w:tc>
          <w:tcPr>
            <w:tcW w:type="dxa" w:w="3135"/>
          </w:tcPr>
          <w:p>
            <w:r/>
            <w:r>
              <w:rPr>
                <w:rFonts w:ascii="Calibri" w:hAnsi="Calibri"/>
                <w:b w:val="0"/>
                <w:i w:val="0"/>
                <w:color w:val="000000"/>
                <w:sz w:val="18"/>
              </w:rPr>
              <w:t>Part 10 · LCY-MD-EQ-2026-001</w:t>
            </w:r>
          </w:p>
        </w:tc>
      </w:tr>
      <w:tr>
        <w:tc>
          <w:tcPr>
            <w:tcW w:type="dxa" w:w="3135"/>
          </w:tcPr>
          <w:p>
            <w:r/>
            <w:r>
              <w:rPr>
                <w:rFonts w:ascii="Calibri" w:hAnsi="Calibri"/>
                <w:b w:val="0"/>
                <w:i w:val="0"/>
                <w:color w:val="000000"/>
                <w:sz w:val="18"/>
              </w:rPr>
              <w:t>Investor path</w:t>
            </w:r>
          </w:p>
        </w:tc>
        <w:tc>
          <w:tcPr>
            <w:tcW w:type="dxa" w:w="3135"/>
          </w:tcPr>
          <w:p>
            <w:r/>
            <w:r>
              <w:rPr>
                <w:rFonts w:ascii="Calibri" w:hAnsi="Calibri"/>
                <w:b w:val="0"/>
                <w:i w:val="0"/>
                <w:color w:val="000000"/>
                <w:sz w:val="18"/>
              </w:rPr>
              <w:t>30% of subscription cash to Company + 15% MD equity cap (EPC grants count)</w:t>
            </w:r>
          </w:p>
        </w:tc>
        <w:tc>
          <w:tcPr>
            <w:tcW w:type="dxa" w:w="3135"/>
          </w:tcPr>
          <w:p>
            <w:r/>
            <w:r>
              <w:rPr>
                <w:rFonts w:ascii="Calibri" w:hAnsi="Calibri"/>
                <w:b w:val="0"/>
                <w:i w:val="0"/>
                <w:color w:val="000000"/>
                <w:sz w:val="18"/>
              </w:rPr>
              <w:t>Part 10</w:t>
            </w:r>
          </w:p>
        </w:tc>
      </w:tr>
      <w:tr>
        <w:tc>
          <w:tcPr>
            <w:tcW w:type="dxa" w:w="3135"/>
          </w:tcPr>
          <w:p>
            <w:r/>
            <w:r>
              <w:rPr>
                <w:rFonts w:ascii="Calibri" w:hAnsi="Calibri"/>
                <w:b w:val="0"/>
                <w:i w:val="0"/>
                <w:color w:val="000000"/>
                <w:sz w:val="18"/>
              </w:rPr>
              <w:t>Runway</w:t>
            </w:r>
          </w:p>
        </w:tc>
        <w:tc>
          <w:tcPr>
            <w:tcW w:type="dxa" w:w="3135"/>
          </w:tcPr>
          <w:p>
            <w:r/>
            <w:r>
              <w:rPr>
                <w:rFonts w:ascii="Calibri" w:hAnsi="Calibri"/>
                <w:b w:val="0"/>
                <w:i w:val="0"/>
                <w:color w:val="000000"/>
                <w:sz w:val="18"/>
              </w:rPr>
              <w:t>Founder loan / capital heads (if used)</w:t>
            </w:r>
          </w:p>
        </w:tc>
        <w:tc>
          <w:tcPr>
            <w:tcW w:type="dxa" w:w="3135"/>
          </w:tcPr>
          <w:p>
            <w:r/>
            <w:r>
              <w:rPr>
                <w:rFonts w:ascii="Calibri" w:hAnsi="Calibri"/>
                <w:b w:val="0"/>
                <w:i w:val="0"/>
                <w:color w:val="000000"/>
                <w:sz w:val="18"/>
              </w:rPr>
              <w:t>Part 11 · LCY-OPT-A-2026-001</w:t>
            </w:r>
          </w:p>
        </w:tc>
      </w:tr>
      <w:tr>
        <w:tc>
          <w:tcPr>
            <w:tcW w:type="dxa" w:w="3135"/>
          </w:tcPr>
          <w:p>
            <w:r/>
            <w:r>
              <w:rPr>
                <w:rFonts w:ascii="Calibri" w:hAnsi="Calibri"/>
                <w:b w:val="0"/>
                <w:i w:val="0"/>
                <w:color w:val="000000"/>
                <w:sz w:val="18"/>
              </w:rPr>
              <w:t>D&amp;O</w:t>
            </w:r>
          </w:p>
        </w:tc>
        <w:tc>
          <w:tcPr>
            <w:tcW w:type="dxa" w:w="3135"/>
          </w:tcPr>
          <w:p>
            <w:r/>
            <w:r>
              <w:rPr>
                <w:rFonts w:ascii="Calibri" w:hAnsi="Calibri"/>
                <w:b w:val="0"/>
                <w:i w:val="0"/>
                <w:color w:val="000000"/>
                <w:sz w:val="18"/>
              </w:rPr>
              <w:t>Company indemnity + D&amp;O insurance (director + secretary)</w:t>
            </w:r>
          </w:p>
        </w:tc>
        <w:tc>
          <w:tcPr>
            <w:tcW w:type="dxa" w:w="3135"/>
          </w:tcPr>
          <w:p>
            <w:r/>
            <w:r>
              <w:rPr>
                <w:rFonts w:ascii="Calibri" w:hAnsi="Calibri"/>
                <w:b w:val="0"/>
                <w:i w:val="0"/>
                <w:color w:val="000000"/>
                <w:sz w:val="18"/>
              </w:rPr>
              <w:t>Parts 13–14</w:t>
            </w:r>
          </w:p>
        </w:tc>
      </w:tr>
    </w:tbl>
    <w:p/>
    <w:p>
      <w:pPr>
        <w:jc w:val="both"/>
      </w:pPr>
      <w:r>
        <w:rPr>
          <w:rFonts w:ascii="Calibri" w:hAnsi="Calibri"/>
          <w:b w:val="0"/>
          <w:i w:val="0"/>
          <w:color w:val="000000"/>
          <w:sz w:val="20"/>
        </w:rPr>
        <w:t>Not combined: margin commission ≠ equity ≠ employment salary ≠ investor success fee.</w:t>
      </w:r>
    </w:p>
    <w:p>
      <w:pPr>
        <w:jc w:val="both"/>
      </w:pPr>
      <w:r>
        <w:rPr>
          <w:rFonts w:ascii="Calibri" w:hAnsi="Calibri"/>
          <w:b w:val="0"/>
          <w:i w:val="0"/>
          <w:color w:val="000000"/>
          <w:sz w:val="20"/>
        </w:rPr>
        <w:t>62 named sites in Part R1 (51 portfolio + 9 pipeline LOI + Galascope within G2). Part R2 explains protection for deals that do not exist yet at signing.</w:t>
      </w:r>
    </w:p>
    <w:p>
      <w:pPr>
        <w:spacing w:before="240"/>
      </w:pPr>
      <w:r>
        <w:rPr>
          <w:rFonts w:ascii="Calibri" w:hAnsi="Calibri"/>
          <w:b/>
          <w:i w:val="0"/>
          <w:color w:val="C9A432"/>
          <w:sz w:val="24"/>
        </w:rPr>
        <w:t>3. Equity — founder proposal (May 2026)</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Trigger</w:t>
            </w:r>
          </w:p>
        </w:tc>
        <w:tc>
          <w:tcPr>
            <w:tcW w:type="dxa" w:w="3135"/>
            <w:shd w:fill="1A365D" w:val="clear"/>
          </w:tcPr>
          <w:p>
            <w:r/>
            <w:r>
              <w:rPr>
                <w:rFonts w:ascii="Calibri" w:hAnsi="Calibri"/>
                <w:b/>
                <w:i w:val="0"/>
                <w:color w:val="FFFFFF"/>
                <w:sz w:val="18"/>
              </w:rPr>
              <w:t>MD equity (cumulative)</w:t>
            </w:r>
          </w:p>
        </w:tc>
        <w:tc>
          <w:tcPr>
            <w:tcW w:type="dxa" w:w="3135"/>
            <w:shd w:fill="1A365D" w:val="clear"/>
          </w:tcPr>
          <w:p>
            <w:r/>
            <w:r>
              <w:rPr>
                <w:rFonts w:ascii="Calibri" w:hAnsi="Calibri"/>
                <w:b/>
                <w:i w:val="0"/>
                <w:color w:val="FFFFFF"/>
                <w:sz w:val="18"/>
              </w:rPr>
              <w:t>MD cash</w:t>
            </w:r>
          </w:p>
        </w:tc>
      </w:tr>
      <w:tr>
        <w:tc>
          <w:tcPr>
            <w:tcW w:type="dxa" w:w="3135"/>
          </w:tcPr>
          <w:p>
            <w:r/>
            <w:r>
              <w:rPr>
                <w:rFonts w:ascii="Calibri" w:hAnsi="Calibri"/>
                <w:b w:val="0"/>
                <w:i w:val="0"/>
                <w:color w:val="000000"/>
                <w:sz w:val="18"/>
              </w:rPr>
              <w:t>Galascope EPC signed &amp; stamped</w:t>
            </w:r>
          </w:p>
        </w:tc>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Esperia EPC signed &amp; stamped</w:t>
            </w:r>
          </w:p>
        </w:tc>
        <w:tc>
          <w:tcPr>
            <w:tcW w:type="dxa" w:w="3135"/>
          </w:tcPr>
          <w:p>
            <w:r/>
            <w:r>
              <w:rPr>
                <w:rFonts w:ascii="Calibri" w:hAnsi="Calibri"/>
                <w:b w:val="0"/>
                <w:i w:val="0"/>
                <w:color w:val="000000"/>
                <w:sz w:val="18"/>
              </w:rPr>
              <w:t>20%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Third-party investor (e.g. €500k / 12.5%)</w:t>
            </w:r>
          </w:p>
        </w:tc>
        <w:tc>
          <w:tcPr>
            <w:tcW w:type="dxa" w:w="3135"/>
          </w:tcPr>
          <w:p>
            <w:r/>
            <w:r>
              <w:rPr>
                <w:rFonts w:ascii="Calibri" w:hAnsi="Calibri"/>
                <w:b w:val="0"/>
                <w:i w:val="0"/>
                <w:color w:val="000000"/>
                <w:sz w:val="18"/>
              </w:rPr>
              <w:t>≤15% total</w:t>
            </w:r>
          </w:p>
        </w:tc>
        <w:tc>
          <w:tcPr>
            <w:tcW w:type="dxa" w:w="3135"/>
          </w:tcPr>
          <w:p>
            <w:r/>
            <w:r>
              <w:rPr>
                <w:rFonts w:ascii="Calibri" w:hAnsi="Calibri"/>
                <w:b w:val="0"/>
                <w:i w:val="0"/>
                <w:color w:val="000000"/>
                <w:sz w:val="18"/>
              </w:rPr>
              <w:t>€150,000 (30% of cash)</w:t>
            </w:r>
          </w:p>
        </w:tc>
      </w:tr>
      <w:tr>
        <w:tc>
          <w:tcPr>
            <w:tcW w:type="dxa" w:w="3135"/>
          </w:tcPr>
          <w:p>
            <w:r/>
            <w:r>
              <w:rPr>
                <w:rFonts w:ascii="Calibri" w:hAnsi="Calibri"/>
                <w:b w:val="0"/>
                <w:i w:val="0"/>
                <w:color w:val="000000"/>
                <w:sz w:val="18"/>
              </w:rPr>
              <w:t>Galascope 10% then investor before Esperia</w:t>
            </w:r>
          </w:p>
        </w:tc>
        <w:tc>
          <w:tcPr>
            <w:tcW w:type="dxa" w:w="3135"/>
          </w:tcPr>
          <w:p>
            <w:r/>
            <w:r>
              <w:rPr>
                <w:rFonts w:ascii="Calibri" w:hAnsi="Calibri"/>
                <w:b w:val="0"/>
                <w:i w:val="0"/>
                <w:color w:val="000000"/>
                <w:sz w:val="18"/>
              </w:rPr>
              <w:t>15% cap (not full second 10%)</w:t>
            </w:r>
          </w:p>
        </w:tc>
        <w:tc>
          <w:tcPr>
            <w:tcW w:type="dxa" w:w="3135"/>
          </w:tcPr>
          <w:p>
            <w:r/>
            <w:r>
              <w:rPr>
                <w:rFonts w:ascii="Calibri" w:hAnsi="Calibri"/>
                <w:b w:val="0"/>
                <w:i w:val="0"/>
                <w:color w:val="000000"/>
                <w:sz w:val="18"/>
              </w:rPr>
              <w:t>€150,000</w:t>
            </w:r>
          </w:p>
        </w:tc>
      </w:tr>
    </w:tbl>
    <w:p/>
    <w:p>
      <w:pPr>
        <w:jc w:val="both"/>
      </w:pPr>
      <w:r>
        <w:rPr>
          <w:rFonts w:ascii="Calibri" w:hAnsi="Calibri"/>
          <w:b w:val="0"/>
          <w:i w:val="0"/>
          <w:color w:val="000000"/>
          <w:sz w:val="20"/>
        </w:rPr>
        <w:t>Replaces prior “25% pool minus sold” model. 30% participation fee paid by Founder / Lighthief International where possible (not Company WC).</w:t>
      </w:r>
    </w:p>
    <w:p>
      <w:pPr>
        <w:spacing w:before="240"/>
      </w:pPr>
      <w:r>
        <w:rPr>
          <w:rFonts w:ascii="Calibri" w:hAnsi="Calibri"/>
          <w:b/>
          <w:i w:val="0"/>
          <w:color w:val="C9A432"/>
          <w:sz w:val="24"/>
        </w:rPr>
        <w:t>4. Corporate structure — who signs what</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Person / entity</w:t>
            </w:r>
          </w:p>
        </w:tc>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Signs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Sole shareholder (100%); corporate director</w:t>
            </w:r>
          </w:p>
        </w:tc>
        <w:tc>
          <w:tcPr>
            <w:tcW w:type="dxa" w:w="3135"/>
          </w:tcPr>
          <w:p>
            <w:r/>
            <w:r>
              <w:rPr>
                <w:rFonts w:ascii="Calibri" w:hAnsi="Calibri"/>
                <w:b w:val="0"/>
                <w:i w:val="0"/>
                <w:color w:val="000000"/>
                <w:sz w:val="18"/>
              </w:rPr>
              <w:t>Shareholder resolutions only</w:t>
            </w:r>
          </w:p>
        </w:tc>
      </w:tr>
      <w:tr>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t>UBO of LI</w:t>
            </w:r>
          </w:p>
        </w:tc>
        <w:tc>
          <w:tcPr>
            <w:tcW w:type="dxa" w:w="3135"/>
          </w:tcPr>
          <w:p>
            <w:r/>
            <w:r>
              <w:rPr>
                <w:rFonts w:ascii="Calibri" w:hAnsi="Calibri"/>
                <w:b w:val="0"/>
                <w:i w:val="0"/>
                <w:color w:val="000000"/>
                <w:sz w:val="18"/>
              </w:rPr>
              <w:t>For LI: Annex A, SHR-EMP, SHR-DO · Personal: Annex B · Founder: side letter, Option A · Board: chairs minutes</w:t>
            </w:r>
          </w:p>
        </w:tc>
      </w:tr>
      <w:tr>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 director + secretary; Moi Ostrov director; MD</w:t>
            </w:r>
          </w:p>
        </w:tc>
        <w:tc>
          <w:tcPr>
            <w:tcW w:type="dxa" w:w="3135"/>
          </w:tcPr>
          <w:p>
            <w:r/>
            <w:r>
              <w:rPr>
                <w:rFonts w:ascii="Calibri" w:hAnsi="Calibri"/>
                <w:b w:val="0"/>
                <w:i w:val="0"/>
                <w:color w:val="000000"/>
                <w:sz w:val="18"/>
              </w:rPr>
              <w:t>LCY ↔ Moi Ostrov deed, employment, D&amp;O beneficiary · Never shareholder resolutions</w:t>
            </w:r>
          </w:p>
        </w:tc>
      </w:tr>
    </w:tbl>
    <w:p/>
    <w:p>
      <w:pPr>
        <w:jc w:val="both"/>
      </w:pPr>
      <w:r>
        <w:rPr>
          <w:rFonts w:ascii="Calibri" w:hAnsi="Calibri"/>
          <w:b w:val="0"/>
          <w:i w:val="0"/>
          <w:color w:val="000000"/>
          <w:sz w:val="20"/>
        </w:rPr>
        <w:t>Golden rule: Shareholder approvals = Sybaris for LI. UBO undertaking = Sybaris personal. Company contracts = Alexander for LCY (where board + SHR authorise).</w:t>
      </w:r>
    </w:p>
    <w:p>
      <w:pPr>
        <w:jc w:val="both"/>
      </w:pPr>
      <w:r>
        <w:rPr>
          <w:rFonts w:ascii="Calibri" w:hAnsi="Calibri"/>
          <w:b w:val="0"/>
          <w:i w:val="0"/>
          <w:color w:val="000000"/>
          <w:sz w:val="20"/>
        </w:rPr>
        <w:t>Full matrix: Part 15 (LCY-GOV-SIGN-2026-001).</w:t>
      </w:r>
    </w:p>
    <w:p>
      <w:pPr>
        <w:spacing w:before="240"/>
      </w:pPr>
      <w:r>
        <w:rPr>
          <w:rFonts w:ascii="Calibri" w:hAnsi="Calibri"/>
          <w:b/>
          <w:i w:val="0"/>
          <w:color w:val="C9A432"/>
          <w:sz w:val="24"/>
        </w:rPr>
        <w:t>5. Recommended execution order</w:t>
      </w:r>
    </w:p>
    <w:p>
      <w:r>
        <w:rPr>
          <w:rFonts w:ascii="Calibri" w:hAnsi="Calibri"/>
          <w:b/>
          <w:i w:val="0"/>
          <w:color w:val="1A365D"/>
          <w:sz w:val="22"/>
        </w:rPr>
        <w:t>Phase 1 — Founder alignment (before / with Galascope EPC)</w:t>
      </w:r>
    </w:p>
    <w:p>
      <w:pPr>
        <w:jc w:val="both"/>
      </w:pPr>
      <w:r>
        <w:rPr>
          <w:rFonts w:ascii="Calibri" w:hAnsi="Calibri"/>
          <w:b w:val="0"/>
          <w:i w:val="0"/>
          <w:color w:val="000000"/>
          <w:sz w:val="20"/>
        </w:rPr>
        <w:t>1. Board — adopt Part 16 minutes (Alexander recuses conflicts; Sybaris chairs).</w:t>
      </w:r>
    </w:p>
    <w:p>
      <w:pPr>
        <w:jc w:val="both"/>
      </w:pPr>
      <w:r>
        <w:rPr>
          <w:rFonts w:ascii="Calibri" w:hAnsi="Calibri"/>
          <w:b w:val="0"/>
          <w:i w:val="0"/>
          <w:color w:val="000000"/>
          <w:sz w:val="20"/>
        </w:rPr>
        <w:t>2. Sybaris — Annex B (personal) → Annex A → LCY-SHR-EMP → LCY-SHR-DO.</w:t>
      </w:r>
    </w:p>
    <w:p>
      <w:pPr>
        <w:jc w:val="both"/>
      </w:pPr>
      <w:r>
        <w:rPr>
          <w:rFonts w:ascii="Calibri" w:hAnsi="Calibri"/>
          <w:b w:val="0"/>
          <w:i w:val="0"/>
          <w:color w:val="000000"/>
          <w:sz w:val="20"/>
        </w:rPr>
        <w:t>3. Alexander — Consultancy deed (LCY + Moi Ostrov) → Employment → D&amp;O deed.</w:t>
      </w:r>
    </w:p>
    <w:p>
      <w:pPr>
        <w:jc w:val="both"/>
      </w:pPr>
      <w:r>
        <w:rPr>
          <w:rFonts w:ascii="Calibri" w:hAnsi="Calibri"/>
          <w:b w:val="0"/>
          <w:i w:val="0"/>
          <w:color w:val="000000"/>
          <w:sz w:val="20"/>
        </w:rPr>
        <w:t>4. Option A heads — if signing now (Part 11).</w:t>
      </w:r>
    </w:p>
    <w:p>
      <w:pPr>
        <w:jc w:val="both"/>
      </w:pPr>
      <w:r>
        <w:rPr>
          <w:rFonts w:ascii="Calibri" w:hAnsi="Calibri"/>
          <w:b w:val="0"/>
          <w:i w:val="0"/>
          <w:color w:val="000000"/>
          <w:sz w:val="20"/>
        </w:rPr>
        <w:t>5. Secretary files resolutions and minutes.</w:t>
      </w:r>
    </w:p>
    <w:p>
      <w:r>
        <w:rPr>
          <w:rFonts w:ascii="Calibri" w:hAnsi="Calibri"/>
          <w:b/>
          <w:i w:val="0"/>
          <w:color w:val="1A365D"/>
          <w:sz w:val="22"/>
        </w:rPr>
        <w:t>Phase 2 — Before first investor tranche</w:t>
      </w:r>
    </w:p>
    <w:p>
      <w:pPr>
        <w:jc w:val="both"/>
      </w:pPr>
      <w:r>
        <w:rPr>
          <w:rFonts w:ascii="Calibri" w:hAnsi="Calibri"/>
          <w:b w:val="0"/>
          <w:i w:val="0"/>
          <w:color w:val="000000"/>
          <w:sz w:val="20"/>
        </w:rPr>
        <w:t>6. Board — Part 17 minutes + equity side letter (Part 10).</w:t>
      </w:r>
    </w:p>
    <w:p>
      <w:r>
        <w:rPr>
          <w:rFonts w:ascii="Calibri" w:hAnsi="Calibri"/>
          <w:b/>
          <w:i w:val="0"/>
          <w:color w:val="1A365D"/>
          <w:sz w:val="22"/>
        </w:rPr>
        <w:t>Phase 3 — EPC milestones</w:t>
      </w:r>
    </w:p>
    <w:p>
      <w:pPr>
        <w:jc w:val="both"/>
      </w:pPr>
      <w:r>
        <w:rPr>
          <w:rFonts w:ascii="Calibri" w:hAnsi="Calibri"/>
          <w:b w:val="0"/>
          <w:i w:val="0"/>
          <w:color w:val="000000"/>
          <w:sz w:val="20"/>
        </w:rPr>
        <w:t>7. Galascope EPC — 10% equity grant + €5k gross salary.</w:t>
      </w:r>
    </w:p>
    <w:p>
      <w:pPr>
        <w:jc w:val="both"/>
      </w:pPr>
      <w:r>
        <w:rPr>
          <w:rFonts w:ascii="Calibri" w:hAnsi="Calibri"/>
          <w:b w:val="0"/>
          <w:i w:val="0"/>
          <w:color w:val="000000"/>
          <w:sz w:val="20"/>
        </w:rPr>
        <w:t>8. Esperia EPC — second 10% if 15% investor cap allows.</w:t>
      </w:r>
    </w:p>
    <w:p>
      <w:pPr>
        <w:spacing w:before="240"/>
      </w:pPr>
      <w:r>
        <w:rPr>
          <w:rFonts w:ascii="Calibri" w:hAnsi="Calibri"/>
          <w:b/>
          <w:i w:val="0"/>
          <w:color w:val="C9A432"/>
          <w:sz w:val="24"/>
        </w:rPr>
        <w:t>6. Document map</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w:t>
            </w:r>
          </w:p>
        </w:tc>
        <w:tc>
          <w:tcPr>
            <w:tcW w:type="dxa" w:w="3135"/>
            <w:shd w:fill="1A365D" w:val="clear"/>
          </w:tcPr>
          <w:p>
            <w:r/>
            <w:r>
              <w:rPr>
                <w:rFonts w:ascii="Calibri" w:hAnsi="Calibri"/>
                <w:b/>
                <w:i w:val="0"/>
                <w:color w:val="FFFFFF"/>
                <w:sz w:val="18"/>
              </w:rPr>
              <w:t>Reference</w:t>
            </w:r>
          </w:p>
        </w:tc>
        <w:tc>
          <w:tcPr>
            <w:tcW w:type="dxa" w:w="3135"/>
            <w:shd w:fill="1A365D" w:val="clear"/>
          </w:tcPr>
          <w:p>
            <w:r/>
            <w:r>
              <w:rPr>
                <w:rFonts w:ascii="Calibri" w:hAnsi="Calibri"/>
                <w:b/>
                <w:i w:val="0"/>
                <w:color w:val="FFFFFF"/>
                <w:sz w:val="18"/>
              </w:rPr>
              <w:t>Document</w:t>
            </w:r>
          </w:p>
        </w:tc>
      </w:tr>
      <w:tr>
        <w:tc>
          <w:tcPr>
            <w:tcW w:type="dxa" w:w="3135"/>
          </w:tcPr>
          <w:p>
            <w:r/>
            <w:r>
              <w:rPr>
                <w:rFonts w:ascii="Calibri" w:hAnsi="Calibri"/>
                <w:b w:val="0"/>
                <w:i w:val="0"/>
                <w:color w:val="000000"/>
                <w:sz w:val="18"/>
              </w:rPr>
              <w:t>R1</w:t>
            </w:r>
          </w:p>
        </w:tc>
        <w:tc>
          <w:tcPr>
            <w:tcW w:type="dxa" w:w="3135"/>
          </w:tcPr>
          <w:p>
            <w:r/>
            <w:r>
              <w:rPr>
                <w:rFonts w:ascii="Calibri" w:hAnsi="Calibri"/>
                <w:b w:val="0"/>
                <w:i w:val="0"/>
                <w:color w:val="000000"/>
                <w:sz w:val="18"/>
              </w:rPr>
              <w:t>LCY-PARK-REG</w:t>
            </w:r>
          </w:p>
        </w:tc>
        <w:tc>
          <w:tcPr>
            <w:tcW w:type="dxa" w:w="3135"/>
          </w:tcPr>
          <w:p>
            <w:r/>
            <w:r>
              <w:rPr>
                <w:rFonts w:ascii="Calibri" w:hAnsi="Calibri"/>
                <w:b w:val="0"/>
                <w:i w:val="0"/>
                <w:color w:val="000000"/>
                <w:sz w:val="18"/>
              </w:rPr>
              <w:t>Park &amp; pipeline register (all quoted sites)</w:t>
            </w:r>
          </w:p>
        </w:tc>
      </w:tr>
      <w:tr>
        <w:tc>
          <w:tcPr>
            <w:tcW w:type="dxa" w:w="3135"/>
          </w:tcPr>
          <w:p>
            <w:r/>
            <w:r>
              <w:rPr>
                <w:rFonts w:ascii="Calibri" w:hAnsi="Calibri"/>
                <w:b w:val="0"/>
                <w:i w:val="0"/>
                <w:color w:val="000000"/>
                <w:sz w:val="18"/>
              </w:rPr>
              <w:t>R2</w:t>
            </w:r>
          </w:p>
        </w:tc>
        <w:tc>
          <w:tcPr>
            <w:tcW w:type="dxa" w:w="3135"/>
          </w:tcPr>
          <w:p>
            <w:r/>
            <w:r>
              <w:rPr>
                <w:rFonts w:ascii="Calibri" w:hAnsi="Calibri"/>
                <w:b w:val="0"/>
                <w:i w:val="0"/>
                <w:color w:val="000000"/>
                <w:sz w:val="18"/>
              </w:rPr>
              <w:t>LCY-FUTURE-BIZ</w:t>
            </w:r>
          </w:p>
        </w:tc>
        <w:tc>
          <w:tcPr>
            <w:tcW w:type="dxa" w:w="3135"/>
          </w:tcPr>
          <w:p>
            <w:r/>
            <w:r>
              <w:rPr>
                <w:rFonts w:ascii="Calibri" w:hAnsi="Calibri"/>
                <w:b w:val="0"/>
                <w:i w:val="0"/>
                <w:color w:val="000000"/>
                <w:sz w:val="18"/>
              </w:rPr>
              <w:t>Future business protection (not-yet-existing work)</w:t>
            </w:r>
          </w:p>
        </w:tc>
      </w:tr>
      <w:tr>
        <w:tc>
          <w:tcPr>
            <w:tcW w:type="dxa" w:w="3135"/>
          </w:tcPr>
          <w:p>
            <w:r/>
            <w:r>
              <w:rPr>
                <w:rFonts w:ascii="Calibri" w:hAnsi="Calibri"/>
                <w:b w:val="0"/>
                <w:i w:val="0"/>
                <w:color w:val="000000"/>
                <w:sz w:val="18"/>
              </w:rPr>
              <w:t>L1</w:t>
            </w:r>
          </w:p>
        </w:tc>
        <w:tc>
          <w:tcPr>
            <w:tcW w:type="dxa" w:w="3135"/>
          </w:tcPr>
          <w:p>
            <w:r/>
            <w:r>
              <w:rPr>
                <w:rFonts w:ascii="Calibri" w:hAnsi="Calibri"/>
                <w:b w:val="0"/>
                <w:i w:val="0"/>
                <w:color w:val="000000"/>
                <w:sz w:val="18"/>
              </w:rPr>
              <w:t>LCY-LOI-GAL-B1-2026-R15</w:t>
            </w:r>
          </w:p>
        </w:tc>
        <w:tc>
          <w:tcPr>
            <w:tcW w:type="dxa" w:w="3135"/>
          </w:tcPr>
          <w:p>
            <w:r/>
            <w:r>
              <w:rPr>
                <w:rFonts w:ascii="Calibri" w:hAnsi="Calibri"/>
                <w:b w:val="0"/>
                <w:i w:val="0"/>
                <w:color w:val="000000"/>
                <w:sz w:val="18"/>
              </w:rPr>
              <w:t>LOI — Galascope Ltd (2 parks)</w:t>
            </w:r>
          </w:p>
        </w:tc>
      </w:tr>
      <w:tr>
        <w:tc>
          <w:tcPr>
            <w:tcW w:type="dxa" w:w="3135"/>
          </w:tcPr>
          <w:p>
            <w:r/>
            <w:r>
              <w:rPr>
                <w:rFonts w:ascii="Calibri" w:hAnsi="Calibri"/>
                <w:b w:val="0"/>
                <w:i w:val="0"/>
                <w:color w:val="000000"/>
                <w:sz w:val="18"/>
              </w:rPr>
              <w:t>L2</w:t>
            </w:r>
          </w:p>
        </w:tc>
        <w:tc>
          <w:tcPr>
            <w:tcW w:type="dxa" w:w="3135"/>
          </w:tcPr>
          <w:p>
            <w:r/>
            <w:r>
              <w:rPr>
                <w:rFonts w:ascii="Calibri" w:hAnsi="Calibri"/>
                <w:b w:val="0"/>
                <w:i w:val="0"/>
                <w:color w:val="000000"/>
                <w:sz w:val="18"/>
              </w:rPr>
              <w:t>LCY-LOI-ESP-PIPELINE-2026-R15</w:t>
            </w:r>
          </w:p>
        </w:tc>
        <w:tc>
          <w:tcPr>
            <w:tcW w:type="dxa" w:w="3135"/>
          </w:tcPr>
          <w:p>
            <w:r/>
            <w:r>
              <w:rPr>
                <w:rFonts w:ascii="Calibri" w:hAnsi="Calibri"/>
                <w:b w:val="0"/>
                <w:i w:val="0"/>
                <w:color w:val="000000"/>
                <w:sz w:val="18"/>
              </w:rPr>
              <w:t>LOI — Esperia pipeline (9 parks)</w:t>
            </w:r>
          </w:p>
        </w:tc>
      </w:tr>
      <w:tr>
        <w:tc>
          <w:tcPr>
            <w:tcW w:type="dxa" w:w="3135"/>
          </w:tcPr>
          <w:p>
            <w:r/>
            <w:r>
              <w:rPr>
                <w:rFonts w:ascii="Calibri" w:hAnsi="Calibri"/>
                <w:b w:val="0"/>
                <w:i w:val="0"/>
                <w:color w:val="000000"/>
                <w:sz w:val="18"/>
              </w:rPr>
              <w:t>1–4</w:t>
            </w:r>
          </w:p>
        </w:tc>
        <w:tc>
          <w:tcPr>
            <w:tcW w:type="dxa" w:w="3135"/>
          </w:tcPr>
          <w:p>
            <w:r/>
            <w:r>
              <w:rPr>
                <w:rFonts w:ascii="Calibri" w:hAnsi="Calibri"/>
                <w:b w:val="0"/>
                <w:i w:val="0"/>
                <w:color w:val="000000"/>
                <w:sz w:val="18"/>
              </w:rPr>
              <w:t>LCY-MOI-TOCA-2026-001</w:t>
            </w:r>
          </w:p>
        </w:tc>
        <w:tc>
          <w:tcPr>
            <w:tcW w:type="dxa" w:w="3135"/>
          </w:tcPr>
          <w:p>
            <w:r/>
            <w:r>
              <w:rPr>
                <w:rFonts w:ascii="Calibri" w:hAnsi="Calibri"/>
                <w:b w:val="0"/>
                <w:i w:val="0"/>
                <w:color w:val="000000"/>
                <w:sz w:val="18"/>
              </w:rPr>
              <w:t>Consultancy agreement + Schedules 1, 1A, 2–3</w:t>
            </w:r>
          </w:p>
        </w:tc>
      </w:tr>
      <w:tr>
        <w:tc>
          <w:tcPr>
            <w:tcW w:type="dxa" w:w="3135"/>
          </w:tcPr>
          <w:p>
            <w:r/>
            <w:r>
              <w:rPr>
                <w:rFonts w:ascii="Calibri" w:hAnsi="Calibri"/>
                <w:b w:val="0"/>
                <w:i w:val="0"/>
                <w:color w:val="000000"/>
                <w:sz w:val="18"/>
              </w:rPr>
              <w:t>5–7</w:t>
            </w:r>
          </w:p>
        </w:tc>
        <w:tc>
          <w:tcPr>
            <w:tcW w:type="dxa" w:w="3135"/>
          </w:tcPr>
          <w:p>
            <w:r/>
            <w:r>
              <w:rPr>
                <w:rFonts w:ascii="Calibri" w:hAnsi="Calibri"/>
                <w:b w:val="0"/>
                <w:i w:val="0"/>
                <w:color w:val="000000"/>
                <w:sz w:val="18"/>
              </w:rPr>
            </w:r>
          </w:p>
        </w:tc>
        <w:tc>
          <w:tcPr>
            <w:tcW w:type="dxa" w:w="3135"/>
          </w:tcPr>
          <w:p>
            <w:r/>
            <w:r>
              <w:rPr>
                <w:rFonts w:ascii="Calibri" w:hAnsi="Calibri"/>
                <w:b w:val="0"/>
                <w:i w:val="0"/>
                <w:color w:val="000000"/>
                <w:sz w:val="18"/>
              </w:rPr>
              <w:t>Execution · Annex A · Annex B</w:t>
            </w:r>
          </w:p>
        </w:tc>
      </w:tr>
      <w:tr>
        <w:tc>
          <w:tcPr>
            <w:tcW w:type="dxa" w:w="3135"/>
          </w:tcPr>
          <w:p>
            <w:r/>
            <w:r>
              <w:rPr>
                <w:rFonts w:ascii="Calibri" w:hAnsi="Calibri"/>
                <w:b w:val="0"/>
                <w:i w:val="0"/>
                <w:color w:val="000000"/>
                <w:sz w:val="18"/>
              </w:rPr>
              <w:t>8–9</w:t>
            </w:r>
          </w:p>
        </w:tc>
        <w:tc>
          <w:tcPr>
            <w:tcW w:type="dxa" w:w="3135"/>
          </w:tcPr>
          <w:p>
            <w:r/>
            <w:r>
              <w:rPr>
                <w:rFonts w:ascii="Calibri" w:hAnsi="Calibri"/>
                <w:b w:val="0"/>
                <w:i w:val="0"/>
                <w:color w:val="000000"/>
                <w:sz w:val="18"/>
              </w:rPr>
              <w:t>LCY-EMP-AP / LCY-SHR-EMP</w:t>
            </w:r>
          </w:p>
        </w:tc>
        <w:tc>
          <w:tcPr>
            <w:tcW w:type="dxa" w:w="3135"/>
          </w:tcPr>
          <w:p>
            <w:r/>
            <w:r>
              <w:rPr>
                <w:rFonts w:ascii="Calibri" w:hAnsi="Calibri"/>
                <w:b w:val="0"/>
                <w:i w:val="0"/>
                <w:color w:val="000000"/>
                <w:sz w:val="18"/>
              </w:rPr>
              <w:t>Employment · SHR</w:t>
            </w:r>
          </w:p>
        </w:tc>
      </w:tr>
      <w:tr>
        <w:tc>
          <w:tcPr>
            <w:tcW w:type="dxa" w:w="3135"/>
          </w:tcPr>
          <w:p>
            <w:r/>
            <w:r>
              <w:rPr>
                <w:rFonts w:ascii="Calibri" w:hAnsi="Calibri"/>
                <w:b w:val="0"/>
                <w:i w:val="0"/>
                <w:color w:val="000000"/>
                <w:sz w:val="18"/>
              </w:rPr>
              <w:t>10–11</w:t>
            </w:r>
          </w:p>
        </w:tc>
        <w:tc>
          <w:tcPr>
            <w:tcW w:type="dxa" w:w="3135"/>
          </w:tcPr>
          <w:p>
            <w:r/>
            <w:r>
              <w:rPr>
                <w:rFonts w:ascii="Calibri" w:hAnsi="Calibri"/>
                <w:b w:val="0"/>
                <w:i w:val="0"/>
                <w:color w:val="000000"/>
                <w:sz w:val="18"/>
              </w:rPr>
              <w:t>LCY-MD-EQ / LCY-OPT-A</w:t>
            </w:r>
          </w:p>
        </w:tc>
        <w:tc>
          <w:tcPr>
            <w:tcW w:type="dxa" w:w="3135"/>
          </w:tcPr>
          <w:p>
            <w:r/>
            <w:r>
              <w:rPr>
                <w:rFonts w:ascii="Calibri" w:hAnsi="Calibri"/>
                <w:b w:val="0"/>
                <w:i w:val="0"/>
                <w:color w:val="000000"/>
                <w:sz w:val="18"/>
              </w:rPr>
              <w:t>Equity side letter · Option A</w:t>
            </w:r>
          </w:p>
        </w:tc>
      </w:tr>
      <w:tr>
        <w:tc>
          <w:tcPr>
            <w:tcW w:type="dxa" w:w="3135"/>
          </w:tcPr>
          <w:p>
            <w:r/>
            <w:r>
              <w:rPr>
                <w:rFonts w:ascii="Calibri" w:hAnsi="Calibri"/>
                <w:b w:val="0"/>
                <w:i w:val="0"/>
                <w:color w:val="000000"/>
                <w:sz w:val="18"/>
              </w:rPr>
              <w:t>12</w:t>
            </w:r>
          </w:p>
        </w:tc>
        <w:tc>
          <w:tcPr>
            <w:tcW w:type="dxa" w:w="3135"/>
          </w:tcPr>
          <w:p>
            <w:r/>
            <w:r>
              <w:rPr>
                <w:rFonts w:ascii="Calibri" w:hAnsi="Calibri"/>
                <w:b w:val="0"/>
                <w:i w:val="0"/>
                <w:color w:val="000000"/>
                <w:sz w:val="18"/>
              </w:rPr>
              <w:t>LCY-MOI-ADH</w:t>
            </w:r>
          </w:p>
        </w:tc>
        <w:tc>
          <w:tcPr>
            <w:tcW w:type="dxa" w:w="3135"/>
          </w:tcPr>
          <w:p>
            <w:r/>
            <w:r>
              <w:rPr>
                <w:rFonts w:ascii="Calibri" w:hAnsi="Calibri"/>
                <w:b w:val="0"/>
                <w:i w:val="0"/>
                <w:color w:val="000000"/>
                <w:sz w:val="18"/>
              </w:rPr>
              <w:t>Group deed of adherence</w:t>
            </w:r>
          </w:p>
        </w:tc>
      </w:tr>
      <w:tr>
        <w:tc>
          <w:tcPr>
            <w:tcW w:type="dxa" w:w="3135"/>
          </w:tcPr>
          <w:p>
            <w:r/>
            <w:r>
              <w:rPr>
                <w:rFonts w:ascii="Calibri" w:hAnsi="Calibri"/>
                <w:b w:val="0"/>
                <w:i w:val="0"/>
                <w:color w:val="000000"/>
                <w:sz w:val="18"/>
              </w:rPr>
              <w:t>13–14</w:t>
            </w:r>
          </w:p>
        </w:tc>
        <w:tc>
          <w:tcPr>
            <w:tcW w:type="dxa" w:w="3135"/>
          </w:tcPr>
          <w:p>
            <w:r/>
            <w:r>
              <w:rPr>
                <w:rFonts w:ascii="Calibri" w:hAnsi="Calibri"/>
                <w:b w:val="0"/>
                <w:i w:val="0"/>
                <w:color w:val="000000"/>
                <w:sz w:val="18"/>
              </w:rPr>
              <w:t>LCY-DIR-IND / LCY-SHR-DO</w:t>
            </w:r>
          </w:p>
        </w:tc>
        <w:tc>
          <w:tcPr>
            <w:tcW w:type="dxa" w:w="3135"/>
          </w:tcPr>
          <w:p>
            <w:r/>
            <w:r>
              <w:rPr>
                <w:rFonts w:ascii="Calibri" w:hAnsi="Calibri"/>
                <w:b w:val="0"/>
                <w:i w:val="0"/>
                <w:color w:val="000000"/>
                <w:sz w:val="18"/>
              </w:rPr>
              <w:t>D&amp;O · SHR</w:t>
            </w:r>
          </w:p>
        </w:tc>
      </w:tr>
      <w:tr>
        <w:tc>
          <w:tcPr>
            <w:tcW w:type="dxa" w:w="3135"/>
          </w:tcPr>
          <w:p>
            <w:r/>
            <w:r>
              <w:rPr>
                <w:rFonts w:ascii="Calibri" w:hAnsi="Calibri"/>
                <w:b w:val="0"/>
                <w:i w:val="0"/>
                <w:color w:val="000000"/>
                <w:sz w:val="18"/>
              </w:rPr>
              <w:t>15–17</w:t>
            </w:r>
          </w:p>
        </w:tc>
        <w:tc>
          <w:tcPr>
            <w:tcW w:type="dxa" w:w="3135"/>
          </w:tcPr>
          <w:p>
            <w:r/>
            <w:r>
              <w:rPr>
                <w:rFonts w:ascii="Calibri" w:hAnsi="Calibri"/>
                <w:b w:val="0"/>
                <w:i w:val="0"/>
                <w:color w:val="000000"/>
                <w:sz w:val="18"/>
              </w:rPr>
              <w:t>LCY-GOV-SIGN / LCY-BRD</w:t>
            </w:r>
          </w:p>
        </w:tc>
        <w:tc>
          <w:tcPr>
            <w:tcW w:type="dxa" w:w="3135"/>
          </w:tcPr>
          <w:p>
            <w:r/>
            <w:r>
              <w:rPr>
                <w:rFonts w:ascii="Calibri" w:hAnsi="Calibri"/>
                <w:b w:val="0"/>
                <w:i w:val="0"/>
                <w:color w:val="000000"/>
                <w:sz w:val="18"/>
              </w:rPr>
              <w:t>Signing matrix · Board minutes</w:t>
            </w:r>
          </w:p>
        </w:tc>
      </w:tr>
    </w:tbl>
    <w:p/>
    <w:p>
      <w:pPr>
        <w:jc w:val="both"/>
      </w:pPr>
      <w:r>
        <w:rPr>
          <w:rFonts w:ascii="Calibri" w:hAnsi="Calibri"/>
          <w:b w:val="0"/>
          <w:i w:val="0"/>
          <w:color w:val="000000"/>
          <w:sz w:val="20"/>
        </w:rPr>
        <w:t>Each part starts on a new page with its own footer label.</w:t>
      </w:r>
    </w:p>
    <w:p>
      <w:pPr>
        <w:spacing w:before="240"/>
      </w:pPr>
      <w:r>
        <w:rPr>
          <w:rFonts w:ascii="Calibri" w:hAnsi="Calibri"/>
          <w:b/>
          <w:i w:val="0"/>
          <w:color w:val="C9A432"/>
          <w:sz w:val="24"/>
        </w:rPr>
        <w:t>7. Before signing — blockers</w:t>
      </w:r>
    </w:p>
    <w:p>
      <w:pPr>
        <w:pStyle w:val="ListBullet"/>
      </w:pPr>
      <w:r>
        <w:rPr>
          <w:rFonts w:ascii="Calibri" w:hAnsi="Calibri"/>
          <w:b w:val="0"/>
          <w:i w:val="0"/>
          <w:color w:val="000000"/>
          <w:sz w:val="20"/>
        </w:rPr>
        <w:t>Payroll: reconcile Jul 2025–present PAYE/NIS for €2k net periods (ratification alone insufficient).</w:t>
      </w:r>
    </w:p>
    <w:p>
      <w:pPr>
        <w:pStyle w:val="ListBullet"/>
      </w:pPr>
      <w:r>
        <w:rPr>
          <w:rFonts w:ascii="Calibri" w:hAnsi="Calibri"/>
          <w:b w:val="0"/>
          <w:i w:val="0"/>
          <w:color w:val="000000"/>
          <w:sz w:val="20"/>
        </w:rPr>
        <w:t>Legal advice: Sybaris must obtain independent counsel advice before signing (Consultancy Agreement §7.1(f)).</w:t>
      </w:r>
    </w:p>
    <w:p>
      <w:pPr>
        <w:pStyle w:val="ListBullet"/>
      </w:pPr>
      <w:r>
        <w:rPr>
          <w:rFonts w:ascii="Calibri" w:hAnsi="Calibri"/>
          <w:b w:val="0"/>
          <w:i w:val="0"/>
          <w:color w:val="000000"/>
          <w:sz w:val="20"/>
        </w:rPr>
        <w:t>D&amp;O: broker quote; secretary named as insured.</w:t>
      </w:r>
    </w:p>
    <w:p>
      <w:pPr>
        <w:pStyle w:val="ListBullet"/>
      </w:pPr>
      <w:r>
        <w:rPr>
          <w:rFonts w:ascii="Calibri" w:hAnsi="Calibri"/>
          <w:b w:val="0"/>
          <w:i w:val="0"/>
          <w:color w:val="000000"/>
          <w:sz w:val="20"/>
        </w:rPr>
        <w:t>Annex B: primary backstop if Group entities refuse deed of adherence.</w:t>
      </w:r>
    </w:p>
    <w:p>
      <w:pPr>
        <w:pStyle w:val="ListBullet"/>
      </w:pPr>
      <w:r>
        <w:rPr>
          <w:rFonts w:ascii="Calibri" w:hAnsi="Calibri"/>
          <w:b w:val="0"/>
          <w:i w:val="0"/>
          <w:color w:val="000000"/>
          <w:sz w:val="20"/>
        </w:rPr>
        <w:t>Do not send internal investor pushback notes with founder pack.</w:t>
      </w:r>
    </w:p>
    <w:p>
      <w:pPr>
        <w:spacing w:before="240"/>
      </w:pPr>
      <w:r>
        <w:rPr>
          <w:rFonts w:ascii="Calibri" w:hAnsi="Calibri"/>
          <w:b/>
          <w:i w:val="0"/>
          <w:color w:val="C9A432"/>
          <w:sz w:val="24"/>
        </w:rPr>
        <w:t>8. Regeneration</w:t>
      </w:r>
    </w:p>
    <w:p>
      <w:pPr>
        <w:jc w:val="both"/>
      </w:pPr>
      <w:r>
        <w:rPr>
          <w:rFonts w:ascii="Calibri" w:hAnsi="Calibri"/>
          <w:b w:val="0"/>
          <w:i w:val="0"/>
          <w:color w:val="000000"/>
          <w:sz w:val="20"/>
        </w:rPr>
        <w:t>Source templates live in `Alexander/`. Regenerate this Word file:</w:t>
      </w:r>
    </w:p>
    <w:p>
      <w:pPr>
        <w:jc w:val="both"/>
      </w:pPr>
      <w:r>
        <w:rPr>
          <w:rFonts w:ascii="Calibri" w:hAnsi="Calibri"/>
          <w:b w:val="0"/>
          <w:i w:val="0"/>
          <w:color w:val="000000"/>
          <w:sz w:val="20"/>
        </w:rPr>
        <w:t>`python scripts/generate-alexander-legal-pack.py`</w:t>
      </w:r>
    </w:p>
    <w:p>
      <w:pPr>
        <w:jc w:val="both"/>
      </w:pPr>
      <w:r>
        <w:rPr>
          <w:rFonts w:ascii="Calibri" w:hAnsi="Calibri"/>
          <w:b w:val="0"/>
          <w:i w:val="0"/>
          <w:color w:val="000000"/>
          <w:sz w:val="20"/>
        </w:rPr>
        <w:t>Confidential consultancy HTML is local only (not in git); counsel receives this .docx plus `COUNSEL-NEGOTIATION-BRIEF.md`.</w:t>
      </w:r>
    </w:p>
    <w:p>
      <w:pPr>
        <w:jc w:val="both"/>
      </w:pPr>
      <w:r>
        <w:rPr>
          <w:rFonts w:ascii="Calibri" w:hAnsi="Calibri"/>
          <w:b w:val="0"/>
          <w:i w:val="0"/>
          <w:color w:val="000000"/>
          <w:sz w:val="20"/>
        </w:rPr>
        <w:t>Lighthief Cyprus Ltd · HE 477423 · solarfarms.cy · DRAFT v9 — May 2026</w:t>
      </w:r>
    </w:p>
    <w:p>
      <w:pPr>
        <w:sectPr>
          <w:footerReference w:type="default" r:id="rId10"/>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PARK &amp; PIPELINE REGISTER — QUOTED PORTFOLIO</w:t>
      </w:r>
    </w:p>
    <w:p/>
    <w:p>
      <w:pPr>
        <w:jc w:val="both"/>
      </w:pPr>
      <w:r>
        <w:rPr>
          <w:rFonts w:ascii="Calibri" w:hAnsi="Calibri"/>
          <w:b w:val="0"/>
          <w:i w:val="0"/>
          <w:color w:val="000000"/>
          <w:sz w:val="20"/>
        </w:rPr>
        <w:t>Ref: LCY-PARK-REG-2026-001</w:t>
      </w:r>
    </w:p>
    <w:p>
      <w:pPr>
        <w:jc w:val="both"/>
      </w:pPr>
      <w:r>
        <w:rPr>
          <w:rFonts w:ascii="Calibri" w:hAnsi="Calibri"/>
          <w:b w:val="0"/>
          <w:i w:val="0"/>
          <w:color w:val="000000"/>
          <w:sz w:val="20"/>
        </w:rPr>
        <w:t>Company: Lighthief Cyprus Ltd · Consultant: Moi Ostrov Ltd</w:t>
      </w:r>
    </w:p>
    <w:p>
      <w:pPr>
        <w:jc w:val="both"/>
      </w:pPr>
      <w:r>
        <w:rPr>
          <w:rFonts w:ascii="Calibri" w:hAnsi="Calibri"/>
          <w:b w:val="0"/>
          <w:i w:val="0"/>
          <w:color w:val="000000"/>
          <w:sz w:val="20"/>
        </w:rPr>
        <w:t>Cross-ref: Consultancy Agreement Schedule 1 (Part A) · LOI Parts L1–L2 in this pack</w:t>
      </w:r>
    </w:p>
    <w:p>
      <w:pPr>
        <w:spacing w:before="240"/>
      </w:pPr>
      <w:r>
        <w:rPr>
          <w:rFonts w:ascii="Calibri" w:hAnsi="Calibri"/>
          <w:b/>
          <w:i w:val="0"/>
          <w:color w:val="C9A432"/>
          <w:sz w:val="24"/>
        </w:rPr>
        <w:t>1. Summary counts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Category</w:t>
            </w:r>
          </w:p>
        </w:tc>
        <w:tc>
          <w:tcPr>
            <w:tcW w:type="dxa" w:w="2351"/>
            <w:shd w:fill="1A365D" w:val="clear"/>
          </w:tcPr>
          <w:p>
            <w:r/>
            <w:r>
              <w:rPr>
                <w:rFonts w:ascii="Calibri" w:hAnsi="Calibri"/>
                <w:b/>
                <w:i w:val="0"/>
                <w:color w:val="FFFFFF"/>
                <w:sz w:val="18"/>
              </w:rPr>
              <w:t>Parks</w:t>
            </w:r>
          </w:p>
        </w:tc>
        <w:tc>
          <w:tcPr>
            <w:tcW w:type="dxa" w:w="2351"/>
            <w:shd w:fill="1A365D" w:val="clear"/>
          </w:tcPr>
          <w:p>
            <w:r/>
            <w:r>
              <w:rPr>
                <w:rFonts w:ascii="Calibri" w:hAnsi="Calibri"/>
                <w:b/>
                <w:i w:val="0"/>
                <w:color w:val="FFFFFF"/>
                <w:sz w:val="18"/>
              </w:rPr>
              <w:t>MWh (indicative)</w:t>
            </w:r>
          </w:p>
        </w:tc>
        <w:tc>
          <w:tcPr>
            <w:tcW w:type="dxa" w:w="2351"/>
            <w:shd w:fill="1A365D" w:val="clear"/>
          </w:tcPr>
          <w:p>
            <w:r/>
            <w:r>
              <w:rPr>
                <w:rFonts w:ascii="Calibri" w:hAnsi="Calibri"/>
                <w:b/>
                <w:i w:val="0"/>
                <w:color w:val="FFFFFF"/>
                <w:sz w:val="18"/>
              </w:rPr>
              <w:t>Fee basis</w:t>
            </w:r>
          </w:p>
        </w:tc>
      </w:tr>
      <w:tr>
        <w:tc>
          <w:tcPr>
            <w:tcW w:type="dxa" w:w="2351"/>
          </w:tcPr>
          <w:p>
            <w:r/>
            <w:r>
              <w:rPr>
                <w:rFonts w:ascii="Calibri" w:hAnsi="Calibri"/>
                <w:b w:val="0"/>
                <w:i w:val="0"/>
                <w:color w:val="000000"/>
                <w:sz w:val="18"/>
              </w:rPr>
              <w:t>Schedule 1 — signed / group-order portfolio</w:t>
            </w:r>
          </w:p>
        </w:tc>
        <w:tc>
          <w:tcPr>
            <w:tcW w:type="dxa" w:w="2351"/>
          </w:tcPr>
          <w:p>
            <w:r/>
            <w:r>
              <w:rPr>
                <w:rFonts w:ascii="Calibri" w:hAnsi="Calibri"/>
                <w:b w:val="0"/>
                <w:i w:val="0"/>
                <w:color w:val="000000"/>
                <w:sz w:val="18"/>
              </w:rPr>
              <w:t>51</w:t>
            </w:r>
          </w:p>
        </w:tc>
        <w:tc>
          <w:tcPr>
            <w:tcW w:type="dxa" w:w="2351"/>
          </w:tcPr>
          <w:p>
            <w:r/>
            <w:r>
              <w:rPr>
                <w:rFonts w:ascii="Calibri" w:hAnsi="Calibri"/>
                <w:b w:val="0"/>
                <w:i w:val="0"/>
                <w:color w:val="000000"/>
                <w:sz w:val="18"/>
              </w:rPr>
              <w:t>~881.78</w:t>
            </w:r>
          </w:p>
        </w:tc>
        <w:tc>
          <w:tcPr>
            <w:tcW w:type="dxa" w:w="2351"/>
          </w:tcPr>
          <w:p>
            <w:r/>
            <w:r>
              <w:rPr>
                <w:rFonts w:ascii="Calibri" w:hAnsi="Calibri"/>
                <w:b w:val="0"/>
                <w:i w:val="0"/>
                <w:color w:val="000000"/>
                <w:sz w:val="18"/>
              </w:rPr>
              <w:t>Part A — 30% Net Margin</w:t>
            </w:r>
          </w:p>
        </w:tc>
      </w:tr>
      <w:tr>
        <w:tc>
          <w:tcPr>
            <w:tcW w:type="dxa" w:w="2351"/>
          </w:tcPr>
          <w:p>
            <w:r/>
            <w:r>
              <w:rPr>
                <w:rFonts w:ascii="Calibri" w:hAnsi="Calibri"/>
                <w:b w:val="0"/>
                <w:i w:val="0"/>
                <w:color w:val="000000"/>
                <w:sz w:val="18"/>
              </w:rPr>
              <w:t>LOI — Galascope Ltd (G1 + G2)</w:t>
            </w:r>
          </w:p>
        </w:tc>
        <w:tc>
          <w:tcPr>
            <w:tcW w:type="dxa" w:w="2351"/>
          </w:tcPr>
          <w:p>
            <w:r/>
            <w:r>
              <w:rPr>
                <w:rFonts w:ascii="Calibri" w:hAnsi="Calibri"/>
                <w:b w:val="0"/>
                <w:i w:val="0"/>
                <w:color w:val="000000"/>
                <w:sz w:val="18"/>
              </w:rPr>
              <w:t>2</w:t>
            </w:r>
          </w:p>
        </w:tc>
        <w:tc>
          <w:tcPr>
            <w:tcW w:type="dxa" w:w="2351"/>
          </w:tcPr>
          <w:p>
            <w:r/>
            <w:r>
              <w:rPr>
                <w:rFonts w:ascii="Calibri" w:hAnsi="Calibri"/>
                <w:b w:val="0"/>
                <w:i w:val="0"/>
                <w:color w:val="000000"/>
                <w:sz w:val="18"/>
              </w:rPr>
              <w:t>30</w:t>
            </w:r>
          </w:p>
        </w:tc>
        <w:tc>
          <w:tcPr>
            <w:tcW w:type="dxa" w:w="2351"/>
          </w:tcPr>
          <w:p>
            <w:r/>
            <w:r>
              <w:rPr>
                <w:rFonts w:ascii="Calibri" w:hAnsi="Calibri"/>
                <w:b w:val="0"/>
                <w:i w:val="0"/>
                <w:color w:val="000000"/>
                <w:sz w:val="18"/>
              </w:rPr>
              <w:t>Part A when EPC signed (in Schedule 1 G2)</w:t>
            </w:r>
          </w:p>
        </w:tc>
      </w:tr>
      <w:tr>
        <w:tc>
          <w:tcPr>
            <w:tcW w:type="dxa" w:w="2351"/>
          </w:tcPr>
          <w:p>
            <w:r/>
            <w:r>
              <w:rPr>
                <w:rFonts w:ascii="Calibri" w:hAnsi="Calibri"/>
                <w:b w:val="0"/>
                <w:i w:val="0"/>
                <w:color w:val="000000"/>
                <w:sz w:val="18"/>
              </w:rPr>
              <w:t>LOI — Esperia pipeline (Batch 1–3)</w:t>
            </w:r>
          </w:p>
        </w:tc>
        <w:tc>
          <w:tcPr>
            <w:tcW w:type="dxa" w:w="2351"/>
          </w:tcPr>
          <w:p>
            <w:r/>
            <w:r>
              <w:rPr>
                <w:rFonts w:ascii="Calibri" w:hAnsi="Calibri"/>
                <w:b w:val="0"/>
                <w:i w:val="0"/>
                <w:color w:val="000000"/>
                <w:sz w:val="18"/>
              </w:rPr>
              <w:t>9</w:t>
            </w:r>
          </w:p>
        </w:tc>
        <w:tc>
          <w:tcPr>
            <w:tcW w:type="dxa" w:w="2351"/>
          </w:tcPr>
          <w:p>
            <w:r/>
            <w:r>
              <w:rPr>
                <w:rFonts w:ascii="Calibri" w:hAnsi="Calibri"/>
                <w:b w:val="0"/>
                <w:i w:val="0"/>
                <w:color w:val="000000"/>
                <w:sz w:val="18"/>
              </w:rPr>
              <w:t>320</w:t>
            </w:r>
          </w:p>
        </w:tc>
        <w:tc>
          <w:tcPr>
            <w:tcW w:type="dxa" w:w="2351"/>
          </w:tcPr>
          <w:p>
            <w:r/>
            <w:r>
              <w:rPr>
                <w:rFonts w:ascii="Calibri" w:hAnsi="Calibri"/>
                <w:b w:val="0"/>
                <w:i w:val="0"/>
                <w:color w:val="000000"/>
                <w:sz w:val="18"/>
              </w:rPr>
              <w:t>Part A when each EPC signed; LOI exclusivity per park</w:t>
            </w:r>
          </w:p>
        </w:tc>
      </w:tr>
      <w:tr>
        <w:tc>
          <w:tcPr>
            <w:tcW w:type="dxa" w:w="2351"/>
          </w:tcPr>
          <w:p>
            <w:r/>
            <w:r>
              <w:rPr>
                <w:rFonts w:ascii="Calibri" w:hAnsi="Calibri"/>
                <w:b w:val="0"/>
                <w:i w:val="0"/>
                <w:color w:val="000000"/>
                <w:sz w:val="18"/>
              </w:rPr>
              <w:t>Total quoted in pack</w:t>
            </w:r>
          </w:p>
        </w:tc>
        <w:tc>
          <w:tcPr>
            <w:tcW w:type="dxa" w:w="2351"/>
          </w:tcPr>
          <w:p>
            <w:r/>
            <w:r>
              <w:rPr>
                <w:rFonts w:ascii="Calibri" w:hAnsi="Calibri"/>
                <w:b w:val="0"/>
                <w:i w:val="0"/>
                <w:color w:val="000000"/>
                <w:sz w:val="18"/>
              </w:rPr>
              <w:t>62 named sites</w:t>
            </w:r>
          </w:p>
        </w:tc>
        <w:tc>
          <w:tcPr>
            <w:tcW w:type="dxa" w:w="2351"/>
          </w:tcPr>
          <w:p>
            <w:r/>
            <w:r>
              <w:rPr>
                <w:rFonts w:ascii="Calibri" w:hAnsi="Calibri"/>
                <w:b w:val="0"/>
                <w:i w:val="0"/>
                <w:color w:val="000000"/>
                <w:sz w:val="18"/>
              </w:rPr>
              <w:t>~1,232</w:t>
            </w:r>
          </w:p>
        </w:tc>
        <w:tc>
          <w:tcPr>
            <w:tcW w:type="dxa" w:w="2351"/>
          </w:tcPr>
          <w:p>
            <w:r/>
            <w:r>
              <w:rPr>
                <w:rFonts w:ascii="Calibri" w:hAnsi="Calibri"/>
                <w:b w:val="0"/>
                <w:i w:val="0"/>
                <w:color w:val="000000"/>
                <w:sz w:val="18"/>
              </w:rPr>
              <w:t>See tables below</w:t>
            </w:r>
          </w:p>
        </w:tc>
      </w:tr>
    </w:tbl>
    <w:p/>
    <w:p>
      <w:pPr>
        <w:jc w:val="both"/>
      </w:pPr>
      <w:r>
        <w:rPr>
          <w:rFonts w:ascii="Calibri" w:hAnsi="Calibri"/>
          <w:b w:val="0"/>
          <w:i w:val="0"/>
          <w:color w:val="000000"/>
          <w:sz w:val="20"/>
        </w:rPr>
        <w:t>Galascope parks are included in Schedule 1 Group 2 (Esperia) and have a separate LOI (LCY-LOI-GAL-B1-2026-R15). The nine pipeline parks are not yet in Schedule 1 but are named in the Esperia pipeline LOI and become Protected Projects when originated by the Consultant.</w:t>
      </w:r>
    </w:p>
    <w:p>
      <w:pPr>
        <w:spacing w:before="240"/>
      </w:pPr>
      <w:r>
        <w:rPr>
          <w:rFonts w:ascii="Calibri" w:hAnsi="Calibri"/>
          <w:b/>
          <w:i w:val="0"/>
          <w:color w:val="C9A432"/>
          <w:sz w:val="24"/>
        </w:rPr>
        <w:t>2. Schedule 1 — Existing Project (51 parks) — by client group</w:t>
      </w:r>
    </w:p>
    <w:p>
      <w:pPr>
        <w:jc w:val="both"/>
      </w:pPr>
      <w:r>
        <w:rPr>
          <w:rFonts w:ascii="Calibri" w:hAnsi="Calibri"/>
          <w:b w:val="0"/>
          <w:i w:val="0"/>
          <w:color w:val="000000"/>
          <w:sz w:val="20"/>
        </w:rPr>
        <w:t>Full legal list is in Part 2 of this pack (Consultancy Agreement Schedule 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65D" w:val="clear"/>
          </w:tcPr>
          <w:p>
            <w:r/>
            <w:r>
              <w:rPr>
                <w:rFonts w:ascii="Calibri" w:hAnsi="Calibri"/>
                <w:b/>
                <w:i w:val="0"/>
                <w:color w:val="FFFFFF"/>
                <w:sz w:val="18"/>
              </w:rPr>
              <w:t>Grp</w:t>
            </w:r>
          </w:p>
        </w:tc>
        <w:tc>
          <w:tcPr>
            <w:tcW w:type="dxa" w:w="1881"/>
            <w:shd w:fill="1A365D" w:val="clear"/>
          </w:tcPr>
          <w:p>
            <w:r/>
            <w:r>
              <w:rPr>
                <w:rFonts w:ascii="Calibri" w:hAnsi="Calibri"/>
                <w:b/>
                <w:i w:val="0"/>
                <w:color w:val="FFFFFF"/>
                <w:sz w:val="18"/>
              </w:rPr>
              <w:t>Principal client</w:t>
            </w:r>
          </w:p>
        </w:tc>
        <w:tc>
          <w:tcPr>
            <w:tcW w:type="dxa" w:w="1881"/>
            <w:shd w:fill="1A365D" w:val="clear"/>
          </w:tcPr>
          <w:p>
            <w:r/>
            <w:r>
              <w:rPr>
                <w:rFonts w:ascii="Calibri" w:hAnsi="Calibri"/>
                <w:b/>
                <w:i w:val="0"/>
                <w:color w:val="FFFFFF"/>
                <w:sz w:val="18"/>
              </w:rPr>
              <w:t>Parks</w:t>
            </w:r>
          </w:p>
        </w:tc>
        <w:tc>
          <w:tcPr>
            <w:tcW w:type="dxa" w:w="1881"/>
            <w:shd w:fill="1A365D" w:val="clear"/>
          </w:tcPr>
          <w:p>
            <w:r/>
            <w:r>
              <w:rPr>
                <w:rFonts w:ascii="Calibri" w:hAnsi="Calibri"/>
                <w:b/>
                <w:i w:val="0"/>
                <w:color w:val="FFFFFF"/>
                <w:sz w:val="18"/>
              </w:rPr>
              <w:t>MWh</w:t>
            </w:r>
          </w:p>
        </w:tc>
        <w:tc>
          <w:tcPr>
            <w:tcW w:type="dxa" w:w="1881"/>
            <w:shd w:fill="1A365D" w:val="clear"/>
          </w:tcPr>
          <w:p>
            <w:r/>
            <w:r>
              <w:rPr>
                <w:rFonts w:ascii="Calibri" w:hAnsi="Calibri"/>
                <w:b/>
                <w:i w:val="0"/>
                <w:color w:val="FFFFFF"/>
                <w:sz w:val="18"/>
              </w:rPr>
              <w:t>Affiliated parks / entities (quoted)</w:t>
            </w:r>
          </w:p>
        </w:tc>
      </w:tr>
      <w:tr>
        <w:tc>
          <w:tcPr>
            <w:tcW w:type="dxa" w:w="1881"/>
          </w:tcPr>
          <w:p>
            <w:r/>
            <w:r>
              <w:rPr>
                <w:rFonts w:ascii="Calibri" w:hAnsi="Calibri"/>
                <w:b w:val="0"/>
                <w:i w:val="0"/>
                <w:color w:val="000000"/>
                <w:sz w:val="18"/>
              </w:rPr>
              <w:t>G1</w:t>
            </w:r>
          </w:p>
        </w:tc>
        <w:tc>
          <w:tcPr>
            <w:tcW w:type="dxa" w:w="1881"/>
          </w:tcPr>
          <w:p>
            <w:r/>
            <w:r>
              <w:rPr>
                <w:rFonts w:ascii="Calibri" w:hAnsi="Calibri"/>
                <w:b w:val="0"/>
                <w:i w:val="0"/>
                <w:color w:val="000000"/>
                <w:sz w:val="18"/>
              </w:rPr>
              <w:t>ABIO Power Ltd (Iacovos Charalambous)</w:t>
            </w:r>
          </w:p>
        </w:tc>
        <w:tc>
          <w:tcPr>
            <w:tcW w:type="dxa" w:w="1881"/>
          </w:tcPr>
          <w:p>
            <w:r/>
            <w:r>
              <w:rPr>
                <w:rFonts w:ascii="Calibri" w:hAnsi="Calibri"/>
                <w:b w:val="0"/>
                <w:i w:val="0"/>
                <w:color w:val="000000"/>
                <w:sz w:val="18"/>
              </w:rPr>
              <w:t>25</w:t>
            </w:r>
          </w:p>
        </w:tc>
        <w:tc>
          <w:tcPr>
            <w:tcW w:type="dxa" w:w="1881"/>
          </w:tcPr>
          <w:p>
            <w:r/>
            <w:r>
              <w:rPr>
                <w:rFonts w:ascii="Calibri" w:hAnsi="Calibri"/>
                <w:b w:val="0"/>
                <w:i w:val="0"/>
                <w:color w:val="000000"/>
                <w:sz w:val="18"/>
              </w:rPr>
              <w:t>430.3</w:t>
            </w:r>
          </w:p>
        </w:tc>
        <w:tc>
          <w:tcPr>
            <w:tcW w:type="dxa" w:w="1881"/>
          </w:tcPr>
          <w:p>
            <w:r/>
            <w:r>
              <w:rPr>
                <w:rFonts w:ascii="Calibri" w:hAnsi="Calibri"/>
                <w:b w:val="0"/>
                <w:i w:val="0"/>
                <w:color w:val="000000"/>
                <w:sz w:val="18"/>
              </w:rPr>
              <w:t>Greendorado (Agrivoltaic, Larnaca 1/2), Agios Sozomenos, Dianary 1–3, ELESTORE 1–5, Easy Power 1–4, Polemi, Potamia (p151, p208), Renergetic 1–2, Solarity, Solartech 3 Ext, Waneron</w:t>
            </w:r>
          </w:p>
        </w:tc>
      </w:tr>
      <w:tr>
        <w:tc>
          <w:tcPr>
            <w:tcW w:type="dxa" w:w="1881"/>
          </w:tcPr>
          <w:p>
            <w:r/>
            <w:r>
              <w:rPr>
                <w:rFonts w:ascii="Calibri" w:hAnsi="Calibri"/>
                <w:b w:val="0"/>
                <w:i w:val="0"/>
                <w:color w:val="000000"/>
                <w:sz w:val="18"/>
              </w:rPr>
              <w:t>G2</w:t>
            </w:r>
          </w:p>
        </w:tc>
        <w:tc>
          <w:tcPr>
            <w:tcW w:type="dxa" w:w="1881"/>
          </w:tcPr>
          <w:p>
            <w:r/>
            <w:r>
              <w:rPr>
                <w:rFonts w:ascii="Calibri" w:hAnsi="Calibri"/>
                <w:b w:val="0"/>
                <w:i w:val="0"/>
                <w:color w:val="000000"/>
                <w:sz w:val="18"/>
              </w:rPr>
              <w:t>Esperia Energy Group (Dino Constantinou)</w:t>
            </w:r>
          </w:p>
        </w:tc>
        <w:tc>
          <w:tcPr>
            <w:tcW w:type="dxa" w:w="1881"/>
          </w:tcPr>
          <w:p>
            <w:r/>
            <w:r>
              <w:rPr>
                <w:rFonts w:ascii="Calibri" w:hAnsi="Calibri"/>
                <w:b w:val="0"/>
                <w:i w:val="0"/>
                <w:color w:val="000000"/>
                <w:sz w:val="18"/>
              </w:rPr>
              <w:t>11</w:t>
            </w:r>
          </w:p>
        </w:tc>
        <w:tc>
          <w:tcPr>
            <w:tcW w:type="dxa" w:w="1881"/>
          </w:tcPr>
          <w:p>
            <w:r/>
            <w:r>
              <w:rPr>
                <w:rFonts w:ascii="Calibri" w:hAnsi="Calibri"/>
                <w:b w:val="0"/>
                <w:i w:val="0"/>
                <w:color w:val="000000"/>
                <w:sz w:val="18"/>
              </w:rPr>
              <w:t>310.5</w:t>
            </w:r>
          </w:p>
        </w:tc>
        <w:tc>
          <w:tcPr>
            <w:tcW w:type="dxa" w:w="1881"/>
          </w:tcPr>
          <w:p>
            <w:r/>
            <w:r>
              <w:rPr>
                <w:rFonts w:ascii="Calibri" w:hAnsi="Calibri"/>
                <w:b w:val="0"/>
                <w:i w:val="0"/>
                <w:color w:val="000000"/>
                <w:sz w:val="18"/>
              </w:rPr>
              <w:t>Esperia Famagusta 1–2, Frenaros, Limassol, Tseri 1, Tseri 2a/2b/2c/3, Galascope 1, Galascope 2</w:t>
            </w:r>
          </w:p>
        </w:tc>
      </w:tr>
      <w:tr>
        <w:tc>
          <w:tcPr>
            <w:tcW w:type="dxa" w:w="1881"/>
          </w:tcPr>
          <w:p>
            <w:r/>
            <w:r>
              <w:rPr>
                <w:rFonts w:ascii="Calibri" w:hAnsi="Calibri"/>
                <w:b w:val="0"/>
                <w:i w:val="0"/>
                <w:color w:val="000000"/>
                <w:sz w:val="18"/>
              </w:rPr>
              <w:t>G3</w:t>
            </w:r>
          </w:p>
        </w:tc>
        <w:tc>
          <w:tcPr>
            <w:tcW w:type="dxa" w:w="1881"/>
          </w:tcPr>
          <w:p>
            <w:r/>
            <w:r>
              <w:rPr>
                <w:rFonts w:ascii="Calibri" w:hAnsi="Calibri"/>
                <w:b w:val="0"/>
                <w:i w:val="0"/>
                <w:color w:val="000000"/>
                <w:sz w:val="18"/>
              </w:rPr>
              <w:t>Lampros Andreadis</w:t>
            </w:r>
          </w:p>
        </w:tc>
        <w:tc>
          <w:tcPr>
            <w:tcW w:type="dxa" w:w="1881"/>
          </w:tcPr>
          <w:p>
            <w:r/>
            <w:r>
              <w:rPr>
                <w:rFonts w:ascii="Calibri" w:hAnsi="Calibri"/>
                <w:b w:val="0"/>
                <w:i w:val="0"/>
                <w:color w:val="000000"/>
                <w:sz w:val="18"/>
              </w:rPr>
              <w:t>2</w:t>
            </w:r>
          </w:p>
        </w:tc>
        <w:tc>
          <w:tcPr>
            <w:tcW w:type="dxa" w:w="1881"/>
          </w:tcPr>
          <w:p>
            <w:r/>
            <w:r>
              <w:rPr>
                <w:rFonts w:ascii="Calibri" w:hAnsi="Calibri"/>
                <w:b w:val="0"/>
                <w:i w:val="0"/>
                <w:color w:val="000000"/>
                <w:sz w:val="18"/>
              </w:rPr>
              <w:t>15.0</w:t>
            </w:r>
          </w:p>
        </w:tc>
        <w:tc>
          <w:tcPr>
            <w:tcW w:type="dxa" w:w="1881"/>
          </w:tcPr>
          <w:p>
            <w:r/>
            <w:r>
              <w:rPr>
                <w:rFonts w:ascii="Calibri" w:hAnsi="Calibri"/>
                <w:b w:val="0"/>
                <w:i w:val="0"/>
                <w:color w:val="000000"/>
                <w:sz w:val="18"/>
              </w:rPr>
              <w:t>Classone Solar Breeze Ltd, Classone Solar Garden Ltd</w:t>
            </w:r>
          </w:p>
        </w:tc>
      </w:tr>
      <w:tr>
        <w:tc>
          <w:tcPr>
            <w:tcW w:type="dxa" w:w="1881"/>
          </w:tcPr>
          <w:p>
            <w:r/>
            <w:r>
              <w:rPr>
                <w:rFonts w:ascii="Calibri" w:hAnsi="Calibri"/>
                <w:b w:val="0"/>
                <w:i w:val="0"/>
                <w:color w:val="000000"/>
                <w:sz w:val="18"/>
              </w:rPr>
              <w:t>G4</w:t>
            </w:r>
          </w:p>
        </w:tc>
        <w:tc>
          <w:tcPr>
            <w:tcW w:type="dxa" w:w="1881"/>
          </w:tcPr>
          <w:p>
            <w:r/>
            <w:r>
              <w:rPr>
                <w:rFonts w:ascii="Calibri" w:hAnsi="Calibri"/>
                <w:b w:val="0"/>
                <w:i w:val="0"/>
                <w:color w:val="000000"/>
                <w:sz w:val="18"/>
              </w:rPr>
              <w:t>A Kerasi Ltd (Timotheos Timotheou)</w:t>
            </w:r>
          </w:p>
        </w:tc>
        <w:tc>
          <w:tcPr>
            <w:tcW w:type="dxa" w:w="1881"/>
          </w:tcPr>
          <w:p>
            <w:r/>
            <w:r>
              <w:rPr>
                <w:rFonts w:ascii="Calibri" w:hAnsi="Calibri"/>
                <w:b w:val="0"/>
                <w:i w:val="0"/>
                <w:color w:val="000000"/>
                <w:sz w:val="18"/>
              </w:rPr>
              <w:t>3</w:t>
            </w:r>
          </w:p>
        </w:tc>
        <w:tc>
          <w:tcPr>
            <w:tcW w:type="dxa" w:w="1881"/>
          </w:tcPr>
          <w:p>
            <w:r/>
            <w:r>
              <w:rPr>
                <w:rFonts w:ascii="Calibri" w:hAnsi="Calibri"/>
                <w:b w:val="0"/>
                <w:i w:val="0"/>
                <w:color w:val="000000"/>
                <w:sz w:val="18"/>
              </w:rPr>
              <w:t>20.0</w:t>
            </w:r>
          </w:p>
        </w:tc>
        <w:tc>
          <w:tcPr>
            <w:tcW w:type="dxa" w:w="1881"/>
          </w:tcPr>
          <w:p>
            <w:r/>
            <w:r>
              <w:rPr>
                <w:rFonts w:ascii="Calibri" w:hAnsi="Calibri"/>
                <w:b w:val="0"/>
                <w:i w:val="0"/>
                <w:color w:val="000000"/>
                <w:sz w:val="18"/>
              </w:rPr>
              <w:t>Paphos 1, Paphos 2, Paphos 3</w:t>
            </w:r>
          </w:p>
        </w:tc>
      </w:tr>
      <w:tr>
        <w:tc>
          <w:tcPr>
            <w:tcW w:type="dxa" w:w="1881"/>
          </w:tcPr>
          <w:p>
            <w:r/>
            <w:r>
              <w:rPr>
                <w:rFonts w:ascii="Calibri" w:hAnsi="Calibri"/>
                <w:b w:val="0"/>
                <w:i w:val="0"/>
                <w:color w:val="000000"/>
                <w:sz w:val="18"/>
              </w:rPr>
              <w:t>G5</w:t>
            </w:r>
          </w:p>
        </w:tc>
        <w:tc>
          <w:tcPr>
            <w:tcW w:type="dxa" w:w="1881"/>
          </w:tcPr>
          <w:p>
            <w:r/>
            <w:r>
              <w:rPr>
                <w:rFonts w:ascii="Calibri" w:hAnsi="Calibri"/>
                <w:b w:val="0"/>
                <w:i w:val="0"/>
                <w:color w:val="000000"/>
                <w:sz w:val="18"/>
              </w:rPr>
              <w:t>Ioannis Karis</w:t>
            </w:r>
          </w:p>
        </w:tc>
        <w:tc>
          <w:tcPr>
            <w:tcW w:type="dxa" w:w="1881"/>
          </w:tcPr>
          <w:p>
            <w:r/>
            <w:r>
              <w:rPr>
                <w:rFonts w:ascii="Calibri" w:hAnsi="Calibri"/>
                <w:b w:val="0"/>
                <w:i w:val="0"/>
                <w:color w:val="000000"/>
                <w:sz w:val="18"/>
              </w:rPr>
              <w:t>1</w:t>
            </w:r>
          </w:p>
        </w:tc>
        <w:tc>
          <w:tcPr>
            <w:tcW w:type="dxa" w:w="1881"/>
          </w:tcPr>
          <w:p>
            <w:r/>
            <w:r>
              <w:rPr>
                <w:rFonts w:ascii="Calibri" w:hAnsi="Calibri"/>
                <w:b w:val="0"/>
                <w:i w:val="0"/>
                <w:color w:val="000000"/>
                <w:sz w:val="18"/>
              </w:rPr>
              <w:t>25.0</w:t>
            </w:r>
          </w:p>
        </w:tc>
        <w:tc>
          <w:tcPr>
            <w:tcW w:type="dxa" w:w="1881"/>
          </w:tcPr>
          <w:p>
            <w:r/>
            <w:r>
              <w:rPr>
                <w:rFonts w:ascii="Calibri" w:hAnsi="Calibri"/>
                <w:b w:val="0"/>
                <w:i w:val="0"/>
                <w:color w:val="000000"/>
                <w:sz w:val="18"/>
              </w:rPr>
              <w:t>My Sun Park (Monargouli)</w:t>
            </w:r>
          </w:p>
        </w:tc>
      </w:tr>
      <w:tr>
        <w:tc>
          <w:tcPr>
            <w:tcW w:type="dxa" w:w="1881"/>
          </w:tcPr>
          <w:p>
            <w:r/>
            <w:r>
              <w:rPr>
                <w:rFonts w:ascii="Calibri" w:hAnsi="Calibri"/>
                <w:b w:val="0"/>
                <w:i w:val="0"/>
                <w:color w:val="000000"/>
                <w:sz w:val="18"/>
              </w:rPr>
              <w:t>G6</w:t>
            </w:r>
          </w:p>
        </w:tc>
        <w:tc>
          <w:tcPr>
            <w:tcW w:type="dxa" w:w="1881"/>
          </w:tcPr>
          <w:p>
            <w:r/>
            <w:r>
              <w:rPr>
                <w:rFonts w:ascii="Calibri" w:hAnsi="Calibri"/>
                <w:b w:val="0"/>
                <w:i w:val="0"/>
                <w:color w:val="000000"/>
                <w:sz w:val="18"/>
              </w:rPr>
              <w:t>Timotheos Timotheou (L&amp;T &amp; AGM)</w:t>
            </w:r>
          </w:p>
        </w:tc>
        <w:tc>
          <w:tcPr>
            <w:tcW w:type="dxa" w:w="1881"/>
          </w:tcPr>
          <w:p>
            <w:r/>
            <w:r>
              <w:rPr>
                <w:rFonts w:ascii="Calibri" w:hAnsi="Calibri"/>
                <w:b w:val="0"/>
                <w:i w:val="0"/>
                <w:color w:val="000000"/>
                <w:sz w:val="18"/>
              </w:rPr>
              <w:t>9</w:t>
            </w:r>
          </w:p>
        </w:tc>
        <w:tc>
          <w:tcPr>
            <w:tcW w:type="dxa" w:w="1881"/>
          </w:tcPr>
          <w:p>
            <w:r/>
            <w:r>
              <w:rPr>
                <w:rFonts w:ascii="Calibri" w:hAnsi="Calibri"/>
                <w:b w:val="0"/>
                <w:i w:val="0"/>
                <w:color w:val="000000"/>
                <w:sz w:val="18"/>
              </w:rPr>
              <w:t>81.0</w:t>
            </w:r>
          </w:p>
        </w:tc>
        <w:tc>
          <w:tcPr>
            <w:tcW w:type="dxa" w:w="1881"/>
          </w:tcPr>
          <w:p>
            <w:r/>
            <w:r>
              <w:rPr>
                <w:rFonts w:ascii="Calibri" w:hAnsi="Calibri"/>
                <w:b w:val="0"/>
                <w:i w:val="0"/>
                <w:color w:val="000000"/>
                <w:sz w:val="18"/>
              </w:rPr>
              <w:t>L&amp;T Res Systems, L&amp;T Solar Power, L&amp;T Sun Energy, L&amp;T Energia, L&amp;T PV Tech, AGM Lightpower, AGM Sunfield 1–3</w:t>
            </w:r>
          </w:p>
        </w:tc>
      </w:tr>
      <w:tr>
        <w:tc>
          <w:tcPr>
            <w:tcW w:type="dxa" w:w="1881"/>
          </w:tcPr>
          <w:p>
            <w:r/>
            <w:r>
              <w:rPr>
                <w:rFonts w:ascii="Calibri" w:hAnsi="Calibri"/>
                <w:b w:val="0"/>
                <w:i w:val="0"/>
                <w:color w:val="000000"/>
                <w:sz w:val="18"/>
              </w:rPr>
            </w:r>
          </w:p>
        </w:tc>
        <w:tc>
          <w:tcPr>
            <w:tcW w:type="dxa" w:w="1881"/>
          </w:tcPr>
          <w:p>
            <w:r/>
            <w:r>
              <w:rPr>
                <w:rFonts w:ascii="Calibri" w:hAnsi="Calibri"/>
                <w:b w:val="0"/>
                <w:i w:val="0"/>
                <w:color w:val="000000"/>
                <w:sz w:val="18"/>
              </w:rPr>
              <w:t>TOTAL</w:t>
            </w:r>
          </w:p>
        </w:tc>
        <w:tc>
          <w:tcPr>
            <w:tcW w:type="dxa" w:w="1881"/>
          </w:tcPr>
          <w:p>
            <w:r/>
            <w:r>
              <w:rPr>
                <w:rFonts w:ascii="Calibri" w:hAnsi="Calibri"/>
                <w:b w:val="0"/>
                <w:i w:val="0"/>
                <w:color w:val="000000"/>
                <w:sz w:val="18"/>
              </w:rPr>
              <w:t>51</w:t>
            </w:r>
          </w:p>
        </w:tc>
        <w:tc>
          <w:tcPr>
            <w:tcW w:type="dxa" w:w="1881"/>
          </w:tcPr>
          <w:p>
            <w:r/>
            <w:r>
              <w:rPr>
                <w:rFonts w:ascii="Calibri" w:hAnsi="Calibri"/>
                <w:b w:val="0"/>
                <w:i w:val="0"/>
                <w:color w:val="000000"/>
                <w:sz w:val="18"/>
              </w:rPr>
              <w:t>~881.78</w:t>
            </w:r>
          </w:p>
        </w:tc>
        <w:tc>
          <w:tcPr>
            <w:tcW w:type="dxa" w:w="1881"/>
          </w:tcPr>
          <w:p>
            <w:r/>
            <w:r>
              <w:rPr>
                <w:rFonts w:ascii="Calibri" w:hAnsi="Calibri"/>
                <w:b w:val="0"/>
                <w:i w:val="0"/>
                <w:color w:val="000000"/>
                <w:sz w:val="18"/>
              </w:rPr>
              <w:t>All subsidiaries / associated projects per group</w:t>
            </w:r>
          </w:p>
        </w:tc>
      </w:tr>
    </w:tbl>
    <w:p/>
    <w:p>
      <w:pPr>
        <w:spacing w:before="240"/>
      </w:pPr>
      <w:r>
        <w:rPr>
          <w:rFonts w:ascii="Calibri" w:hAnsi="Calibri"/>
          <w:b/>
          <w:i w:val="0"/>
          <w:color w:val="C9A432"/>
          <w:sz w:val="24"/>
        </w:rPr>
        <w:t>3. LOI — Galascope Ltd (2 parks) — LCY-LOI-GAL-B1-2026-R15</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1A365D" w:val="clear"/>
          </w:tcPr>
          <w:p>
            <w:r/>
            <w:r>
              <w:rPr>
                <w:rFonts w:ascii="Calibri" w:hAnsi="Calibri"/>
                <w:b/>
                <w:i w:val="0"/>
                <w:color w:val="FFFFFF"/>
                <w:sz w:val="18"/>
              </w:rPr>
              <w:t>Park</w:t>
            </w:r>
          </w:p>
        </w:tc>
        <w:tc>
          <w:tcPr>
            <w:tcW w:type="dxa" w:w="1344"/>
            <w:shd w:fill="1A365D" w:val="clear"/>
          </w:tcPr>
          <w:p>
            <w:r/>
            <w:r>
              <w:rPr>
                <w:rFonts w:ascii="Calibri" w:hAnsi="Calibri"/>
                <w:b/>
                <w:i w:val="0"/>
                <w:color w:val="FFFFFF"/>
                <w:sz w:val="18"/>
              </w:rPr>
              <w:t>District</w:t>
            </w:r>
          </w:p>
        </w:tc>
        <w:tc>
          <w:tcPr>
            <w:tcW w:type="dxa" w:w="1344"/>
            <w:shd w:fill="1A365D" w:val="clear"/>
          </w:tcPr>
          <w:p>
            <w:r/>
            <w:r>
              <w:rPr>
                <w:rFonts w:ascii="Calibri" w:hAnsi="Calibri"/>
                <w:b/>
                <w:i w:val="0"/>
                <w:color w:val="FFFFFF"/>
                <w:sz w:val="18"/>
              </w:rPr>
              <w:t>MW</w:t>
            </w:r>
          </w:p>
        </w:tc>
        <w:tc>
          <w:tcPr>
            <w:tcW w:type="dxa" w:w="1344"/>
            <w:shd w:fill="1A365D" w:val="clear"/>
          </w:tcPr>
          <w:p>
            <w:r/>
            <w:r>
              <w:rPr>
                <w:rFonts w:ascii="Calibri" w:hAnsi="Calibri"/>
                <w:b/>
                <w:i w:val="0"/>
                <w:color w:val="FFFFFF"/>
                <w:sz w:val="18"/>
              </w:rPr>
              <w:t>MWh</w:t>
            </w:r>
          </w:p>
        </w:tc>
        <w:tc>
          <w:tcPr>
            <w:tcW w:type="dxa" w:w="1344"/>
            <w:shd w:fill="1A365D" w:val="clear"/>
          </w:tcPr>
          <w:p>
            <w:r/>
            <w:r>
              <w:rPr>
                <w:rFonts w:ascii="Calibri" w:hAnsi="Calibri"/>
                <w:b/>
                <w:i w:val="0"/>
                <w:color w:val="FFFFFF"/>
                <w:sz w:val="18"/>
              </w:rPr>
              <w:t>Containers</w:t>
            </w:r>
          </w:p>
        </w:tc>
        <w:tc>
          <w:tcPr>
            <w:tcW w:type="dxa" w:w="1344"/>
            <w:shd w:fill="1A365D" w:val="clear"/>
          </w:tcPr>
          <w:p>
            <w:r/>
            <w:r>
              <w:rPr>
                <w:rFonts w:ascii="Calibri" w:hAnsi="Calibri"/>
                <w:b/>
                <w:i w:val="0"/>
                <w:color w:val="FFFFFF"/>
                <w:sz w:val="18"/>
              </w:rPr>
              <w:t>Indicative EPC (EUR)</w:t>
            </w:r>
          </w:p>
        </w:tc>
        <w:tc>
          <w:tcPr>
            <w:tcW w:type="dxa" w:w="1344"/>
            <w:shd w:fill="1A365D" w:val="clear"/>
          </w:tcPr>
          <w:p>
            <w:r/>
            <w:r>
              <w:rPr>
                <w:rFonts w:ascii="Calibri" w:hAnsi="Calibri"/>
                <w:b/>
                <w:i w:val="0"/>
                <w:color w:val="FFFFFF"/>
                <w:sz w:val="18"/>
              </w:rPr>
              <w:t>Status</w:t>
            </w:r>
          </w:p>
        </w:tc>
      </w:tr>
      <w:tr>
        <w:tc>
          <w:tcPr>
            <w:tcW w:type="dxa" w:w="1344"/>
          </w:tcPr>
          <w:p>
            <w:r/>
            <w:r>
              <w:rPr>
                <w:rFonts w:ascii="Calibri" w:hAnsi="Calibri"/>
                <w:b w:val="0"/>
                <w:i w:val="0"/>
                <w:color w:val="000000"/>
                <w:sz w:val="18"/>
              </w:rPr>
              <w:t>Galascope 1</w:t>
            </w:r>
          </w:p>
        </w:tc>
        <w:tc>
          <w:tcPr>
            <w:tcW w:type="dxa" w:w="1344"/>
          </w:tcPr>
          <w:p>
            <w:r/>
            <w:r>
              <w:rPr>
                <w:rFonts w:ascii="Calibri" w:hAnsi="Calibri"/>
                <w:b w:val="0"/>
                <w:i w:val="0"/>
                <w:color w:val="000000"/>
                <w:sz w:val="18"/>
              </w:rPr>
              <w:t>Famagusta</w:t>
            </w:r>
          </w:p>
        </w:tc>
        <w:tc>
          <w:tcPr>
            <w:tcW w:type="dxa" w:w="1344"/>
          </w:tcPr>
          <w:p>
            <w:r/>
            <w:r>
              <w:rPr>
                <w:rFonts w:ascii="Calibri" w:hAnsi="Calibri"/>
                <w:b w:val="0"/>
                <w:i w:val="0"/>
                <w:color w:val="000000"/>
                <w:sz w:val="18"/>
              </w:rPr>
              <w:t>5.0</w:t>
            </w:r>
          </w:p>
        </w:tc>
        <w:tc>
          <w:tcPr>
            <w:tcW w:type="dxa" w:w="1344"/>
          </w:tcPr>
          <w:p>
            <w:r/>
            <w:r>
              <w:rPr>
                <w:rFonts w:ascii="Calibri" w:hAnsi="Calibri"/>
                <w:b w:val="0"/>
                <w:i w:val="0"/>
                <w:color w:val="000000"/>
                <w:sz w:val="18"/>
              </w:rPr>
              <w:t>20</w:t>
            </w:r>
          </w:p>
        </w:tc>
        <w:tc>
          <w:tcPr>
            <w:tcW w:type="dxa" w:w="1344"/>
          </w:tcPr>
          <w:p>
            <w:r/>
            <w:r>
              <w:rPr>
                <w:rFonts w:ascii="Calibri" w:hAnsi="Calibri"/>
                <w:b w:val="0"/>
                <w:i w:val="0"/>
                <w:color w:val="000000"/>
                <w:sz w:val="18"/>
              </w:rPr>
              <w:t>5</w:t>
            </w:r>
          </w:p>
        </w:tc>
        <w:tc>
          <w:tcPr>
            <w:tcW w:type="dxa" w:w="1344"/>
          </w:tcPr>
          <w:p>
            <w:r/>
            <w:r>
              <w:rPr>
                <w:rFonts w:ascii="Calibri" w:hAnsi="Calibri"/>
                <w:b w:val="0"/>
                <w:i w:val="0"/>
                <w:color w:val="000000"/>
                <w:sz w:val="18"/>
              </w:rPr>
              <w:t>2,238,000</w:t>
            </w:r>
          </w:p>
        </w:tc>
        <w:tc>
          <w:tcPr>
            <w:tcW w:type="dxa" w:w="1344"/>
          </w:tcPr>
          <w:p>
            <w:r/>
            <w:r>
              <w:rPr>
                <w:rFonts w:ascii="Calibri" w:hAnsi="Calibri"/>
                <w:b w:val="0"/>
                <w:i w:val="0"/>
                <w:color w:val="000000"/>
                <w:sz w:val="18"/>
              </w:rPr>
              <w:t>LOI quoted — locked €/MWh</w:t>
            </w:r>
          </w:p>
        </w:tc>
      </w:tr>
      <w:tr>
        <w:tc>
          <w:tcPr>
            <w:tcW w:type="dxa" w:w="1344"/>
          </w:tcPr>
          <w:p>
            <w:r/>
            <w:r>
              <w:rPr>
                <w:rFonts w:ascii="Calibri" w:hAnsi="Calibri"/>
                <w:b w:val="0"/>
                <w:i w:val="0"/>
                <w:color w:val="000000"/>
                <w:sz w:val="18"/>
              </w:rPr>
              <w:t>Galascope 2</w:t>
            </w:r>
          </w:p>
        </w:tc>
        <w:tc>
          <w:tcPr>
            <w:tcW w:type="dxa" w:w="1344"/>
          </w:tcPr>
          <w:p>
            <w:r/>
            <w:r>
              <w:rPr>
                <w:rFonts w:ascii="Calibri" w:hAnsi="Calibri"/>
                <w:b w:val="0"/>
                <w:i w:val="0"/>
                <w:color w:val="000000"/>
                <w:sz w:val="18"/>
              </w:rPr>
              <w:t>Famagusta</w:t>
            </w:r>
          </w:p>
        </w:tc>
        <w:tc>
          <w:tcPr>
            <w:tcW w:type="dxa" w:w="1344"/>
          </w:tcPr>
          <w:p>
            <w:r/>
            <w:r>
              <w:rPr>
                <w:rFonts w:ascii="Calibri" w:hAnsi="Calibri"/>
                <w:b w:val="0"/>
                <w:i w:val="0"/>
                <w:color w:val="000000"/>
                <w:sz w:val="18"/>
              </w:rPr>
              <w:t>2.5</w:t>
            </w:r>
          </w:p>
        </w:tc>
        <w:tc>
          <w:tcPr>
            <w:tcW w:type="dxa" w:w="1344"/>
          </w:tcPr>
          <w:p>
            <w:r/>
            <w:r>
              <w:rPr>
                <w:rFonts w:ascii="Calibri" w:hAnsi="Calibri"/>
                <w:b w:val="0"/>
                <w:i w:val="0"/>
                <w:color w:val="000000"/>
                <w:sz w:val="18"/>
              </w:rPr>
              <w:t>10</w:t>
            </w:r>
          </w:p>
        </w:tc>
        <w:tc>
          <w:tcPr>
            <w:tcW w:type="dxa" w:w="1344"/>
          </w:tcPr>
          <w:p>
            <w:r/>
            <w:r>
              <w:rPr>
                <w:rFonts w:ascii="Calibri" w:hAnsi="Calibri"/>
                <w:b w:val="0"/>
                <w:i w:val="0"/>
                <w:color w:val="000000"/>
                <w:sz w:val="18"/>
              </w:rPr>
              <w:t>3</w:t>
            </w:r>
          </w:p>
        </w:tc>
        <w:tc>
          <w:tcPr>
            <w:tcW w:type="dxa" w:w="1344"/>
          </w:tcPr>
          <w:p>
            <w:r/>
            <w:r>
              <w:rPr>
                <w:rFonts w:ascii="Calibri" w:hAnsi="Calibri"/>
                <w:b w:val="0"/>
                <w:i w:val="0"/>
                <w:color w:val="000000"/>
                <w:sz w:val="18"/>
              </w:rPr>
              <w:t>1,206,300</w:t>
            </w:r>
          </w:p>
        </w:tc>
        <w:tc>
          <w:tcPr>
            <w:tcW w:type="dxa" w:w="1344"/>
          </w:tcPr>
          <w:p>
            <w:r/>
            <w:r>
              <w:rPr>
                <w:rFonts w:ascii="Calibri" w:hAnsi="Calibri"/>
                <w:b w:val="0"/>
                <w:i w:val="0"/>
                <w:color w:val="000000"/>
                <w:sz w:val="18"/>
              </w:rPr>
              <w:t>LOI quoted — locked €/MWh</w:t>
            </w:r>
          </w:p>
        </w:tc>
      </w:tr>
      <w:tr>
        <w:tc>
          <w:tcPr>
            <w:tcW w:type="dxa" w:w="1344"/>
          </w:tcPr>
          <w:p>
            <w:r/>
            <w:r>
              <w:rPr>
                <w:rFonts w:ascii="Calibri" w:hAnsi="Calibri"/>
                <w:b w:val="0"/>
                <w:i w:val="0"/>
                <w:color w:val="000000"/>
                <w:sz w:val="18"/>
              </w:rPr>
            </w:r>
          </w:p>
        </w:tc>
        <w:tc>
          <w:tcPr>
            <w:tcW w:type="dxa" w:w="1344"/>
          </w:tcPr>
          <w:p>
            <w:r/>
            <w:r>
              <w:rPr>
                <w:rFonts w:ascii="Calibri" w:hAnsi="Calibri"/>
                <w:b w:val="0"/>
                <w:i w:val="0"/>
                <w:color w:val="000000"/>
                <w:sz w:val="18"/>
              </w:rPr>
              <w:t>Total</w:t>
            </w:r>
          </w:p>
        </w:tc>
        <w:tc>
          <w:tcPr>
            <w:tcW w:type="dxa" w:w="1344"/>
          </w:tcPr>
          <w:p>
            <w:r/>
            <w:r>
              <w:rPr>
                <w:rFonts w:ascii="Calibri" w:hAnsi="Calibri"/>
                <w:b w:val="0"/>
                <w:i w:val="0"/>
                <w:color w:val="000000"/>
                <w:sz w:val="18"/>
              </w:rPr>
              <w:t>7.5</w:t>
            </w:r>
          </w:p>
        </w:tc>
        <w:tc>
          <w:tcPr>
            <w:tcW w:type="dxa" w:w="1344"/>
          </w:tcPr>
          <w:p>
            <w:r/>
            <w:r>
              <w:rPr>
                <w:rFonts w:ascii="Calibri" w:hAnsi="Calibri"/>
                <w:b w:val="0"/>
                <w:i w:val="0"/>
                <w:color w:val="000000"/>
                <w:sz w:val="18"/>
              </w:rPr>
              <w:t>30</w:t>
            </w:r>
          </w:p>
        </w:tc>
        <w:tc>
          <w:tcPr>
            <w:tcW w:type="dxa" w:w="1344"/>
          </w:tcPr>
          <w:p>
            <w:r/>
            <w:r>
              <w:rPr>
                <w:rFonts w:ascii="Calibri" w:hAnsi="Calibri"/>
                <w:b w:val="0"/>
                <w:i w:val="0"/>
                <w:color w:val="000000"/>
                <w:sz w:val="18"/>
              </w:rPr>
              <w:t>8</w:t>
            </w:r>
          </w:p>
        </w:tc>
        <w:tc>
          <w:tcPr>
            <w:tcW w:type="dxa" w:w="1344"/>
          </w:tcPr>
          <w:p>
            <w:r/>
            <w:r>
              <w:rPr>
                <w:rFonts w:ascii="Calibri" w:hAnsi="Calibri"/>
                <w:b w:val="0"/>
                <w:i w:val="0"/>
                <w:color w:val="000000"/>
                <w:sz w:val="18"/>
              </w:rPr>
              <w:t>3,444,300</w:t>
            </w:r>
          </w:p>
        </w:tc>
        <w:tc>
          <w:tcPr>
            <w:tcW w:type="dxa" w:w="1344"/>
          </w:tcPr>
          <w:p>
            <w:r/>
            <w:r>
              <w:rPr>
                <w:rFonts w:ascii="Calibri" w:hAnsi="Calibri"/>
                <w:b w:val="0"/>
                <w:i w:val="0"/>
                <w:color w:val="000000"/>
                <w:sz w:val="18"/>
              </w:rPr>
              <w:t>EPC ref LCY-EPC-GAL-B1-2026</w:t>
            </w:r>
          </w:p>
        </w:tc>
      </w:tr>
    </w:tbl>
    <w:p/>
    <w:p>
      <w:pPr>
        <w:jc w:val="both"/>
      </w:pPr>
      <w:r>
        <w:rPr>
          <w:rFonts w:ascii="Calibri" w:hAnsi="Calibri"/>
          <w:b w:val="0"/>
          <w:i w:val="0"/>
          <w:color w:val="000000"/>
          <w:sz w:val="20"/>
        </w:rPr>
        <w:t>Equity side letter: 10% MD grant on Galascope EPC Effective Date.</w:t>
      </w:r>
    </w:p>
    <w:p>
      <w:pPr>
        <w:jc w:val="both"/>
      </w:pPr>
      <w:r>
        <w:rPr>
          <w:rFonts w:ascii="Calibri" w:hAnsi="Calibri"/>
          <w:b w:val="0"/>
          <w:i w:val="0"/>
          <w:color w:val="000000"/>
          <w:sz w:val="20"/>
        </w:rPr>
        <w:t>Employment: €5,000 gross/month from same date.</w:t>
      </w:r>
    </w:p>
    <w:p>
      <w:pPr>
        <w:spacing w:before="240"/>
      </w:pPr>
      <w:r>
        <w:rPr>
          <w:rFonts w:ascii="Calibri" w:hAnsi="Calibri"/>
          <w:b/>
          <w:i w:val="0"/>
          <w:color w:val="C9A432"/>
          <w:sz w:val="24"/>
        </w:rPr>
        <w:t>4. LOI — Esperia Energy pipeline (9 parks) — LCY-LOI-ESP-PIPELINE-2026-R15</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1A365D" w:val="clear"/>
          </w:tcPr>
          <w:p>
            <w:r/>
            <w:r>
              <w:rPr>
                <w:rFonts w:ascii="Calibri" w:hAnsi="Calibri"/>
                <w:b/>
                <w:i w:val="0"/>
                <w:color w:val="FFFFFF"/>
                <w:sz w:val="18"/>
              </w:rPr>
              <w:t>Batch</w:t>
            </w:r>
          </w:p>
        </w:tc>
        <w:tc>
          <w:tcPr>
            <w:tcW w:type="dxa" w:w="1344"/>
            <w:shd w:fill="1A365D" w:val="clear"/>
          </w:tcPr>
          <w:p>
            <w:r/>
            <w:r>
              <w:rPr>
                <w:rFonts w:ascii="Calibri" w:hAnsi="Calibri"/>
                <w:b/>
                <w:i w:val="0"/>
                <w:color w:val="FFFFFF"/>
                <w:sz w:val="18"/>
              </w:rPr>
              <w:t>Park (LOI name)</w:t>
            </w:r>
          </w:p>
        </w:tc>
        <w:tc>
          <w:tcPr>
            <w:tcW w:type="dxa" w:w="1344"/>
            <w:shd w:fill="1A365D" w:val="clear"/>
          </w:tcPr>
          <w:p>
            <w:r/>
            <w:r>
              <w:rPr>
                <w:rFonts w:ascii="Calibri" w:hAnsi="Calibri"/>
                <w:b/>
                <w:i w:val="0"/>
                <w:color w:val="FFFFFF"/>
                <w:sz w:val="18"/>
              </w:rPr>
              <w:t>District</w:t>
            </w:r>
          </w:p>
        </w:tc>
        <w:tc>
          <w:tcPr>
            <w:tcW w:type="dxa" w:w="1344"/>
            <w:shd w:fill="1A365D" w:val="clear"/>
          </w:tcPr>
          <w:p>
            <w:r/>
            <w:r>
              <w:rPr>
                <w:rFonts w:ascii="Calibri" w:hAnsi="Calibri"/>
                <w:b/>
                <w:i w:val="0"/>
                <w:color w:val="FFFFFF"/>
                <w:sz w:val="18"/>
              </w:rPr>
              <w:t>MW</w:t>
            </w:r>
          </w:p>
        </w:tc>
        <w:tc>
          <w:tcPr>
            <w:tcW w:type="dxa" w:w="1344"/>
            <w:shd w:fill="1A365D" w:val="clear"/>
          </w:tcPr>
          <w:p>
            <w:r/>
            <w:r>
              <w:rPr>
                <w:rFonts w:ascii="Calibri" w:hAnsi="Calibri"/>
                <w:b/>
                <w:i w:val="0"/>
                <w:color w:val="FFFFFF"/>
                <w:sz w:val="18"/>
              </w:rPr>
              <w:t>MWh</w:t>
            </w:r>
          </w:p>
        </w:tc>
        <w:tc>
          <w:tcPr>
            <w:tcW w:type="dxa" w:w="1344"/>
            <w:shd w:fill="1A365D" w:val="clear"/>
          </w:tcPr>
          <w:p>
            <w:r/>
            <w:r>
              <w:rPr>
                <w:rFonts w:ascii="Calibri" w:hAnsi="Calibri"/>
                <w:b/>
                <w:i w:val="0"/>
                <w:color w:val="FFFFFF"/>
                <w:sz w:val="18"/>
              </w:rPr>
              <w:t>Delivery</w:t>
            </w:r>
          </w:p>
        </w:tc>
        <w:tc>
          <w:tcPr>
            <w:tcW w:type="dxa" w:w="1344"/>
            <w:shd w:fill="1A365D" w:val="clear"/>
          </w:tcPr>
          <w:p>
            <w:r/>
            <w:r>
              <w:rPr>
                <w:rFonts w:ascii="Calibri" w:hAnsi="Calibri"/>
                <w:b/>
                <w:i w:val="0"/>
                <w:color w:val="FFFFFF"/>
                <w:sz w:val="18"/>
              </w:rPr>
              <w:t>Indicative EPC (EUR)</w:t>
            </w:r>
          </w:p>
        </w:tc>
      </w:tr>
      <w:tr>
        <w:tc>
          <w:tcPr>
            <w:tcW w:type="dxa" w:w="1344"/>
          </w:tcPr>
          <w:p>
            <w:r/>
            <w:r>
              <w:rPr>
                <w:rFonts w:ascii="Calibri" w:hAnsi="Calibri"/>
                <w:b w:val="0"/>
                <w:i w:val="0"/>
                <w:color w:val="000000"/>
                <w:sz w:val="18"/>
              </w:rPr>
              <w:t>1 — 2026</w:t>
            </w:r>
          </w:p>
        </w:tc>
        <w:tc>
          <w:tcPr>
            <w:tcW w:type="dxa" w:w="1344"/>
          </w:tcPr>
          <w:p>
            <w:r/>
            <w:r>
              <w:rPr>
                <w:rFonts w:ascii="Calibri" w:hAnsi="Calibri"/>
                <w:b w:val="0"/>
                <w:i w:val="0"/>
                <w:color w:val="000000"/>
                <w:sz w:val="18"/>
              </w:rPr>
              <w:t>Esperia Energy (Tseri)</w:t>
            </w:r>
          </w:p>
        </w:tc>
        <w:tc>
          <w:tcPr>
            <w:tcW w:type="dxa" w:w="1344"/>
          </w:tcPr>
          <w:p>
            <w:r/>
            <w:r>
              <w:rPr>
                <w:rFonts w:ascii="Calibri" w:hAnsi="Calibri"/>
                <w:b w:val="0"/>
                <w:i w:val="0"/>
                <w:color w:val="000000"/>
                <w:sz w:val="18"/>
              </w:rPr>
              <w:t>Nicosia</w:t>
            </w:r>
          </w:p>
        </w:tc>
        <w:tc>
          <w:tcPr>
            <w:tcW w:type="dxa" w:w="1344"/>
          </w:tcPr>
          <w:p>
            <w:r/>
            <w:r>
              <w:rPr>
                <w:rFonts w:ascii="Calibri" w:hAnsi="Calibri"/>
                <w:b w:val="0"/>
                <w:i w:val="0"/>
                <w:color w:val="000000"/>
                <w:sz w:val="18"/>
              </w:rPr>
              <w:t>7.2</w:t>
            </w:r>
          </w:p>
        </w:tc>
        <w:tc>
          <w:tcPr>
            <w:tcW w:type="dxa" w:w="1344"/>
          </w:tcPr>
          <w:p>
            <w:r/>
            <w:r>
              <w:rPr>
                <w:rFonts w:ascii="Calibri" w:hAnsi="Calibri"/>
                <w:b w:val="0"/>
                <w:i w:val="0"/>
                <w:color w:val="000000"/>
                <w:sz w:val="18"/>
              </w:rPr>
              <w:t>25</w:t>
            </w:r>
          </w:p>
        </w:tc>
        <w:tc>
          <w:tcPr>
            <w:tcW w:type="dxa" w:w="1344"/>
          </w:tcPr>
          <w:p>
            <w:r/>
            <w:r>
              <w:rPr>
                <w:rFonts w:ascii="Calibri" w:hAnsi="Calibri"/>
                <w:b w:val="0"/>
                <w:i w:val="0"/>
                <w:color w:val="000000"/>
                <w:sz w:val="18"/>
              </w:rPr>
              <w:t>2026</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t>1</w:t>
            </w:r>
          </w:p>
        </w:tc>
        <w:tc>
          <w:tcPr>
            <w:tcW w:type="dxa" w:w="1344"/>
          </w:tcPr>
          <w:p>
            <w:r/>
            <w:r>
              <w:rPr>
                <w:rFonts w:ascii="Calibri" w:hAnsi="Calibri"/>
                <w:b w:val="0"/>
                <w:i w:val="0"/>
                <w:color w:val="000000"/>
                <w:sz w:val="18"/>
              </w:rPr>
              <w:t>Esperia Energy (Tseri 2-A)</w:t>
            </w:r>
          </w:p>
        </w:tc>
        <w:tc>
          <w:tcPr>
            <w:tcW w:type="dxa" w:w="1344"/>
          </w:tcPr>
          <w:p>
            <w:r/>
            <w:r>
              <w:rPr>
                <w:rFonts w:ascii="Calibri" w:hAnsi="Calibri"/>
                <w:b w:val="0"/>
                <w:i w:val="0"/>
                <w:color w:val="000000"/>
                <w:sz w:val="18"/>
              </w:rPr>
              <w:t>Nicosia</w:t>
            </w:r>
          </w:p>
        </w:tc>
        <w:tc>
          <w:tcPr>
            <w:tcW w:type="dxa" w:w="1344"/>
          </w:tcPr>
          <w:p>
            <w:r/>
            <w:r>
              <w:rPr>
                <w:rFonts w:ascii="Calibri" w:hAnsi="Calibri"/>
                <w:b w:val="0"/>
                <w:i w:val="0"/>
                <w:color w:val="000000"/>
                <w:sz w:val="18"/>
              </w:rPr>
              <w:t>2.75</w:t>
            </w:r>
          </w:p>
        </w:tc>
        <w:tc>
          <w:tcPr>
            <w:tcW w:type="dxa" w:w="1344"/>
          </w:tcPr>
          <w:p>
            <w:r/>
            <w:r>
              <w:rPr>
                <w:rFonts w:ascii="Calibri" w:hAnsi="Calibri"/>
                <w:b w:val="0"/>
                <w:i w:val="0"/>
                <w:color w:val="000000"/>
                <w:sz w:val="18"/>
              </w:rPr>
              <w:t>10</w:t>
            </w:r>
          </w:p>
        </w:tc>
        <w:tc>
          <w:tcPr>
            <w:tcW w:type="dxa" w:w="1344"/>
          </w:tcPr>
          <w:p>
            <w:r/>
            <w:r>
              <w:rPr>
                <w:rFonts w:ascii="Calibri" w:hAnsi="Calibri"/>
                <w:b w:val="0"/>
                <w:i w:val="0"/>
                <w:color w:val="000000"/>
                <w:sz w:val="18"/>
              </w:rPr>
              <w:t>Q3 2026</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t>1</w:t>
            </w:r>
          </w:p>
        </w:tc>
        <w:tc>
          <w:tcPr>
            <w:tcW w:type="dxa" w:w="1344"/>
          </w:tcPr>
          <w:p>
            <w:r/>
            <w:r>
              <w:rPr>
                <w:rFonts w:ascii="Calibri" w:hAnsi="Calibri"/>
                <w:b w:val="0"/>
                <w:i w:val="0"/>
                <w:color w:val="000000"/>
                <w:sz w:val="18"/>
              </w:rPr>
              <w:t>Esperia Energy (Tseri 3)</w:t>
            </w:r>
          </w:p>
        </w:tc>
        <w:tc>
          <w:tcPr>
            <w:tcW w:type="dxa" w:w="1344"/>
          </w:tcPr>
          <w:p>
            <w:r/>
            <w:r>
              <w:rPr>
                <w:rFonts w:ascii="Calibri" w:hAnsi="Calibri"/>
                <w:b w:val="0"/>
                <w:i w:val="0"/>
                <w:color w:val="000000"/>
                <w:sz w:val="18"/>
              </w:rPr>
              <w:t>Nicosia</w:t>
            </w:r>
          </w:p>
        </w:tc>
        <w:tc>
          <w:tcPr>
            <w:tcW w:type="dxa" w:w="1344"/>
          </w:tcPr>
          <w:p>
            <w:r/>
            <w:r>
              <w:rPr>
                <w:rFonts w:ascii="Calibri" w:hAnsi="Calibri"/>
                <w:b w:val="0"/>
                <w:i w:val="0"/>
                <w:color w:val="000000"/>
                <w:sz w:val="18"/>
              </w:rPr>
              <w:t>4.75</w:t>
            </w:r>
          </w:p>
        </w:tc>
        <w:tc>
          <w:tcPr>
            <w:tcW w:type="dxa" w:w="1344"/>
          </w:tcPr>
          <w:p>
            <w:r/>
            <w:r>
              <w:rPr>
                <w:rFonts w:ascii="Calibri" w:hAnsi="Calibri"/>
                <w:b w:val="0"/>
                <w:i w:val="0"/>
                <w:color w:val="000000"/>
                <w:sz w:val="18"/>
              </w:rPr>
              <w:t>20</w:t>
            </w:r>
          </w:p>
        </w:tc>
        <w:tc>
          <w:tcPr>
            <w:tcW w:type="dxa" w:w="1344"/>
          </w:tcPr>
          <w:p>
            <w:r/>
            <w:r>
              <w:rPr>
                <w:rFonts w:ascii="Calibri" w:hAnsi="Calibri"/>
                <w:b w:val="0"/>
                <w:i w:val="0"/>
                <w:color w:val="000000"/>
                <w:sz w:val="18"/>
              </w:rPr>
              <w:t>Q3 2026</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t>1</w:t>
            </w:r>
          </w:p>
        </w:tc>
        <w:tc>
          <w:tcPr>
            <w:tcW w:type="dxa" w:w="1344"/>
          </w:tcPr>
          <w:p>
            <w:r/>
            <w:r>
              <w:rPr>
                <w:rFonts w:ascii="Calibri" w:hAnsi="Calibri"/>
                <w:b w:val="0"/>
                <w:i w:val="0"/>
                <w:color w:val="000000"/>
                <w:sz w:val="18"/>
              </w:rPr>
              <w:t>Esperia Energy (Famagusta)</w:t>
            </w:r>
          </w:p>
        </w:tc>
        <w:tc>
          <w:tcPr>
            <w:tcW w:type="dxa" w:w="1344"/>
          </w:tcPr>
          <w:p>
            <w:r/>
            <w:r>
              <w:rPr>
                <w:rFonts w:ascii="Calibri" w:hAnsi="Calibri"/>
                <w:b w:val="0"/>
                <w:i w:val="0"/>
                <w:color w:val="000000"/>
                <w:sz w:val="18"/>
              </w:rPr>
              <w:t>Famagusta</w:t>
            </w:r>
          </w:p>
        </w:tc>
        <w:tc>
          <w:tcPr>
            <w:tcW w:type="dxa" w:w="1344"/>
          </w:tcPr>
          <w:p>
            <w:r/>
            <w:r>
              <w:rPr>
                <w:rFonts w:ascii="Calibri" w:hAnsi="Calibri"/>
                <w:b w:val="0"/>
                <w:i w:val="0"/>
                <w:color w:val="000000"/>
                <w:sz w:val="18"/>
              </w:rPr>
              <w:t>6.5</w:t>
            </w:r>
          </w:p>
        </w:tc>
        <w:tc>
          <w:tcPr>
            <w:tcW w:type="dxa" w:w="1344"/>
          </w:tcPr>
          <w:p>
            <w:r/>
            <w:r>
              <w:rPr>
                <w:rFonts w:ascii="Calibri" w:hAnsi="Calibri"/>
                <w:b w:val="0"/>
                <w:i w:val="0"/>
                <w:color w:val="000000"/>
                <w:sz w:val="18"/>
              </w:rPr>
              <w:t>20</w:t>
            </w:r>
          </w:p>
        </w:tc>
        <w:tc>
          <w:tcPr>
            <w:tcW w:type="dxa" w:w="1344"/>
          </w:tcPr>
          <w:p>
            <w:r/>
            <w:r>
              <w:rPr>
                <w:rFonts w:ascii="Calibri" w:hAnsi="Calibri"/>
                <w:b w:val="0"/>
                <w:i w:val="0"/>
                <w:color w:val="000000"/>
                <w:sz w:val="18"/>
              </w:rPr>
              <w:t>Q4 2026</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t>2 — 2027</w:t>
            </w:r>
          </w:p>
        </w:tc>
        <w:tc>
          <w:tcPr>
            <w:tcW w:type="dxa" w:w="1344"/>
          </w:tcPr>
          <w:p>
            <w:r/>
            <w:r>
              <w:rPr>
                <w:rFonts w:ascii="Calibri" w:hAnsi="Calibri"/>
                <w:b w:val="0"/>
                <w:i w:val="0"/>
                <w:color w:val="000000"/>
                <w:sz w:val="18"/>
              </w:rPr>
              <w:t>Esperia Green Energy (Limassol)</w:t>
            </w:r>
          </w:p>
        </w:tc>
        <w:tc>
          <w:tcPr>
            <w:tcW w:type="dxa" w:w="1344"/>
          </w:tcPr>
          <w:p>
            <w:r/>
            <w:r>
              <w:rPr>
                <w:rFonts w:ascii="Calibri" w:hAnsi="Calibri"/>
                <w:b w:val="0"/>
                <w:i w:val="0"/>
                <w:color w:val="000000"/>
                <w:sz w:val="18"/>
              </w:rPr>
              <w:t>Limassol</w:t>
            </w:r>
          </w:p>
        </w:tc>
        <w:tc>
          <w:tcPr>
            <w:tcW w:type="dxa" w:w="1344"/>
          </w:tcPr>
          <w:p>
            <w:r/>
            <w:r>
              <w:rPr>
                <w:rFonts w:ascii="Calibri" w:hAnsi="Calibri"/>
                <w:b w:val="0"/>
                <w:i w:val="0"/>
                <w:color w:val="000000"/>
                <w:sz w:val="18"/>
              </w:rPr>
              <w:t>8.0</w:t>
            </w:r>
          </w:p>
        </w:tc>
        <w:tc>
          <w:tcPr>
            <w:tcW w:type="dxa" w:w="1344"/>
          </w:tcPr>
          <w:p>
            <w:r/>
            <w:r>
              <w:rPr>
                <w:rFonts w:ascii="Calibri" w:hAnsi="Calibri"/>
                <w:b w:val="0"/>
                <w:i w:val="0"/>
                <w:color w:val="000000"/>
                <w:sz w:val="18"/>
              </w:rPr>
              <w:t>60</w:t>
            </w:r>
          </w:p>
        </w:tc>
        <w:tc>
          <w:tcPr>
            <w:tcW w:type="dxa" w:w="1344"/>
          </w:tcPr>
          <w:p>
            <w:r/>
            <w:r>
              <w:rPr>
                <w:rFonts w:ascii="Calibri" w:hAnsi="Calibri"/>
                <w:b w:val="0"/>
                <w:i w:val="0"/>
                <w:color w:val="000000"/>
                <w:sz w:val="18"/>
              </w:rPr>
              <w:t>Q2 2027</w:t>
            </w:r>
          </w:p>
        </w:tc>
        <w:tc>
          <w:tcPr>
            <w:tcW w:type="dxa" w:w="1344"/>
          </w:tcPr>
          <w:p>
            <w:r/>
            <w:r>
              <w:rPr>
                <w:rFonts w:ascii="Calibri" w:hAnsi="Calibri"/>
                <w:b w:val="0"/>
                <w:i w:val="0"/>
                <w:color w:val="000000"/>
                <w:sz w:val="18"/>
              </w:rPr>
              <w:t>5,644,044</w:t>
            </w:r>
          </w:p>
        </w:tc>
      </w:tr>
      <w:tr>
        <w:tc>
          <w:tcPr>
            <w:tcW w:type="dxa" w:w="1344"/>
          </w:tcPr>
          <w:p>
            <w:r/>
            <w:r>
              <w:rPr>
                <w:rFonts w:ascii="Calibri" w:hAnsi="Calibri"/>
                <w:b w:val="0"/>
                <w:i w:val="0"/>
                <w:color w:val="000000"/>
                <w:sz w:val="18"/>
              </w:rPr>
              <w:t>2</w:t>
            </w:r>
          </w:p>
        </w:tc>
        <w:tc>
          <w:tcPr>
            <w:tcW w:type="dxa" w:w="1344"/>
          </w:tcPr>
          <w:p>
            <w:r/>
            <w:r>
              <w:rPr>
                <w:rFonts w:ascii="Calibri" w:hAnsi="Calibri"/>
                <w:b w:val="0"/>
                <w:i w:val="0"/>
                <w:color w:val="000000"/>
                <w:sz w:val="18"/>
              </w:rPr>
              <w:t>Esperia Energy (Tseri 2-B)</w:t>
            </w:r>
          </w:p>
        </w:tc>
        <w:tc>
          <w:tcPr>
            <w:tcW w:type="dxa" w:w="1344"/>
          </w:tcPr>
          <w:p>
            <w:r/>
            <w:r>
              <w:rPr>
                <w:rFonts w:ascii="Calibri" w:hAnsi="Calibri"/>
                <w:b w:val="0"/>
                <w:i w:val="0"/>
                <w:color w:val="000000"/>
                <w:sz w:val="18"/>
              </w:rPr>
              <w:t>Nicosia</w:t>
            </w:r>
          </w:p>
        </w:tc>
        <w:tc>
          <w:tcPr>
            <w:tcW w:type="dxa" w:w="1344"/>
          </w:tcPr>
          <w:p>
            <w:r/>
            <w:r>
              <w:rPr>
                <w:rFonts w:ascii="Calibri" w:hAnsi="Calibri"/>
                <w:b w:val="0"/>
                <w:i w:val="0"/>
                <w:color w:val="000000"/>
                <w:sz w:val="18"/>
              </w:rPr>
              <w:t>7.99</w:t>
            </w:r>
          </w:p>
        </w:tc>
        <w:tc>
          <w:tcPr>
            <w:tcW w:type="dxa" w:w="1344"/>
          </w:tcPr>
          <w:p>
            <w:r/>
            <w:r>
              <w:rPr>
                <w:rFonts w:ascii="Calibri" w:hAnsi="Calibri"/>
                <w:b w:val="0"/>
                <w:i w:val="0"/>
                <w:color w:val="000000"/>
                <w:sz w:val="18"/>
              </w:rPr>
              <w:t>30</w:t>
            </w:r>
          </w:p>
        </w:tc>
        <w:tc>
          <w:tcPr>
            <w:tcW w:type="dxa" w:w="1344"/>
          </w:tcPr>
          <w:p>
            <w:r/>
            <w:r>
              <w:rPr>
                <w:rFonts w:ascii="Calibri" w:hAnsi="Calibri"/>
                <w:b w:val="0"/>
                <w:i w:val="0"/>
                <w:color w:val="000000"/>
                <w:sz w:val="18"/>
              </w:rPr>
              <w:t>2027</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t>2</w:t>
            </w:r>
          </w:p>
        </w:tc>
        <w:tc>
          <w:tcPr>
            <w:tcW w:type="dxa" w:w="1344"/>
          </w:tcPr>
          <w:p>
            <w:r/>
            <w:r>
              <w:rPr>
                <w:rFonts w:ascii="Calibri" w:hAnsi="Calibri"/>
                <w:b w:val="0"/>
                <w:i w:val="0"/>
                <w:color w:val="000000"/>
                <w:sz w:val="18"/>
              </w:rPr>
              <w:t>Esperia Energy (Tseri 2-C)</w:t>
            </w:r>
          </w:p>
        </w:tc>
        <w:tc>
          <w:tcPr>
            <w:tcW w:type="dxa" w:w="1344"/>
          </w:tcPr>
          <w:p>
            <w:r/>
            <w:r>
              <w:rPr>
                <w:rFonts w:ascii="Calibri" w:hAnsi="Calibri"/>
                <w:b w:val="0"/>
                <w:i w:val="0"/>
                <w:color w:val="000000"/>
                <w:sz w:val="18"/>
              </w:rPr>
              <w:t>Nicosia</w:t>
            </w:r>
          </w:p>
        </w:tc>
        <w:tc>
          <w:tcPr>
            <w:tcW w:type="dxa" w:w="1344"/>
          </w:tcPr>
          <w:p>
            <w:r/>
            <w:r>
              <w:rPr>
                <w:rFonts w:ascii="Calibri" w:hAnsi="Calibri"/>
                <w:b w:val="0"/>
                <w:i w:val="0"/>
                <w:color w:val="000000"/>
                <w:sz w:val="18"/>
              </w:rPr>
              <w:t>6.3</w:t>
            </w:r>
          </w:p>
        </w:tc>
        <w:tc>
          <w:tcPr>
            <w:tcW w:type="dxa" w:w="1344"/>
          </w:tcPr>
          <w:p>
            <w:r/>
            <w:r>
              <w:rPr>
                <w:rFonts w:ascii="Calibri" w:hAnsi="Calibri"/>
                <w:b w:val="0"/>
                <w:i w:val="0"/>
                <w:color w:val="000000"/>
                <w:sz w:val="18"/>
              </w:rPr>
              <w:t>25</w:t>
            </w:r>
          </w:p>
        </w:tc>
        <w:tc>
          <w:tcPr>
            <w:tcW w:type="dxa" w:w="1344"/>
          </w:tcPr>
          <w:p>
            <w:r/>
            <w:r>
              <w:rPr>
                <w:rFonts w:ascii="Calibri" w:hAnsi="Calibri"/>
                <w:b w:val="0"/>
                <w:i w:val="0"/>
                <w:color w:val="000000"/>
                <w:sz w:val="18"/>
              </w:rPr>
              <w:t>2027</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t>3 — 2028</w:t>
            </w:r>
          </w:p>
        </w:tc>
        <w:tc>
          <w:tcPr>
            <w:tcW w:type="dxa" w:w="1344"/>
          </w:tcPr>
          <w:p>
            <w:r/>
            <w:r>
              <w:rPr>
                <w:rFonts w:ascii="Calibri" w:hAnsi="Calibri"/>
                <w:b w:val="0"/>
                <w:i w:val="0"/>
                <w:color w:val="000000"/>
                <w:sz w:val="18"/>
              </w:rPr>
              <w:t>Esperia Energy (Frenaros)</w:t>
            </w:r>
          </w:p>
        </w:tc>
        <w:tc>
          <w:tcPr>
            <w:tcW w:type="dxa" w:w="1344"/>
          </w:tcPr>
          <w:p>
            <w:r/>
            <w:r>
              <w:rPr>
                <w:rFonts w:ascii="Calibri" w:hAnsi="Calibri"/>
                <w:b w:val="0"/>
                <w:i w:val="0"/>
                <w:color w:val="000000"/>
                <w:sz w:val="18"/>
              </w:rPr>
              <w:t>Famagusta</w:t>
            </w:r>
          </w:p>
        </w:tc>
        <w:tc>
          <w:tcPr>
            <w:tcW w:type="dxa" w:w="1344"/>
          </w:tcPr>
          <w:p>
            <w:r/>
            <w:r>
              <w:rPr>
                <w:rFonts w:ascii="Calibri" w:hAnsi="Calibri"/>
                <w:b w:val="0"/>
                <w:i w:val="0"/>
                <w:color w:val="000000"/>
                <w:sz w:val="18"/>
              </w:rPr>
              <w:t>25.0</w:t>
            </w:r>
          </w:p>
        </w:tc>
        <w:tc>
          <w:tcPr>
            <w:tcW w:type="dxa" w:w="1344"/>
          </w:tcPr>
          <w:p>
            <w:r/>
            <w:r>
              <w:rPr>
                <w:rFonts w:ascii="Calibri" w:hAnsi="Calibri"/>
                <w:b w:val="0"/>
                <w:i w:val="0"/>
                <w:color w:val="000000"/>
                <w:sz w:val="18"/>
              </w:rPr>
              <w:t>100</w:t>
            </w:r>
          </w:p>
        </w:tc>
        <w:tc>
          <w:tcPr>
            <w:tcW w:type="dxa" w:w="1344"/>
          </w:tcPr>
          <w:p>
            <w:r/>
            <w:r>
              <w:rPr>
                <w:rFonts w:ascii="Calibri" w:hAnsi="Calibri"/>
                <w:b w:val="0"/>
                <w:i w:val="0"/>
                <w:color w:val="000000"/>
                <w:sz w:val="18"/>
              </w:rPr>
              <w:t>Q2 2028</w:t>
            </w:r>
          </w:p>
        </w:tc>
        <w:tc>
          <w:tcPr>
            <w:tcW w:type="dxa" w:w="1344"/>
          </w:tcPr>
          <w:p>
            <w:r/>
            <w:r>
              <w:rPr>
                <w:rFonts w:ascii="Calibri" w:hAnsi="Calibri"/>
                <w:b w:val="0"/>
                <w:i w:val="0"/>
                <w:color w:val="000000"/>
                <w:sz w:val="18"/>
              </w:rPr>
              <w:t>10,088,014</w:t>
            </w:r>
          </w:p>
        </w:tc>
      </w:tr>
      <w:tr>
        <w:tc>
          <w:tcPr>
            <w:tcW w:type="dxa" w:w="1344"/>
          </w:tcPr>
          <w:p>
            <w:r/>
            <w:r>
              <w:rPr>
                <w:rFonts w:ascii="Calibri" w:hAnsi="Calibri"/>
                <w:b w:val="0"/>
                <w:i w:val="0"/>
                <w:color w:val="000000"/>
                <w:sz w:val="18"/>
              </w:rPr>
              <w:t>3</w:t>
            </w:r>
          </w:p>
        </w:tc>
        <w:tc>
          <w:tcPr>
            <w:tcW w:type="dxa" w:w="1344"/>
          </w:tcPr>
          <w:p>
            <w:r/>
            <w:r>
              <w:rPr>
                <w:rFonts w:ascii="Calibri" w:hAnsi="Calibri"/>
                <w:b w:val="0"/>
                <w:i w:val="0"/>
                <w:color w:val="000000"/>
                <w:sz w:val="18"/>
              </w:rPr>
              <w:t>Esperia Green Energy (Famagusta 2)</w:t>
            </w:r>
          </w:p>
        </w:tc>
        <w:tc>
          <w:tcPr>
            <w:tcW w:type="dxa" w:w="1344"/>
          </w:tcPr>
          <w:p>
            <w:r/>
            <w:r>
              <w:rPr>
                <w:rFonts w:ascii="Calibri" w:hAnsi="Calibri"/>
                <w:b w:val="0"/>
                <w:i w:val="0"/>
                <w:color w:val="000000"/>
                <w:sz w:val="18"/>
              </w:rPr>
              <w:t>Famagusta</w:t>
            </w:r>
          </w:p>
        </w:tc>
        <w:tc>
          <w:tcPr>
            <w:tcW w:type="dxa" w:w="1344"/>
          </w:tcPr>
          <w:p>
            <w:r/>
            <w:r>
              <w:rPr>
                <w:rFonts w:ascii="Calibri" w:hAnsi="Calibri"/>
                <w:b w:val="0"/>
                <w:i w:val="0"/>
                <w:color w:val="000000"/>
                <w:sz w:val="18"/>
              </w:rPr>
              <w:t>7.0</w:t>
            </w:r>
          </w:p>
        </w:tc>
        <w:tc>
          <w:tcPr>
            <w:tcW w:type="dxa" w:w="1344"/>
          </w:tcPr>
          <w:p>
            <w:r/>
            <w:r>
              <w:rPr>
                <w:rFonts w:ascii="Calibri" w:hAnsi="Calibri"/>
                <w:b w:val="0"/>
                <w:i w:val="0"/>
                <w:color w:val="000000"/>
                <w:sz w:val="18"/>
              </w:rPr>
              <w:t>25</w:t>
            </w:r>
          </w:p>
        </w:tc>
        <w:tc>
          <w:tcPr>
            <w:tcW w:type="dxa" w:w="1344"/>
          </w:tcPr>
          <w:p>
            <w:r/>
            <w:r>
              <w:rPr>
                <w:rFonts w:ascii="Calibri" w:hAnsi="Calibri"/>
                <w:b w:val="0"/>
                <w:i w:val="0"/>
                <w:color w:val="000000"/>
                <w:sz w:val="18"/>
              </w:rPr>
              <w:t>Q2 2028</w:t>
            </w:r>
          </w:p>
        </w:tc>
        <w:tc>
          <w:tcPr>
            <w:tcW w:type="dxa" w:w="1344"/>
          </w:tcPr>
          <w:p>
            <w:r/>
            <w:r>
              <w:rPr>
                <w:rFonts w:ascii="Calibri" w:hAnsi="Calibri"/>
                <w:b w:val="0"/>
                <w:i w:val="0"/>
                <w:color w:val="000000"/>
                <w:sz w:val="18"/>
              </w:rPr>
              <w:t>per LOI</w:t>
            </w:r>
          </w:p>
        </w:tc>
      </w:tr>
      <w:tr>
        <w:tc>
          <w:tcPr>
            <w:tcW w:type="dxa" w:w="1344"/>
          </w:tcPr>
          <w:p>
            <w:r/>
            <w:r>
              <w:rPr>
                <w:rFonts w:ascii="Calibri" w:hAnsi="Calibri"/>
                <w:b w:val="0"/>
                <w:i w:val="0"/>
                <w:color w:val="000000"/>
                <w:sz w:val="18"/>
              </w:rPr>
            </w:r>
          </w:p>
        </w:tc>
        <w:tc>
          <w:tcPr>
            <w:tcW w:type="dxa" w:w="1344"/>
          </w:tcPr>
          <w:p>
            <w:r/>
            <w:r>
              <w:rPr>
                <w:rFonts w:ascii="Calibri" w:hAnsi="Calibri"/>
                <w:b w:val="0"/>
                <w:i w:val="0"/>
                <w:color w:val="000000"/>
                <w:sz w:val="18"/>
              </w:rPr>
              <w:t>Total</w:t>
            </w:r>
          </w:p>
        </w:tc>
        <w:tc>
          <w:tcPr>
            <w:tcW w:type="dxa" w:w="1344"/>
          </w:tcPr>
          <w:p>
            <w:r/>
            <w:r>
              <w:rPr>
                <w:rFonts w:ascii="Calibri" w:hAnsi="Calibri"/>
                <w:b w:val="0"/>
                <w:i w:val="0"/>
                <w:color w:val="000000"/>
                <w:sz w:val="18"/>
              </w:rPr>
            </w:r>
          </w:p>
        </w:tc>
        <w:tc>
          <w:tcPr>
            <w:tcW w:type="dxa" w:w="1344"/>
          </w:tcPr>
          <w:p>
            <w:r/>
            <w:r>
              <w:rPr>
                <w:rFonts w:ascii="Calibri" w:hAnsi="Calibri"/>
                <w:b w:val="0"/>
                <w:i w:val="0"/>
                <w:color w:val="000000"/>
                <w:sz w:val="18"/>
              </w:rPr>
              <w:t>~75.5</w:t>
            </w:r>
          </w:p>
        </w:tc>
        <w:tc>
          <w:tcPr>
            <w:tcW w:type="dxa" w:w="1344"/>
          </w:tcPr>
          <w:p>
            <w:r/>
            <w:r>
              <w:rPr>
                <w:rFonts w:ascii="Calibri" w:hAnsi="Calibri"/>
                <w:b w:val="0"/>
                <w:i w:val="0"/>
                <w:color w:val="000000"/>
                <w:sz w:val="18"/>
              </w:rPr>
              <w:t>320</w:t>
            </w:r>
          </w:p>
        </w:tc>
        <w:tc>
          <w:tcPr>
            <w:tcW w:type="dxa" w:w="1344"/>
          </w:tcPr>
          <w:p>
            <w:r/>
            <w:r>
              <w:rPr>
                <w:rFonts w:ascii="Calibri" w:hAnsi="Calibri"/>
                <w:b w:val="0"/>
                <w:i w:val="0"/>
                <w:color w:val="000000"/>
                <w:sz w:val="18"/>
              </w:rPr>
            </w:r>
          </w:p>
        </w:tc>
        <w:tc>
          <w:tcPr>
            <w:tcW w:type="dxa" w:w="1344"/>
          </w:tcPr>
          <w:p>
            <w:r/>
            <w:r>
              <w:rPr>
                <w:rFonts w:ascii="Calibri" w:hAnsi="Calibri"/>
                <w:b w:val="0"/>
                <w:i w:val="0"/>
                <w:color w:val="000000"/>
                <w:sz w:val="18"/>
              </w:rPr>
              <w:t>per LOI schedules</w:t>
            </w:r>
          </w:p>
        </w:tc>
      </w:tr>
    </w:tbl>
    <w:p/>
    <w:p>
      <w:pPr>
        <w:jc w:val="both"/>
      </w:pPr>
      <w:r>
        <w:rPr>
          <w:rFonts w:ascii="Calibri" w:hAnsi="Calibri"/>
          <w:b w:val="0"/>
          <w:i w:val="0"/>
          <w:color w:val="000000"/>
          <w:sz w:val="20"/>
        </w:rPr>
        <w:t>Equity side letter: 10% MD grant on Esperia EPC Effective Date (pipeline / group EPC — counsel to define trigger).</w:t>
      </w:r>
    </w:p>
    <w:p>
      <w:pPr>
        <w:jc w:val="both"/>
      </w:pPr>
      <w:r>
        <w:rPr>
          <w:rFonts w:ascii="Calibri" w:hAnsi="Calibri"/>
          <w:b w:val="0"/>
          <w:i w:val="0"/>
          <w:color w:val="000000"/>
          <w:sz w:val="20"/>
        </w:rPr>
        <w:t>LOI exclusivity: Client will not appoint another EPC for these nine parks during LOI term (see Part L2).</w:t>
      </w:r>
    </w:p>
    <w:p>
      <w:pPr>
        <w:spacing w:before="240"/>
      </w:pPr>
      <w:r>
        <w:rPr>
          <w:rFonts w:ascii="Calibri" w:hAnsi="Calibri"/>
          <w:b/>
          <w:i w:val="0"/>
          <w:color w:val="C9A432"/>
          <w:sz w:val="24"/>
        </w:rPr>
        <w:t>5. How LOI parks relate to Schedule 1</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Situation</w:t>
            </w:r>
          </w:p>
        </w:tc>
        <w:tc>
          <w:tcPr>
            <w:tcW w:type="dxa" w:w="3135"/>
            <w:shd w:fill="1A365D" w:val="clear"/>
          </w:tcPr>
          <w:p>
            <w:r/>
            <w:r>
              <w:rPr>
                <w:rFonts w:ascii="Calibri" w:hAnsi="Calibri"/>
                <w:b/>
                <w:i w:val="0"/>
                <w:color w:val="FFFFFF"/>
                <w:sz w:val="18"/>
              </w:rPr>
              <w:t>Part A (30% margin)</w:t>
            </w:r>
          </w:p>
        </w:tc>
        <w:tc>
          <w:tcPr>
            <w:tcW w:type="dxa" w:w="3135"/>
            <w:shd w:fill="1A365D" w:val="clear"/>
          </w:tcPr>
          <w:p>
            <w:r/>
            <w:r>
              <w:rPr>
                <w:rFonts w:ascii="Calibri" w:hAnsi="Calibri"/>
                <w:b/>
                <w:i w:val="0"/>
                <w:color w:val="FFFFFF"/>
                <w:sz w:val="18"/>
              </w:rPr>
              <w:t>Anti-circumvention</w:t>
            </w:r>
          </w:p>
        </w:tc>
      </w:tr>
      <w:tr>
        <w:tc>
          <w:tcPr>
            <w:tcW w:type="dxa" w:w="3135"/>
          </w:tcPr>
          <w:p>
            <w:r/>
            <w:r>
              <w:rPr>
                <w:rFonts w:ascii="Calibri" w:hAnsi="Calibri"/>
                <w:b w:val="0"/>
                <w:i w:val="0"/>
                <w:color w:val="000000"/>
                <w:sz w:val="18"/>
              </w:rPr>
              <w:t>Park in Schedule 1</w:t>
            </w:r>
          </w:p>
        </w:tc>
        <w:tc>
          <w:tcPr>
            <w:tcW w:type="dxa" w:w="3135"/>
          </w:tcPr>
          <w:p>
            <w:r/>
            <w:r>
              <w:rPr>
                <w:rFonts w:ascii="Calibri" w:hAnsi="Calibri"/>
                <w:b w:val="0"/>
                <w:i w:val="0"/>
                <w:color w:val="000000"/>
                <w:sz w:val="18"/>
              </w:rPr>
              <w:t>Fee on Net Margin when client pays</w:t>
            </w:r>
          </w:p>
        </w:tc>
        <w:tc>
          <w:tcPr>
            <w:tcW w:type="dxa" w:w="3135"/>
          </w:tcPr>
          <w:p>
            <w:r/>
            <w:r>
              <w:rPr>
                <w:rFonts w:ascii="Calibri" w:hAnsi="Calibri"/>
                <w:b w:val="0"/>
                <w:i w:val="0"/>
                <w:color w:val="000000"/>
                <w:sz w:val="18"/>
              </w:rPr>
              <w:t>Clause 12 — Cyprus sites via LCY</w:t>
            </w:r>
          </w:p>
        </w:tc>
      </w:tr>
      <w:tr>
        <w:tc>
          <w:tcPr>
            <w:tcW w:type="dxa" w:w="3135"/>
          </w:tcPr>
          <w:p>
            <w:r/>
            <w:r>
              <w:rPr>
                <w:rFonts w:ascii="Calibri" w:hAnsi="Calibri"/>
                <w:b w:val="0"/>
                <w:i w:val="0"/>
                <w:color w:val="000000"/>
                <w:sz w:val="18"/>
              </w:rPr>
              <w:t>Park in LOI only (9 pipeline)</w:t>
            </w:r>
          </w:p>
        </w:tc>
        <w:tc>
          <w:tcPr>
            <w:tcW w:type="dxa" w:w="3135"/>
          </w:tcPr>
          <w:p>
            <w:r/>
            <w:r>
              <w:rPr>
                <w:rFonts w:ascii="Calibri" w:hAnsi="Calibri"/>
                <w:b w:val="0"/>
                <w:i w:val="0"/>
                <w:color w:val="000000"/>
                <w:sz w:val="18"/>
              </w:rPr>
              <w:t>Fee when EPC signed &amp; revenue invoiced; LOI binds client pre-EPC</w:t>
            </w:r>
          </w:p>
        </w:tc>
        <w:tc>
          <w:tcPr>
            <w:tcW w:type="dxa" w:w="3135"/>
          </w:tcPr>
          <w:p>
            <w:r/>
            <w:r>
              <w:rPr>
                <w:rFonts w:ascii="Calibri" w:hAnsi="Calibri"/>
                <w:b w:val="0"/>
                <w:i w:val="0"/>
                <w:color w:val="000000"/>
                <w:sz w:val="18"/>
              </w:rPr>
              <w:t>Protected Project once originated; LOI + Clause 12</w:t>
            </w:r>
          </w:p>
        </w:tc>
      </w:tr>
      <w:tr>
        <w:tc>
          <w:tcPr>
            <w:tcW w:type="dxa" w:w="3135"/>
          </w:tcPr>
          <w:p>
            <w:r/>
            <w:r>
              <w:rPr>
                <w:rFonts w:ascii="Calibri" w:hAnsi="Calibri"/>
                <w:b w:val="0"/>
                <w:i w:val="0"/>
                <w:color w:val="000000"/>
                <w:sz w:val="18"/>
              </w:rPr>
              <w:t>New park not in Schedule 1 or LOI</w:t>
            </w:r>
          </w:p>
        </w:tc>
        <w:tc>
          <w:tcPr>
            <w:tcW w:type="dxa" w:w="3135"/>
          </w:tcPr>
          <w:p>
            <w:r/>
            <w:r>
              <w:rPr>
                <w:rFonts w:ascii="Calibri" w:hAnsi="Calibri"/>
                <w:b w:val="0"/>
                <w:i w:val="0"/>
                <w:color w:val="000000"/>
                <w:sz w:val="18"/>
              </w:rPr>
              <w:t>Part B if new Cyprus BESS via LCY; or add to Schedule 1 if pre-sign origination</w:t>
            </w:r>
          </w:p>
        </w:tc>
        <w:tc>
          <w:tcPr>
            <w:tcW w:type="dxa" w:w="3135"/>
          </w:tcPr>
          <w:p>
            <w:r/>
            <w:r>
              <w:rPr>
                <w:rFonts w:ascii="Calibri" w:hAnsi="Calibri"/>
                <w:b w:val="0"/>
                <w:i w:val="0"/>
                <w:color w:val="000000"/>
                <w:sz w:val="18"/>
              </w:rPr>
              <w:t>Protected Project if Consultant originated (Clause 1 — Protected Project def.)</w:t>
            </w:r>
          </w:p>
        </w:tc>
      </w:tr>
    </w:tbl>
    <w:p/>
    <w:p>
      <w:pPr>
        <w:jc w:val="both"/>
      </w:pPr>
      <w:r>
        <w:rPr>
          <w:rFonts w:ascii="Calibri" w:hAnsi="Calibri"/>
          <w:b w:val="0"/>
          <w:i w:val="0"/>
          <w:color w:val="000000"/>
          <w:sz w:val="20"/>
        </w:rPr>
        <w:t>Figures from `loi_docx_common.py` / Schedule 1 May 2026 — confirm against signed LOI/EPC before execution.</w:t>
      </w:r>
    </w:p>
    <w:p>
      <w:pPr>
        <w:sectPr>
          <w:footerReference w:type="default" r:id="rId11"/>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FUTURE BUSINESS — HOW THE AGREEMENT PROTECTS WORK NOT YET EXISTING</w:t>
      </w:r>
    </w:p>
    <w:p/>
    <w:p>
      <w:pPr>
        <w:jc w:val="both"/>
      </w:pPr>
      <w:r>
        <w:rPr>
          <w:rFonts w:ascii="Calibri" w:hAnsi="Calibri"/>
          <w:b w:val="0"/>
          <w:i w:val="0"/>
          <w:color w:val="000000"/>
          <w:sz w:val="20"/>
        </w:rPr>
        <w:t>Ref: LCY-FUTURE-BIZ-2026-001</w:t>
      </w:r>
    </w:p>
    <w:p>
      <w:pPr>
        <w:jc w:val="both"/>
      </w:pPr>
      <w:r>
        <w:rPr>
          <w:rFonts w:ascii="Calibri" w:hAnsi="Calibri"/>
          <w:b w:val="0"/>
          <w:i w:val="0"/>
          <w:color w:val="000000"/>
          <w:sz w:val="20"/>
        </w:rPr>
        <w:t>Audience: Founder · MD · Cyprus counsel</w:t>
      </w:r>
    </w:p>
    <w:p>
      <w:pPr>
        <w:jc w:val="both"/>
      </w:pPr>
      <w:r>
        <w:rPr>
          <w:rFonts w:ascii="Calibri" w:hAnsi="Calibri"/>
          <w:b w:val="0"/>
          <w:i w:val="0"/>
          <w:color w:val="000000"/>
          <w:sz w:val="20"/>
        </w:rPr>
        <w:t>Cross-ref: Consultancy Agreement Parts 1–7 (LCY-MOI-TOCA-2026-001)</w:t>
      </w:r>
    </w:p>
    <w:p>
      <w:pPr>
        <w:spacing w:before="240"/>
      </w:pPr>
      <w:r>
        <w:rPr>
          <w:rFonts w:ascii="Calibri" w:hAnsi="Calibri"/>
          <w:b/>
          <w:i w:val="0"/>
          <w:color w:val="C9A432"/>
          <w:sz w:val="24"/>
        </w:rPr>
        <w:t>1. The problem you are solving</w:t>
      </w:r>
    </w:p>
    <w:p>
      <w:pPr>
        <w:jc w:val="both"/>
      </w:pPr>
      <w:r>
        <w:rPr>
          <w:rFonts w:ascii="Calibri" w:hAnsi="Calibri"/>
          <w:b w:val="0"/>
          <w:i w:val="0"/>
          <w:color w:val="000000"/>
          <w:sz w:val="20"/>
        </w:rPr>
        <w:t>Much of the value is not only the 51 parks in Schedule 1 today. You are also protecting:</w:t>
      </w:r>
    </w:p>
    <w:p>
      <w:pPr>
        <w:pStyle w:val="ListBullet"/>
      </w:pPr>
      <w:r>
        <w:rPr>
          <w:rFonts w:ascii="Calibri" w:hAnsi="Calibri"/>
          <w:b w:val="0"/>
          <w:i w:val="0"/>
          <w:color w:val="000000"/>
          <w:sz w:val="20"/>
        </w:rPr>
        <w:t>The nine Esperia pipeline parks (LOI quoted, EPC not yet signed)</w:t>
      </w:r>
    </w:p>
    <w:p>
      <w:pPr>
        <w:pStyle w:val="ListBullet"/>
      </w:pPr>
      <w:r>
        <w:rPr>
          <w:rFonts w:ascii="Calibri" w:hAnsi="Calibri"/>
          <w:b w:val="0"/>
          <w:i w:val="0"/>
          <w:color w:val="000000"/>
          <w:sz w:val="20"/>
        </w:rPr>
        <w:t>New clients you originate after signing</w:t>
      </w:r>
    </w:p>
    <w:p>
      <w:pPr>
        <w:pStyle w:val="ListBullet"/>
      </w:pPr>
      <w:r>
        <w:rPr>
          <w:rFonts w:ascii="Calibri" w:hAnsi="Calibri"/>
          <w:b w:val="0"/>
          <w:i w:val="0"/>
          <w:color w:val="000000"/>
          <w:sz w:val="20"/>
        </w:rPr>
        <w:t>Revenue if Sybaris routes work through another Group company</w:t>
      </w:r>
    </w:p>
    <w:p>
      <w:pPr>
        <w:pStyle w:val="ListBullet"/>
      </w:pPr>
      <w:r>
        <w:rPr>
          <w:rFonts w:ascii="Calibri" w:hAnsi="Calibri"/>
          <w:b w:val="0"/>
          <w:i w:val="0"/>
          <w:color w:val="000000"/>
          <w:sz w:val="20"/>
        </w:rPr>
        <w:t>O&amp;M / LTSA on delivered BESS</w:t>
      </w:r>
    </w:p>
    <w:p>
      <w:pPr>
        <w:pStyle w:val="ListBullet"/>
      </w:pPr>
      <w:r>
        <w:rPr>
          <w:rFonts w:ascii="Calibri" w:hAnsi="Calibri"/>
          <w:b w:val="0"/>
          <w:i w:val="0"/>
          <w:color w:val="000000"/>
          <w:sz w:val="20"/>
        </w:rPr>
        <w:t>Deals introduced by a future investor but executed through LCY</w:t>
      </w:r>
    </w:p>
    <w:p>
      <w:pPr>
        <w:jc w:val="both"/>
      </w:pPr>
      <w:r>
        <w:rPr>
          <w:rFonts w:ascii="Calibri" w:hAnsi="Calibri"/>
          <w:b w:val="0"/>
          <w:i w:val="0"/>
          <w:color w:val="000000"/>
          <w:sz w:val="20"/>
        </w:rPr>
        <w:t>The agreement uses four layers — not a single “list of parks” clause.</w:t>
      </w:r>
    </w:p>
    <w:p>
      <w:pPr>
        <w:spacing w:before="240"/>
      </w:pPr>
      <w:r>
        <w:rPr>
          <w:rFonts w:ascii="Calibri" w:hAnsi="Calibri"/>
          <w:b/>
          <w:i w:val="0"/>
          <w:color w:val="C9A432"/>
          <w:sz w:val="24"/>
        </w:rPr>
        <w:t>2. Four layers of protection</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Layer</w:t>
            </w:r>
          </w:p>
        </w:tc>
        <w:tc>
          <w:tcPr>
            <w:tcW w:type="dxa" w:w="3135"/>
            <w:shd w:fill="1A365D" w:val="clear"/>
          </w:tcPr>
          <w:p>
            <w:r/>
            <w:r>
              <w:rPr>
                <w:rFonts w:ascii="Calibri" w:hAnsi="Calibri"/>
                <w:b/>
                <w:i w:val="0"/>
                <w:color w:val="FFFFFF"/>
                <w:sz w:val="18"/>
              </w:rPr>
              <w:t>What it covers</w:t>
            </w:r>
          </w:p>
        </w:tc>
        <w:tc>
          <w:tcPr>
            <w:tcW w:type="dxa" w:w="3135"/>
            <w:shd w:fill="1A365D" w:val="clear"/>
          </w:tcPr>
          <w:p>
            <w:r/>
            <w:r>
              <w:rPr>
                <w:rFonts w:ascii="Calibri" w:hAnsi="Calibri"/>
                <w:b/>
                <w:i w:val="0"/>
                <w:color w:val="FFFFFF"/>
                <w:sz w:val="18"/>
              </w:rPr>
              <w:t>Key clause / doc</w:t>
            </w:r>
          </w:p>
        </w:tc>
      </w:tr>
      <w:tr>
        <w:tc>
          <w:tcPr>
            <w:tcW w:type="dxa" w:w="3135"/>
          </w:tcPr>
          <w:p>
            <w:r/>
            <w:r>
              <w:rPr>
                <w:rFonts w:ascii="Calibri" w:hAnsi="Calibri"/>
                <w:b w:val="0"/>
                <w:i w:val="0"/>
                <w:color w:val="000000"/>
                <w:sz w:val="18"/>
              </w:rPr>
              <w:t>A — Schedule 1 (51 parks)</w:t>
            </w:r>
          </w:p>
        </w:tc>
        <w:tc>
          <w:tcPr>
            <w:tcW w:type="dxa" w:w="3135"/>
          </w:tcPr>
          <w:p>
            <w:r/>
            <w:r>
              <w:rPr>
                <w:rFonts w:ascii="Calibri" w:hAnsi="Calibri"/>
                <w:b w:val="0"/>
                <w:i w:val="0"/>
                <w:color w:val="000000"/>
                <w:sz w:val="18"/>
              </w:rPr>
              <w:t>Everything already in the portfolio</w:t>
            </w:r>
          </w:p>
        </w:tc>
        <w:tc>
          <w:tcPr>
            <w:tcW w:type="dxa" w:w="3135"/>
          </w:tcPr>
          <w:p>
            <w:r/>
            <w:r>
              <w:rPr>
                <w:rFonts w:ascii="Calibri" w:hAnsi="Calibri"/>
                <w:b w:val="0"/>
                <w:i w:val="0"/>
                <w:color w:val="000000"/>
                <w:sz w:val="18"/>
              </w:rPr>
              <w:t>Part A — 30% Net Margin; Schedule 1 groups G1–G6</w:t>
            </w:r>
          </w:p>
        </w:tc>
      </w:tr>
      <w:tr>
        <w:tc>
          <w:tcPr>
            <w:tcW w:type="dxa" w:w="3135"/>
          </w:tcPr>
          <w:p>
            <w:r/>
            <w:r>
              <w:rPr>
                <w:rFonts w:ascii="Calibri" w:hAnsi="Calibri"/>
                <w:b w:val="0"/>
                <w:i w:val="0"/>
                <w:color w:val="000000"/>
                <w:sz w:val="18"/>
              </w:rPr>
              <w:t>B — Pre-sign origination add-on</w:t>
            </w:r>
          </w:p>
        </w:tc>
        <w:tc>
          <w:tcPr>
            <w:tcW w:type="dxa" w:w="3135"/>
          </w:tcPr>
          <w:p>
            <w:r/>
            <w:r>
              <w:rPr>
                <w:rFonts w:ascii="Calibri" w:hAnsi="Calibri"/>
                <w:b w:val="0"/>
                <w:i w:val="0"/>
                <w:color w:val="000000"/>
                <w:sz w:val="18"/>
              </w:rPr>
              <w:t>Parks you added to LCY before deed date but not yet in Schedule 1 table</w:t>
            </w:r>
          </w:p>
        </w:tc>
        <w:tc>
          <w:tcPr>
            <w:tcW w:type="dxa" w:w="3135"/>
          </w:tcPr>
          <w:p>
            <w:r/>
            <w:r>
              <w:rPr>
                <w:rFonts w:ascii="Calibri" w:hAnsi="Calibri"/>
                <w:b w:val="0"/>
                <w:i w:val="0"/>
                <w:color w:val="000000"/>
                <w:sz w:val="18"/>
              </w:rPr>
              <w:t>Definition Existing Project — “any additional BESS parks … originated … prior to the date of this Agreement”</w:t>
            </w:r>
          </w:p>
        </w:tc>
      </w:tr>
      <w:tr>
        <w:tc>
          <w:tcPr>
            <w:tcW w:type="dxa" w:w="3135"/>
          </w:tcPr>
          <w:p>
            <w:r/>
            <w:r>
              <w:rPr>
                <w:rFonts w:ascii="Calibri" w:hAnsi="Calibri"/>
                <w:b w:val="0"/>
                <w:i w:val="0"/>
                <w:color w:val="000000"/>
                <w:sz w:val="18"/>
              </w:rPr>
              <w:t>C — Protected Project (ongoing)</w:t>
            </w:r>
          </w:p>
        </w:tc>
        <w:tc>
          <w:tcPr>
            <w:tcW w:type="dxa" w:w="3135"/>
          </w:tcPr>
          <w:p>
            <w:r/>
            <w:r>
              <w:rPr>
                <w:rFonts w:ascii="Calibri" w:hAnsi="Calibri"/>
                <w:b w:val="0"/>
                <w:i w:val="0"/>
                <w:color w:val="000000"/>
                <w:sz w:val="18"/>
              </w:rPr>
              <w:t>Any Cyprus BESS you originate or materially develop before or after signing</w:t>
            </w:r>
          </w:p>
        </w:tc>
        <w:tc>
          <w:tcPr>
            <w:tcW w:type="dxa" w:w="3135"/>
          </w:tcPr>
          <w:p>
            <w:r/>
            <w:r>
              <w:rPr>
                <w:rFonts w:ascii="Calibri" w:hAnsi="Calibri"/>
                <w:b w:val="0"/>
                <w:i w:val="0"/>
                <w:color w:val="000000"/>
                <w:sz w:val="18"/>
              </w:rPr>
              <w:t>Definition Protected Project — incl. “prior to or after the date of this Agreement”</w:t>
            </w:r>
          </w:p>
        </w:tc>
      </w:tr>
      <w:tr>
        <w:tc>
          <w:tcPr>
            <w:tcW w:type="dxa" w:w="3135"/>
          </w:tcPr>
          <w:p>
            <w:r/>
            <w:r>
              <w:rPr>
                <w:rFonts w:ascii="Calibri" w:hAnsi="Calibri"/>
                <w:b w:val="0"/>
                <w:i w:val="0"/>
                <w:color w:val="000000"/>
                <w:sz w:val="18"/>
              </w:rPr>
              <w:t>D — Anti-circumvention</w:t>
            </w:r>
          </w:p>
        </w:tc>
        <w:tc>
          <w:tcPr>
            <w:tcW w:type="dxa" w:w="3135"/>
          </w:tcPr>
          <w:p>
            <w:r/>
            <w:r>
              <w:rPr>
                <w:rFonts w:ascii="Calibri" w:hAnsi="Calibri"/>
                <w:b w:val="0"/>
                <w:i w:val="0"/>
                <w:color w:val="000000"/>
                <w:sz w:val="18"/>
              </w:rPr>
              <w:t>Stops Group / Sybaris routing Cyprus work outside LCY to avoid fees</w:t>
            </w:r>
          </w:p>
        </w:tc>
        <w:tc>
          <w:tcPr>
            <w:tcW w:type="dxa" w:w="3135"/>
          </w:tcPr>
          <w:p>
            <w:r/>
            <w:r>
              <w:rPr>
                <w:rFonts w:ascii="Calibri" w:hAnsi="Calibri"/>
                <w:b w:val="0"/>
                <w:i w:val="0"/>
                <w:color w:val="000000"/>
                <w:sz w:val="18"/>
              </w:rPr>
              <w:t>Clause 12 + Annex B personal undertaking + deed of adherence</w:t>
            </w:r>
          </w:p>
        </w:tc>
      </w:tr>
    </w:tbl>
    <w:p/>
    <w:p>
      <w:pPr>
        <w:spacing w:before="240"/>
      </w:pPr>
      <w:r>
        <w:rPr>
          <w:rFonts w:ascii="Calibri" w:hAnsi="Calibri"/>
          <w:b/>
          <w:i w:val="0"/>
          <w:color w:val="C9A432"/>
          <w:sz w:val="24"/>
        </w:rPr>
        <w:t>3. Part A vs Part B — what applies to “new” revenue</w:t>
      </w:r>
    </w:p>
    <w:p>
      <w:pPr>
        <w:jc w:val="both"/>
      </w:pPr>
      <w:r>
        <w:rPr>
          <w:rFonts w:ascii="Calibri" w:hAnsi="Calibri"/>
          <w:b w:val="0"/>
          <w:i w:val="0"/>
          <w:color w:val="000000"/>
          <w:sz w:val="20"/>
        </w:rPr>
        <w:t>Important: Part A remains on the BESS park portfolio (Schedule 1 / 1A) using the Net Margin formula (Client − CIF − EPC). Part B covers all other Company revenue in Cyprus — not limited to BESS.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Revenue type</w:t>
            </w:r>
          </w:p>
        </w:tc>
        <w:tc>
          <w:tcPr>
            <w:tcW w:type="dxa" w:w="3135"/>
            <w:shd w:fill="1A365D" w:val="clear"/>
          </w:tcPr>
          <w:p>
            <w:r/>
            <w:r>
              <w:rPr>
                <w:rFonts w:ascii="Calibri" w:hAnsi="Calibri"/>
                <w:b/>
                <w:i w:val="0"/>
                <w:color w:val="FFFFFF"/>
                <w:sz w:val="18"/>
              </w:rPr>
              <w:t>Fee</w:t>
            </w:r>
          </w:p>
        </w:tc>
        <w:tc>
          <w:tcPr>
            <w:tcW w:type="dxa" w:w="3135"/>
            <w:shd w:fill="1A365D" w:val="clear"/>
          </w:tcPr>
          <w:p>
            <w:r/>
            <w:r>
              <w:rPr>
                <w:rFonts w:ascii="Calibri" w:hAnsi="Calibri"/>
                <w:b/>
                <w:i w:val="0"/>
                <w:color w:val="FFFFFF"/>
                <w:sz w:val="18"/>
              </w:rPr>
              <w:t>When it applies</w:t>
            </w:r>
          </w:p>
        </w:tc>
      </w:tr>
      <w:tr>
        <w:tc>
          <w:tcPr>
            <w:tcW w:type="dxa" w:w="3135"/>
          </w:tcPr>
          <w:p>
            <w:r/>
            <w:r>
              <w:rPr>
                <w:rFonts w:ascii="Calibri" w:hAnsi="Calibri"/>
                <w:b w:val="0"/>
                <w:i w:val="0"/>
                <w:color w:val="000000"/>
                <w:sz w:val="18"/>
              </w:rPr>
              <w:t>Schedule 1 / 1A park EPC (BESS)</w:t>
            </w:r>
          </w:p>
        </w:tc>
        <w:tc>
          <w:tcPr>
            <w:tcW w:type="dxa" w:w="3135"/>
          </w:tcPr>
          <w:p>
            <w:r/>
            <w:r>
              <w:rPr>
                <w:rFonts w:ascii="Calibri" w:hAnsi="Calibri"/>
                <w:b w:val="0"/>
                <w:i w:val="0"/>
                <w:color w:val="000000"/>
                <w:sz w:val="18"/>
              </w:rPr>
              <w:t>Part A — 30% Net Margin</w:t>
            </w:r>
          </w:p>
        </w:tc>
        <w:tc>
          <w:tcPr>
            <w:tcW w:type="dxa" w:w="3135"/>
          </w:tcPr>
          <w:p>
            <w:r/>
            <w:r>
              <w:rPr>
                <w:rFonts w:ascii="Calibri" w:hAnsi="Calibri"/>
                <w:b w:val="0"/>
                <w:i w:val="0"/>
                <w:color w:val="000000"/>
                <w:sz w:val="18"/>
              </w:rPr>
              <w:t>Existing Project</w:t>
            </w:r>
          </w:p>
        </w:tc>
      </w:tr>
      <w:tr>
        <w:tc>
          <w:tcPr>
            <w:tcW w:type="dxa" w:w="3135"/>
          </w:tcPr>
          <w:p>
            <w:r/>
            <w:r>
              <w:rPr>
                <w:rFonts w:ascii="Calibri" w:hAnsi="Calibri"/>
                <w:b w:val="0"/>
                <w:i w:val="0"/>
                <w:color w:val="000000"/>
                <w:sz w:val="18"/>
              </w:rPr>
              <w:t>Any other LCY contract (PV, advisory, supply, new EPC, etc.)</w:t>
            </w:r>
          </w:p>
        </w:tc>
        <w:tc>
          <w:tcPr>
            <w:tcW w:type="dxa" w:w="3135"/>
          </w:tcPr>
          <w:p>
            <w:r/>
            <w:r>
              <w:rPr>
                <w:rFonts w:ascii="Calibri" w:hAnsi="Calibri"/>
                <w:b w:val="0"/>
                <w:i w:val="0"/>
                <w:color w:val="000000"/>
                <w:sz w:val="18"/>
              </w:rPr>
              <w:t>Part B — 30% Net Margin or Net Revenue</w:t>
            </w:r>
          </w:p>
        </w:tc>
        <w:tc>
          <w:tcPr>
            <w:tcW w:type="dxa" w:w="3135"/>
          </w:tcPr>
          <w:p>
            <w:r/>
            <w:r>
              <w:rPr>
                <w:rFonts w:ascii="Calibri" w:hAnsi="Calibri"/>
                <w:b w:val="0"/>
                <w:i w:val="0"/>
                <w:color w:val="000000"/>
                <w:sz w:val="18"/>
              </w:rPr>
              <w:t>Future Business</w:t>
            </w:r>
          </w:p>
        </w:tc>
      </w:tr>
      <w:tr>
        <w:tc>
          <w:tcPr>
            <w:tcW w:type="dxa" w:w="3135"/>
          </w:tcPr>
          <w:p>
            <w:r/>
            <w:r>
              <w:rPr>
                <w:rFonts w:ascii="Calibri" w:hAnsi="Calibri"/>
                <w:b w:val="0"/>
                <w:i w:val="0"/>
                <w:color w:val="000000"/>
                <w:sz w:val="18"/>
              </w:rPr>
              <w:t>Cyprus O&amp;M / LTSA / consultancy</w:t>
            </w:r>
          </w:p>
        </w:tc>
        <w:tc>
          <w:tcPr>
            <w:tcW w:type="dxa" w:w="3135"/>
          </w:tcPr>
          <w:p>
            <w:r/>
            <w:r>
              <w:rPr>
                <w:rFonts w:ascii="Calibri" w:hAnsi="Calibri"/>
                <w:b w:val="0"/>
                <w:i w:val="0"/>
                <w:color w:val="000000"/>
                <w:sz w:val="18"/>
              </w:rPr>
              <w:t>Part B</w:t>
            </w:r>
          </w:p>
        </w:tc>
        <w:tc>
          <w:tcPr>
            <w:tcW w:type="dxa" w:w="3135"/>
          </w:tcPr>
          <w:p>
            <w:r/>
            <w:r>
              <w:rPr>
                <w:rFonts w:ascii="Calibri" w:hAnsi="Calibri"/>
                <w:b w:val="0"/>
                <w:i w:val="0"/>
                <w:color w:val="000000"/>
                <w:sz w:val="18"/>
              </w:rPr>
              <w:t>Schedule 3 services</w:t>
            </w:r>
          </w:p>
        </w:tc>
      </w:tr>
      <w:tr>
        <w:tc>
          <w:tcPr>
            <w:tcW w:type="dxa" w:w="3135"/>
          </w:tcPr>
          <w:p>
            <w:r/>
            <w:r>
              <w:rPr>
                <w:rFonts w:ascii="Calibri" w:hAnsi="Calibri"/>
                <w:b w:val="0"/>
                <w:i w:val="0"/>
                <w:color w:val="000000"/>
                <w:sz w:val="18"/>
              </w:rPr>
              <w:t>Fund EPC revenue through LCY</w:t>
            </w:r>
          </w:p>
        </w:tc>
        <w:tc>
          <w:tcPr>
            <w:tcW w:type="dxa" w:w="3135"/>
          </w:tcPr>
          <w:p>
            <w:r/>
            <w:r>
              <w:rPr>
                <w:rFonts w:ascii="Calibri" w:hAnsi="Calibri"/>
                <w:b w:val="0"/>
                <w:i w:val="0"/>
                <w:color w:val="000000"/>
                <w:sz w:val="18"/>
              </w:rPr>
              <w:t>Part B</w:t>
            </w:r>
          </w:p>
        </w:tc>
        <w:tc>
          <w:tcPr>
            <w:tcW w:type="dxa" w:w="3135"/>
          </w:tcPr>
          <w:p>
            <w:r/>
            <w:r>
              <w:rPr>
                <w:rFonts w:ascii="Calibri" w:hAnsi="Calibri"/>
                <w:b w:val="0"/>
                <w:i w:val="0"/>
                <w:color w:val="000000"/>
                <w:sz w:val="18"/>
              </w:rPr>
              <w:t>Yes</w:t>
            </w:r>
          </w:p>
        </w:tc>
      </w:tr>
      <w:tr>
        <w:tc>
          <w:tcPr>
            <w:tcW w:type="dxa" w:w="3135"/>
          </w:tcPr>
          <w:p>
            <w:r/>
            <w:r>
              <w:rPr>
                <w:rFonts w:ascii="Calibri" w:hAnsi="Calibri"/>
                <w:b w:val="0"/>
                <w:i w:val="0"/>
                <w:color w:val="000000"/>
                <w:sz w:val="18"/>
              </w:rPr>
              <w:t>Fund GP carry / AUM only</w:t>
            </w:r>
          </w:p>
        </w:tc>
        <w:tc>
          <w:tcPr>
            <w:tcW w:type="dxa" w:w="3135"/>
          </w:tcPr>
          <w:p>
            <w:r/>
            <w:r>
              <w:rPr>
                <w:rFonts w:ascii="Calibri" w:hAnsi="Calibri"/>
                <w:b w:val="0"/>
                <w:i w:val="0"/>
                <w:color w:val="000000"/>
                <w:sz w:val="18"/>
              </w:rPr>
              <w:t>Excluded</w:t>
            </w:r>
          </w:p>
        </w:tc>
        <w:tc>
          <w:tcPr>
            <w:tcW w:type="dxa" w:w="3135"/>
          </w:tcPr>
          <w:p>
            <w:r/>
            <w:r>
              <w:rPr>
                <w:rFonts w:ascii="Calibri" w:hAnsi="Calibri"/>
                <w:b w:val="0"/>
                <w:i w:val="0"/>
                <w:color w:val="000000"/>
                <w:sz w:val="18"/>
              </w:rPr>
              <w:t>Clause 3.1A(i)</w:t>
            </w:r>
          </w:p>
        </w:tc>
      </w:tr>
      <w:tr>
        <w:tc>
          <w:tcPr>
            <w:tcW w:type="dxa" w:w="3135"/>
          </w:tcPr>
          <w:p>
            <w:r/>
            <w:r>
              <w:rPr>
                <w:rFonts w:ascii="Calibri" w:hAnsi="Calibri"/>
                <w:b w:val="0"/>
                <w:i w:val="0"/>
                <w:color w:val="000000"/>
                <w:sz w:val="18"/>
              </w:rPr>
              <w:t>Equity subscriptions to LCY</w:t>
            </w:r>
          </w:p>
        </w:tc>
        <w:tc>
          <w:tcPr>
            <w:tcW w:type="dxa" w:w="3135"/>
          </w:tcPr>
          <w:p>
            <w:r/>
            <w:r>
              <w:rPr>
                <w:rFonts w:ascii="Calibri" w:hAnsi="Calibri"/>
                <w:b w:val="0"/>
                <w:i w:val="0"/>
                <w:color w:val="000000"/>
                <w:sz w:val="18"/>
              </w:rPr>
              <w:t>Excluded</w:t>
            </w:r>
          </w:p>
        </w:tc>
        <w:tc>
          <w:tcPr>
            <w:tcW w:type="dxa" w:w="3135"/>
          </w:tcPr>
          <w:p>
            <w:r/>
            <w:r>
              <w:rPr>
                <w:rFonts w:ascii="Calibri" w:hAnsi="Calibri"/>
                <w:b w:val="0"/>
                <w:i w:val="0"/>
                <w:color w:val="000000"/>
                <w:sz w:val="18"/>
              </w:rPr>
              <w:t>Clause 3.1A(ii)</w:t>
            </w:r>
          </w:p>
        </w:tc>
      </w:tr>
      <w:tr>
        <w:tc>
          <w:tcPr>
            <w:tcW w:type="dxa" w:w="3135"/>
          </w:tcPr>
          <w:p>
            <w:r/>
            <w:r>
              <w:rPr>
                <w:rFonts w:ascii="Calibri" w:hAnsi="Calibri"/>
                <w:b w:val="0"/>
                <w:i w:val="0"/>
                <w:color w:val="000000"/>
                <w:sz w:val="18"/>
              </w:rPr>
              <w:t>Energy trading</w:t>
            </w:r>
          </w:p>
        </w:tc>
        <w:tc>
          <w:tcPr>
            <w:tcW w:type="dxa" w:w="3135"/>
          </w:tcPr>
          <w:p>
            <w:r/>
            <w:r>
              <w:rPr>
                <w:rFonts w:ascii="Calibri" w:hAnsi="Calibri"/>
                <w:b w:val="0"/>
                <w:i w:val="0"/>
                <w:color w:val="000000"/>
                <w:sz w:val="18"/>
              </w:rPr>
              <w:t>Excluded unless written scope</w:t>
            </w:r>
          </w:p>
        </w:tc>
        <w:tc>
          <w:tcPr>
            <w:tcW w:type="dxa" w:w="3135"/>
          </w:tcPr>
          <w:p>
            <w:r/>
            <w:r>
              <w:rPr>
                <w:rFonts w:ascii="Calibri" w:hAnsi="Calibri"/>
                <w:b w:val="0"/>
                <w:i w:val="0"/>
                <w:color w:val="000000"/>
                <w:sz w:val="18"/>
              </w:rPr>
              <w:t>Clause 3.1A(iii)</w:t>
            </w:r>
          </w:p>
        </w:tc>
      </w:tr>
      <w:tr>
        <w:tc>
          <w:tcPr>
            <w:tcW w:type="dxa" w:w="3135"/>
          </w:tcPr>
          <w:p>
            <w:r/>
            <w:r>
              <w:rPr>
                <w:rFonts w:ascii="Calibri" w:hAnsi="Calibri"/>
                <w:b w:val="0"/>
                <w:i w:val="0"/>
                <w:color w:val="000000"/>
                <w:sz w:val="18"/>
              </w:rPr>
              <w:t>Non-Cyprus principal performance</w:t>
            </w:r>
          </w:p>
        </w:tc>
        <w:tc>
          <w:tcPr>
            <w:tcW w:type="dxa" w:w="3135"/>
          </w:tcPr>
          <w:p>
            <w:r/>
            <w:r>
              <w:rPr>
                <w:rFonts w:ascii="Calibri" w:hAnsi="Calibri"/>
                <w:b w:val="0"/>
                <w:i w:val="0"/>
                <w:color w:val="000000"/>
                <w:sz w:val="18"/>
              </w:rPr>
              <w:t>Excluded unless agreed</w:t>
            </w:r>
          </w:p>
        </w:tc>
        <w:tc>
          <w:tcPr>
            <w:tcW w:type="dxa" w:w="3135"/>
          </w:tcPr>
          <w:p>
            <w:r/>
            <w:r>
              <w:rPr>
                <w:rFonts w:ascii="Calibri" w:hAnsi="Calibri"/>
                <w:b w:val="0"/>
                <w:i w:val="0"/>
                <w:color w:val="000000"/>
                <w:sz w:val="18"/>
              </w:rPr>
              <w:t>Clause 3.1A(iv)</w:t>
            </w:r>
          </w:p>
        </w:tc>
      </w:tr>
    </w:tbl>
    <w:p/>
    <w:p>
      <w:pPr>
        <w:jc w:val="both"/>
      </w:pPr>
      <w:r>
        <w:rPr>
          <w:rFonts w:ascii="Calibri" w:hAnsi="Calibri"/>
          <w:b w:val="0"/>
          <w:i w:val="0"/>
          <w:color w:val="000000"/>
          <w:sz w:val="20"/>
        </w:rPr>
        <w:t>Non-BESS revenue is explicitly not excluded by technology alone (Clause 3.1A).</w:t>
      </w:r>
    </w:p>
    <w:p>
      <w:pPr>
        <w:spacing w:before="240"/>
      </w:pPr>
      <w:r>
        <w:rPr>
          <w:rFonts w:ascii="Calibri" w:hAnsi="Calibri"/>
          <w:b/>
          <w:i w:val="0"/>
          <w:color w:val="C9A432"/>
          <w:sz w:val="24"/>
        </w:rPr>
        <w:t>4. LOI pipeline (9 parks) — before EPC exists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Protection</w:t>
            </w:r>
          </w:p>
        </w:tc>
        <w:tc>
          <w:tcPr>
            <w:tcW w:type="dxa" w:w="4703"/>
            <w:shd w:fill="1A365D" w:val="clear"/>
          </w:tcPr>
          <w:p>
            <w:r/>
            <w:r>
              <w:rPr>
                <w:rFonts w:ascii="Calibri" w:hAnsi="Calibri"/>
                <w:b/>
                <w:i w:val="0"/>
                <w:color w:val="FFFFFF"/>
                <w:sz w:val="18"/>
              </w:rPr>
              <w:t>Mechanism</w:t>
            </w:r>
          </w:p>
        </w:tc>
      </w:tr>
      <w:tr>
        <w:tc>
          <w:tcPr>
            <w:tcW w:type="dxa" w:w="4703"/>
          </w:tcPr>
          <w:p>
            <w:r/>
            <w:r>
              <w:rPr>
                <w:rFonts w:ascii="Calibri" w:hAnsi="Calibri"/>
                <w:b w:val="0"/>
                <w:i w:val="0"/>
                <w:color w:val="000000"/>
                <w:sz w:val="18"/>
              </w:rPr>
              <w:t>Client locked to Lighthief pre-EPC</w:t>
            </w:r>
          </w:p>
        </w:tc>
        <w:tc>
          <w:tcPr>
            <w:tcW w:type="dxa" w:w="4703"/>
          </w:tcPr>
          <w:p>
            <w:r/>
            <w:r>
              <w:rPr>
                <w:rFonts w:ascii="Calibri" w:hAnsi="Calibri"/>
                <w:b w:val="0"/>
                <w:i w:val="0"/>
                <w:color w:val="000000"/>
                <w:sz w:val="18"/>
              </w:rPr>
              <w:t>Esperia pipeline LOI (Part L2) — exclusivity / good-faith clauses per park batch</w:t>
            </w:r>
          </w:p>
        </w:tc>
      </w:tr>
      <w:tr>
        <w:tc>
          <w:tcPr>
            <w:tcW w:type="dxa" w:w="4703"/>
          </w:tcPr>
          <w:p>
            <w:r/>
            <w:r>
              <w:rPr>
                <w:rFonts w:ascii="Calibri" w:hAnsi="Calibri"/>
                <w:b w:val="0"/>
                <w:i w:val="0"/>
                <w:color w:val="000000"/>
                <w:sz w:val="18"/>
              </w:rPr>
              <w:t>Fee when money flows</w:t>
            </w:r>
          </w:p>
        </w:tc>
        <w:tc>
          <w:tcPr>
            <w:tcW w:type="dxa" w:w="4703"/>
          </w:tcPr>
          <w:p>
            <w:r/>
            <w:r>
              <w:rPr>
                <w:rFonts w:ascii="Calibri" w:hAnsi="Calibri"/>
                <w:b w:val="0"/>
                <w:i w:val="0"/>
                <w:color w:val="000000"/>
                <w:sz w:val="18"/>
              </w:rPr>
              <w:t>Part A once park is in Existing Project / signed EPC; until then LOI prevents competitor EPC</w:t>
            </w:r>
          </w:p>
        </w:tc>
      </w:tr>
      <w:tr>
        <w:tc>
          <w:tcPr>
            <w:tcW w:type="dxa" w:w="4703"/>
          </w:tcPr>
          <w:p>
            <w:r/>
            <w:r>
              <w:rPr>
                <w:rFonts w:ascii="Calibri" w:hAnsi="Calibri"/>
                <w:b w:val="0"/>
                <w:i w:val="0"/>
                <w:color w:val="000000"/>
                <w:sz w:val="18"/>
              </w:rPr>
              <w:t>Circumvention</w:t>
            </w:r>
          </w:p>
        </w:tc>
        <w:tc>
          <w:tcPr>
            <w:tcW w:type="dxa" w:w="4703"/>
          </w:tcPr>
          <w:p>
            <w:r/>
            <w:r>
              <w:rPr>
                <w:rFonts w:ascii="Calibri" w:hAnsi="Calibri"/>
                <w:b w:val="0"/>
                <w:i w:val="0"/>
                <w:color w:val="000000"/>
                <w:sz w:val="18"/>
              </w:rPr>
              <w:t>If client pays a Group entity instead of LCY → Deemed Group Receipt (Clause 12.3) + Annex B</w:t>
            </w:r>
          </w:p>
        </w:tc>
      </w:tr>
      <w:tr>
        <w:tc>
          <w:tcPr>
            <w:tcW w:type="dxa" w:w="4703"/>
          </w:tcPr>
          <w:p>
            <w:r/>
            <w:r>
              <w:rPr>
                <w:rFonts w:ascii="Calibri" w:hAnsi="Calibri"/>
                <w:b w:val="0"/>
                <w:i w:val="0"/>
                <w:color w:val="000000"/>
                <w:sz w:val="18"/>
              </w:rPr>
              <w:t>Sybaris personal backstop</w:t>
            </w:r>
          </w:p>
        </w:tc>
        <w:tc>
          <w:tcPr>
            <w:tcW w:type="dxa" w:w="4703"/>
          </w:tcPr>
          <w:p>
            <w:r/>
            <w:r>
              <w:rPr>
                <w:rFonts w:ascii="Calibri" w:hAnsi="Calibri"/>
                <w:b w:val="0"/>
                <w:i w:val="0"/>
                <w:color w:val="000000"/>
                <w:sz w:val="18"/>
              </w:rPr>
              <w:t>Annex B — non-interference, deemed receipts, adherence before Group contracts</w:t>
            </w:r>
          </w:p>
        </w:tc>
      </w:tr>
    </w:tbl>
    <w:p/>
    <w:p>
      <w:pPr>
        <w:jc w:val="both"/>
      </w:pPr>
      <w:r>
        <w:rPr>
          <w:rFonts w:ascii="Calibri" w:hAnsi="Calibri"/>
          <w:b w:val="0"/>
          <w:i w:val="0"/>
          <w:color w:val="000000"/>
          <w:sz w:val="20"/>
        </w:rPr>
        <w:t>Galascope (2 parks): already in Schedule 1 G2; separate Galascope LOI (Part L1) + EPC triggers 10% equity and €5k salary.</w:t>
      </w:r>
    </w:p>
    <w:p>
      <w:pPr>
        <w:spacing w:before="240"/>
      </w:pPr>
      <w:r>
        <w:rPr>
          <w:rFonts w:ascii="Calibri" w:hAnsi="Calibri"/>
          <w:b/>
          <w:i w:val="0"/>
          <w:color w:val="C9A432"/>
          <w:sz w:val="24"/>
        </w:rPr>
        <w:t>5. Investor or third party introduces a deal later</w:t>
      </w:r>
    </w:p>
    <w:p>
      <w:pPr>
        <w:jc w:val="both"/>
      </w:pPr>
      <w:r>
        <w:rPr>
          <w:rFonts w:ascii="Calibri" w:hAnsi="Calibri"/>
          <w:b w:val="0"/>
          <w:i w:val="0"/>
          <w:color w:val="000000"/>
          <w:sz w:val="20"/>
        </w:rPr>
        <w:t>Clause 12.7: Future business from a third-party investor remains subject to Part B when executed through the Company, unless the Parties sign a written carve-out for a named project before contract signature.</w:t>
      </w:r>
    </w:p>
    <w:p>
      <w:pPr>
        <w:jc w:val="both"/>
      </w:pPr>
      <w:r>
        <w:rPr>
          <w:rFonts w:ascii="Calibri" w:hAnsi="Calibri"/>
          <w:b w:val="0"/>
          <w:i w:val="0"/>
          <w:color w:val="000000"/>
          <w:sz w:val="20"/>
        </w:rPr>
        <w:t>So an investor does not automatically wipe fees — but you should disclose the side letter to investors and expect SHA negotiation at scale.</w:t>
      </w:r>
    </w:p>
    <w:p>
      <w:pPr>
        <w:jc w:val="both"/>
      </w:pPr>
      <w:r>
        <w:rPr>
          <w:rFonts w:ascii="Calibri" w:hAnsi="Calibri"/>
          <w:b w:val="0"/>
          <w:i w:val="0"/>
          <w:color w:val="000000"/>
          <w:sz w:val="20"/>
        </w:rPr>
        <w:t>Equity side letter is separate: investor cash → 30% participation fee; MD equity capped at 15% if investor path (see Part 10).</w:t>
      </w:r>
    </w:p>
    <w:p>
      <w:pPr>
        <w:spacing w:before="240"/>
      </w:pPr>
      <w:r>
        <w:rPr>
          <w:rFonts w:ascii="Calibri" w:hAnsi="Calibri"/>
          <w:b/>
          <w:i w:val="0"/>
          <w:color w:val="C9A432"/>
          <w:sz w:val="24"/>
        </w:rPr>
        <w:t>6. What is *not* automatically protected</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Gap</w:t>
            </w:r>
          </w:p>
        </w:tc>
        <w:tc>
          <w:tcPr>
            <w:tcW w:type="dxa" w:w="4703"/>
            <w:shd w:fill="1A365D" w:val="clear"/>
          </w:tcPr>
          <w:p>
            <w:r/>
            <w:r>
              <w:rPr>
                <w:rFonts w:ascii="Calibri" w:hAnsi="Calibri"/>
                <w:b/>
                <w:i w:val="0"/>
                <w:color w:val="FFFFFF"/>
                <w:sz w:val="18"/>
              </w:rPr>
              <w:t>Mitigation</w:t>
            </w:r>
          </w:p>
        </w:tc>
      </w:tr>
      <w:tr>
        <w:tc>
          <w:tcPr>
            <w:tcW w:type="dxa" w:w="4703"/>
          </w:tcPr>
          <w:p>
            <w:r/>
            <w:r>
              <w:rPr>
                <w:rFonts w:ascii="Calibri" w:hAnsi="Calibri"/>
                <w:b w:val="0"/>
                <w:i w:val="0"/>
                <w:color w:val="000000"/>
                <w:sz w:val="18"/>
              </w:rPr>
              <w:t>New park originated by someone else (not you)</w:t>
            </w:r>
          </w:p>
        </w:tc>
        <w:tc>
          <w:tcPr>
            <w:tcW w:type="dxa" w:w="4703"/>
          </w:tcPr>
          <w:p>
            <w:r/>
            <w:r>
              <w:rPr>
                <w:rFonts w:ascii="Calibri" w:hAnsi="Calibri"/>
                <w:b w:val="0"/>
                <w:i w:val="0"/>
                <w:color w:val="000000"/>
                <w:sz w:val="18"/>
              </w:rPr>
              <w:t>Part B only if you deliver ops; Part A only if in Schedule 1 / your prior origination</w:t>
            </w:r>
          </w:p>
        </w:tc>
      </w:tr>
      <w:tr>
        <w:tc>
          <w:tcPr>
            <w:tcW w:type="dxa" w:w="4703"/>
          </w:tcPr>
          <w:p>
            <w:r/>
            <w:r>
              <w:rPr>
                <w:rFonts w:ascii="Calibri" w:hAnsi="Calibri"/>
                <w:b w:val="0"/>
                <w:i w:val="0"/>
                <w:color w:val="000000"/>
                <w:sz w:val="18"/>
              </w:rPr>
              <w:t>Work forced through non-Group SPV without you</w:t>
            </w:r>
          </w:p>
        </w:tc>
        <w:tc>
          <w:tcPr>
            <w:tcW w:type="dxa" w:w="4703"/>
          </w:tcPr>
          <w:p>
            <w:r/>
            <w:r>
              <w:rPr>
                <w:rFonts w:ascii="Calibri" w:hAnsi="Calibri"/>
                <w:b w:val="0"/>
                <w:i w:val="0"/>
                <w:color w:val="000000"/>
                <w:sz w:val="18"/>
              </w:rPr>
              <w:t>Commercial + LOI; legal review per deal</w:t>
            </w:r>
          </w:p>
        </w:tc>
      </w:tr>
      <w:tr>
        <w:tc>
          <w:tcPr>
            <w:tcW w:type="dxa" w:w="4703"/>
          </w:tcPr>
          <w:p>
            <w:r/>
            <w:r>
              <w:rPr>
                <w:rFonts w:ascii="Calibri" w:hAnsi="Calibri"/>
                <w:b w:val="0"/>
                <w:i w:val="0"/>
                <w:color w:val="000000"/>
                <w:sz w:val="18"/>
              </w:rPr>
              <w:t>Founder refuses deed of adherence</w:t>
            </w:r>
          </w:p>
        </w:tc>
        <w:tc>
          <w:tcPr>
            <w:tcW w:type="dxa" w:w="4703"/>
          </w:tcPr>
          <w:p>
            <w:r/>
            <w:r>
              <w:rPr>
                <w:rFonts w:ascii="Calibri" w:hAnsi="Calibri"/>
                <w:b w:val="0"/>
                <w:i w:val="0"/>
                <w:color w:val="000000"/>
                <w:sz w:val="18"/>
              </w:rPr>
              <w:t>Annex B personal claim against Sybaris</w:t>
            </w:r>
          </w:p>
        </w:tc>
      </w:tr>
      <w:tr>
        <w:tc>
          <w:tcPr>
            <w:tcW w:type="dxa" w:w="4703"/>
          </w:tcPr>
          <w:p>
            <w:r/>
            <w:r>
              <w:rPr>
                <w:rFonts w:ascii="Calibri" w:hAnsi="Calibri"/>
                <w:b w:val="0"/>
                <w:i w:val="0"/>
                <w:color w:val="000000"/>
                <w:sz w:val="18"/>
              </w:rPr>
              <w:t>Broad “Future Business” definition in recitals</w:t>
            </w:r>
          </w:p>
        </w:tc>
        <w:tc>
          <w:tcPr>
            <w:tcW w:type="dxa" w:w="4703"/>
          </w:tcPr>
          <w:p>
            <w:r/>
            <w:r>
              <w:rPr>
                <w:rFonts w:ascii="Calibri" w:hAnsi="Calibri"/>
                <w:b w:val="0"/>
                <w:i w:val="0"/>
                <w:color w:val="000000"/>
                <w:sz w:val="18"/>
              </w:rPr>
              <w:t>Operative scope is Part B + Protected Project + Clause 12 — counsel narrowed Part B in 3.1A</w:t>
            </w:r>
          </w:p>
        </w:tc>
      </w:tr>
    </w:tbl>
    <w:p/>
    <w:p>
      <w:pPr>
        <w:spacing w:before="240"/>
      </w:pPr>
      <w:r>
        <w:rPr>
          <w:rFonts w:ascii="Calibri" w:hAnsi="Calibri"/>
          <w:b/>
          <w:i w:val="0"/>
          <w:color w:val="C9A432"/>
          <w:sz w:val="24"/>
        </w:rPr>
        <w:t>7. Practical checklist when a new opportunity appears</w:t>
      </w:r>
    </w:p>
    <w:p>
      <w:pPr>
        <w:jc w:val="both"/>
      </w:pPr>
      <w:r>
        <w:rPr>
          <w:rFonts w:ascii="Calibri" w:hAnsi="Calibri"/>
          <w:b w:val="0"/>
          <w:i w:val="0"/>
          <w:color w:val="000000"/>
          <w:sz w:val="20"/>
        </w:rPr>
        <w:t>1. Name the park/client in writing to the Company (email/minutes).</w:t>
      </w:r>
    </w:p>
    <w:p>
      <w:pPr>
        <w:jc w:val="both"/>
      </w:pPr>
      <w:r>
        <w:rPr>
          <w:rFonts w:ascii="Calibri" w:hAnsi="Calibri"/>
          <w:b w:val="0"/>
          <w:i w:val="0"/>
          <w:color w:val="000000"/>
          <w:sz w:val="20"/>
        </w:rPr>
        <w:t>2. Confirm contracting entity = Lighthief Cyprus Ltd (Clause 12.2).</w:t>
      </w:r>
    </w:p>
    <w:p>
      <w:pPr>
        <w:jc w:val="both"/>
      </w:pPr>
      <w:r>
        <w:rPr>
          <w:rFonts w:ascii="Calibri" w:hAnsi="Calibri"/>
          <w:b w:val="0"/>
          <w:i w:val="0"/>
          <w:color w:val="000000"/>
          <w:sz w:val="20"/>
        </w:rPr>
        <w:t>3. If a Group company is involved → deed of adherence before they touch the client.</w:t>
      </w:r>
    </w:p>
    <w:p>
      <w:pPr>
        <w:jc w:val="both"/>
      </w:pPr>
      <w:r>
        <w:rPr>
          <w:rFonts w:ascii="Calibri" w:hAnsi="Calibri"/>
          <w:b w:val="0"/>
          <w:i w:val="0"/>
          <w:color w:val="000000"/>
          <w:sz w:val="20"/>
        </w:rPr>
        <w:t>4. If investor involved → written carve-out only if you agree; else Part B + disclosure.</w:t>
      </w:r>
    </w:p>
    <w:p>
      <w:pPr>
        <w:jc w:val="both"/>
      </w:pPr>
      <w:r>
        <w:rPr>
          <w:rFonts w:ascii="Calibri" w:hAnsi="Calibri"/>
          <w:b w:val="0"/>
          <w:i w:val="0"/>
          <w:color w:val="000000"/>
          <w:sz w:val="20"/>
        </w:rPr>
        <w:t>5. Update Schedule 1 at next amendment if counsel advises (optional; Protected Project may suffice).</w:t>
      </w:r>
    </w:p>
    <w:p>
      <w:pPr>
        <w:spacing w:before="240"/>
      </w:pPr>
      <w:r>
        <w:rPr>
          <w:rFonts w:ascii="Calibri" w:hAnsi="Calibri"/>
          <w:b/>
          <w:i w:val="0"/>
          <w:color w:val="C9A432"/>
          <w:sz w:val="24"/>
        </w:rPr>
        <w:t>8. Founder ask (plain language)</w:t>
      </w:r>
    </w:p>
    <w:p>
      <w:pPr>
        <w:ind w:left="567"/>
      </w:pPr>
      <w:r>
        <w:rPr>
          <w:rFonts w:ascii="Calibri" w:hAnsi="Calibri"/>
          <w:b w:val="0"/>
          <w:i/>
          <w:color w:val="404040"/>
          <w:sz w:val="20"/>
        </w:rPr>
        <w:t>“All **Lighthief Cyprus Ltd** revenue in Cyprus that isn’t the Schedule 1 BESS book runs through Part B (30%), must stay on LCY, and Sybaris can’t route it around the Company (Annex B). BESS is the core today; the fee is on the **whole company undertaking**, with narrow exclusions for equity, fund carry, and offshore work.”</w:t>
      </w:r>
    </w:p>
    <w:p>
      <w:pPr>
        <w:jc w:val="both"/>
      </w:pPr>
      <w:r>
        <w:rPr>
          <w:rFonts w:ascii="Calibri" w:hAnsi="Calibri"/>
          <w:b w:val="0"/>
          <w:i w:val="0"/>
          <w:color w:val="000000"/>
          <w:sz w:val="20"/>
        </w:rPr>
        <w:t>Not legal advice — for discussion with counsel.</w:t>
      </w:r>
    </w:p>
    <w:p>
      <w:pPr>
        <w:sectPr>
          <w:footerReference w:type="default" r:id="rId12"/>
          <w:pgSz w:w="12240" w:h="15840"/>
          <w:pgMar w:top="1134" w:right="1417" w:bottom="1247" w:left="1417" w:header="720" w:footer="720" w:gutter="0"/>
          <w:cols w:space="720"/>
          <w:docGrid w:linePitch="360"/>
          <w:pgNumType w:start="1"/>
        </w:sectPr>
      </w:pPr>
    </w:p>
    <w:p>
      <w:pPr>
        <w:sectPr>
          <w:footerReference w:type="default" r:id="rId13"/>
          <w:pgSz w:w="12240" w:h="15840"/>
          <w:pgMar w:top="1134" w:right="1417" w:bottom="1247" w:left="1417" w:header="720" w:footer="720" w:gutter="0"/>
          <w:cols w:space="720"/>
          <w:docGrid w:linePitch="360"/>
          <w:pgNumType w:start="1"/>
        </w:sectPr>
      </w:pPr>
    </w:p>
    <w:p>
      <w:pPr>
        <w:sectPr>
          <w:footerReference w:type="default" r:id="rId14"/>
          <w:pgSz w:w="12240" w:h="15840"/>
          <w:pgMar w:top="1134" w:right="1417" w:bottom="1247" w:left="1417" w:header="720" w:footer="720" w:gutter="0"/>
          <w:cols w:space="720"/>
          <w:docGrid w:linePitch="360"/>
          <w:pgNumType w:start="1"/>
        </w:sectPr>
      </w:pPr>
    </w:p>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TEAM OPERATIONAL CONSULTANCY AGREEMENT</w:t>
      </w:r>
    </w:p>
    <w:p>
      <w:pPr>
        <w:jc w:val="center"/>
      </w:pPr>
      <w:r>
        <w:rPr>
          <w:rFonts w:ascii="Calibri" w:hAnsi="Calibri"/>
          <w:b w:val="0"/>
          <w:i/>
          <w:color w:val="404040"/>
          <w:sz w:val="22"/>
        </w:rPr>
        <w:t>Company Operations — BESS Portfolio &amp; All Future LCY Business</w:t>
      </w:r>
    </w:p>
    <w:p/>
    <w:p>
      <w:pPr>
        <w:jc w:val="both"/>
      </w:pPr>
      <w:r>
        <w:rPr>
          <w:rFonts w:ascii="Calibri" w:hAnsi="Calibri"/>
          <w:b w:val="0"/>
          <w:i w:val="0"/>
          <w:color w:val="000000"/>
          <w:sz w:val="20"/>
        </w:rPr>
        <w:br/>
        <w:t>Date: ______________________ 2026</w:t>
        <w:br/>
        <w:t xml:space="preserve">    |  </w:t>
        <w:br/>
        <w:t xml:space="preserve">  Reference: LCY-MOI-TOCA-2026-001</w:t>
        <w:br/>
        <w:t xml:space="preserve">    |  </w:t>
        <w:br/>
        <w:t xml:space="preserve">  Executed as a Deed</w:t>
        <w:br/>
      </w:r>
    </w:p>
    <w:p>
      <w:r>
        <w:rPr>
          <w:rFonts w:ascii="Calibri" w:hAnsi="Calibri"/>
          <w:b w:val="0"/>
          <w:i w:val="0"/>
          <w:color w:val="000000"/>
          <w:sz w:val="20"/>
        </w:rPr>
        <w:t>═══ PARTIES ═══</w:t>
      </w:r>
    </w:p>
    <w:p>
      <w:r>
        <w:rPr>
          <w:rFonts w:ascii="Calibri" w:hAnsi="Calibri"/>
          <w:b/>
          <w:i w:val="0"/>
          <w:color w:val="1A365D"/>
          <w:sz w:val="20"/>
        </w:rPr>
        <w:t>The Company</w:t>
      </w:r>
    </w:p>
    <w:p>
      <w:r>
        <w:rPr>
          <w:rFonts w:ascii="Calibri" w:hAnsi="Calibri"/>
          <w:b w:val="0"/>
          <w:i w:val="0"/>
          <w:color w:val="000000"/>
          <w:sz w:val="18"/>
        </w:rPr>
        <w:t>Lighthief Cyprus Ltd</w:t>
      </w:r>
    </w:p>
    <w:p>
      <w:r>
        <w:rPr>
          <w:rFonts w:ascii="Calibri" w:hAnsi="Calibri"/>
          <w:b w:val="0"/>
          <w:i w:val="0"/>
          <w:color w:val="000000"/>
          <w:sz w:val="18"/>
        </w:rPr>
        <w:t>Company No. HE 477423</w:t>
      </w:r>
    </w:p>
    <w:p>
      <w:r>
        <w:rPr>
          <w:rFonts w:ascii="Calibri" w:hAnsi="Calibri"/>
          <w:b w:val="0"/>
          <w:i w:val="0"/>
          <w:color w:val="000000"/>
          <w:sz w:val="18"/>
        </w:rPr>
        <w:t>TIN: 60187188Q</w:t>
      </w:r>
    </w:p>
    <w:p>
      <w:r>
        <w:rPr>
          <w:rFonts w:ascii="Calibri" w:hAnsi="Calibri"/>
          <w:b w:val="0"/>
          <w:i w:val="0"/>
          <w:color w:val="000000"/>
          <w:sz w:val="18"/>
        </w:rPr>
        <w:t>Registered: Agiou Andreou 241, AG TRIAS COURT, Flat/Office 31, 3036 Limassol, Cyprus</w:t>
      </w:r>
    </w:p>
    <w:p>
      <w:r>
        <w:rPr>
          <w:rFonts w:ascii="Calibri" w:hAnsi="Calibri"/>
          <w:b w:val="0"/>
          <w:i w:val="0"/>
          <w:color w:val="000000"/>
          <w:sz w:val="18"/>
        </w:rPr>
        <w:t>Operational: 28 October Ave 249, Lophitis Business Center 1, Office 201, 3035 Limassol</w:t>
      </w:r>
    </w:p>
    <w:p>
      <w:r>
        <w:rPr>
          <w:rFonts w:ascii="Calibri" w:hAnsi="Calibri"/>
          <w:b w:val="0"/>
          <w:i w:val="0"/>
          <w:color w:val="000000"/>
          <w:sz w:val="18"/>
        </w:rPr>
        <w:t>Director: Alexander Papacosta (Cyprus ID: 1241318)</w:t>
      </w:r>
    </w:p>
    <w:p>
      <w:r>
        <w:rPr>
          <w:rFonts w:ascii="Calibri" w:hAnsi="Calibri"/>
          <w:b w:val="0"/>
          <w:i w:val="0"/>
          <w:color w:val="000000"/>
          <w:sz w:val="18"/>
        </w:rPr>
        <w:t>Shareholder: Lighthief International Ltd</w:t>
      </w:r>
    </w:p>
    <w:p>
      <w:r>
        <w:rPr>
          <w:rFonts w:ascii="Calibri" w:hAnsi="Calibri"/>
          <w:b w:val="0"/>
          <w:i w:val="0"/>
          <w:color w:val="000000"/>
          <w:sz w:val="18"/>
        </w:rPr>
        <w:t>UBO: Dr. Arkadiusz Sybaris</w:t>
      </w:r>
    </w:p>
    <w:p>
      <w:r>
        <w:rPr>
          <w:rFonts w:ascii="Calibri" w:hAnsi="Calibri"/>
          <w:b w:val="0"/>
          <w:i w:val="0"/>
          <w:color w:val="000000"/>
          <w:sz w:val="18"/>
        </w:rPr>
        <w:t>(hereinafter "the Company")</w:t>
      </w:r>
    </w:p>
    <w:p>
      <w:r>
        <w:rPr>
          <w:rFonts w:ascii="Calibri" w:hAnsi="Calibri"/>
          <w:b/>
          <w:i w:val="0"/>
          <w:color w:val="1A365D"/>
          <w:sz w:val="20"/>
        </w:rPr>
        <w:t>The Consultant</w:t>
      </w:r>
    </w:p>
    <w:p>
      <w:r>
        <w:rPr>
          <w:rFonts w:ascii="Calibri" w:hAnsi="Calibri"/>
          <w:b w:val="0"/>
          <w:i w:val="0"/>
          <w:color w:val="000000"/>
          <w:sz w:val="18"/>
        </w:rPr>
        <w:t>Moi Ostrov Ltd</w:t>
      </w:r>
    </w:p>
    <w:p>
      <w:r>
        <w:rPr>
          <w:rFonts w:ascii="Calibri" w:hAnsi="Calibri"/>
          <w:b w:val="0"/>
          <w:i w:val="0"/>
          <w:color w:val="000000"/>
          <w:sz w:val="18"/>
        </w:rPr>
        <w:t>Company No. HE 319483</w:t>
      </w:r>
    </w:p>
    <w:p>
      <w:r>
        <w:rPr>
          <w:rFonts w:ascii="Calibri" w:hAnsi="Calibri"/>
          <w:b w:val="0"/>
          <w:i w:val="0"/>
          <w:color w:val="000000"/>
          <w:sz w:val="18"/>
        </w:rPr>
        <w:t>Registered: 7 Nikolaou Ellina, Shop 2, 8016 Paphos, Cyprus</w:t>
      </w:r>
    </w:p>
    <w:p>
      <w:r>
        <w:rPr>
          <w:rFonts w:ascii="Calibri" w:hAnsi="Calibri"/>
          <w:b w:val="0"/>
          <w:i w:val="0"/>
          <w:color w:val="000000"/>
          <w:sz w:val="18"/>
        </w:rPr>
        <w:t>Director: Alexander Papacosta (Cyprus ID: 1241318)</w:t>
      </w:r>
    </w:p>
    <w:p>
      <w:r>
        <w:rPr>
          <w:rFonts w:ascii="Calibri" w:hAnsi="Calibri"/>
          <w:b w:val="0"/>
          <w:i w:val="0"/>
          <w:color w:val="000000"/>
          <w:sz w:val="18"/>
        </w:rPr>
        <w:t>Email: al@moiostrov.com</w:t>
      </w:r>
    </w:p>
    <w:p>
      <w:r>
        <w:rPr>
          <w:rFonts w:ascii="Calibri" w:hAnsi="Calibri"/>
          <w:b w:val="0"/>
          <w:i w:val="0"/>
          <w:color w:val="000000"/>
          <w:sz w:val="18"/>
        </w:rPr>
        <w:t>Tel: +357 99 164 158</w:t>
      </w:r>
    </w:p>
    <w:p>
      <w:r>
        <w:rPr>
          <w:rFonts w:ascii="Calibri" w:hAnsi="Calibri"/>
          <w:b w:val="0"/>
          <w:i w:val="0"/>
          <w:color w:val="000000"/>
          <w:sz w:val="18"/>
        </w:rPr>
        <w:t>(hereinafter "the Consultant")</w:t>
      </w:r>
    </w:p>
    <w:p/>
    <w:p>
      <w:pPr>
        <w:jc w:val="both"/>
      </w:pPr>
      <w:r>
        <w:rPr>
          <w:rFonts w:ascii="Calibri" w:hAnsi="Calibri"/>
          <w:b w:val="0"/>
          <w:i w:val="0"/>
          <w:color w:val="000000"/>
          <w:sz w:val="20"/>
        </w:rPr>
        <w:t>The Company and the Consultant are each a "Party" and together the "Parties".</w:t>
      </w:r>
    </w:p>
    <w:p>
      <w:r>
        <w:rPr>
          <w:rFonts w:ascii="Calibri" w:hAnsi="Calibri"/>
          <w:b w:val="0"/>
          <w:i w:val="0"/>
          <w:color w:val="000000"/>
          <w:sz w:val="20"/>
        </w:rPr>
        <w:t>═══ RECITALS ═══</w:t>
      </w:r>
    </w:p>
    <w:p>
      <w:pPr>
        <w:spacing w:before="28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Company is engaged as the exclusive EPC contractor for the delivery of Battery Energy Storage Systems (BESS) across 51 solar parks in Cyprus, comprising a portfolio of approximately 881.78 MWh, under distribution and EPC agreements with Linyang Energy, Voltus Energy, and end clients (the "Existing Project").</w:t>
      </w:r>
    </w:p>
    <w:p>
      <w:pPr>
        <w:jc w:val="both"/>
      </w:pPr>
      <w:r>
        <w:rPr>
          <w:rFonts w:ascii="Calibri" w:hAnsi="Calibri"/>
          <w:b w:val="0"/>
          <w:i w:val="0"/>
          <w:color w:val="000000"/>
          <w:sz w:val="20"/>
        </w:rPr>
        <w:t>(B) Alexander Papacosta, the sole director of the Consultant and currently a director of the Company, personally originated, structured, and secured the Existing Project, including establishing the Linyang distribution partnership, negotiating EPC terms with all six client groups, obtaining SCADA/EMS quotations from Voltus Energy, and developing the entire Cyprus BESS pipeline.</w:t>
      </w:r>
    </w:p>
    <w:p>
      <w:pPr>
        <w:jc w:val="both"/>
      </w:pPr>
      <w:r>
        <w:rPr>
          <w:rFonts w:ascii="Calibri" w:hAnsi="Calibri"/>
          <w:b w:val="0"/>
          <w:i w:val="0"/>
          <w:color w:val="000000"/>
          <w:sz w:val="20"/>
        </w:rPr>
        <w:t>(C) In addition to origination, the Consultant provides ongoing operational services essential to the Company's business, including project management, team coordination and supervision, subcontractor procurement and oversight, client relationship management, supply chain management, EPC execution planning, and quality assurance — as more particularly described in Schedule 3.</w:t>
      </w:r>
    </w:p>
    <w:p>
      <w:pPr>
        <w:jc w:val="both"/>
      </w:pPr>
      <w:r>
        <w:rPr>
          <w:rFonts w:ascii="Calibri" w:hAnsi="Calibri"/>
          <w:b w:val="0"/>
          <w:i w:val="0"/>
          <w:color w:val="000000"/>
          <w:sz w:val="20"/>
        </w:rPr>
        <w:t>(D) The Company anticipates future business beyond the Existing Project, including but not limited to: fund-generated EPC contracts, management fees, operations and maintenance (O&amp;M) revenue, energy trading, BESS supply margins, and new client acquisitions (the "Future Business").</w:t>
      </w:r>
    </w:p>
    <w:p>
      <w:pPr>
        <w:jc w:val="both"/>
      </w:pPr>
      <w:r>
        <w:rPr>
          <w:rFonts w:ascii="Calibri" w:hAnsi="Calibri"/>
          <w:b w:val="0"/>
          <w:i w:val="0"/>
          <w:color w:val="000000"/>
          <w:sz w:val="20"/>
        </w:rPr>
        <w:t>(E) The Parties wish to formalise a two-part fee structure recognising: (i) the Consultant's entitlement to an Origination Fee for the Existing Project (Part A); and (ii) a Team Operations Fee on all future revenue and business of the Company conducted in or from Cyprus that is not part of the Existing Project (Part B), subject to the exclusions in Clause 3.1A.</w:t>
      </w:r>
    </w:p>
    <w:p>
      <w:pPr>
        <w:jc w:val="both"/>
      </w:pPr>
      <w:r>
        <w:rPr>
          <w:rFonts w:ascii="Calibri" w:hAnsi="Calibri"/>
          <w:b w:val="0"/>
          <w:i w:val="0"/>
          <w:color w:val="000000"/>
          <w:sz w:val="20"/>
        </w:rPr>
        <w:t>(F) Lighthief International Ltd, as the sole shareholder of the Company, has approved this Agreement by way of a Written Shareholder Resolution annexed hereto as Annex A. The ultimate beneficial owner, Dr. Arkadiusz Sybaris, has provided a personal undertaking annexed hereto as Annex B.</w:t>
      </w:r>
    </w:p>
    <w:p>
      <w:pPr>
        <w:jc w:val="both"/>
      </w:pPr>
      <w:r>
        <w:rPr>
          <w:rFonts w:ascii="Calibri" w:hAnsi="Calibri"/>
          <w:b w:val="0"/>
          <w:i w:val="0"/>
          <w:color w:val="000000"/>
          <w:sz w:val="20"/>
        </w:rPr>
        <w:t>(G) The Parties intend that this Agreement shall be a binding contractual obligation of the Company for the Minimum Term and on the terms set out in Clause 5, including survival of accrued fee entitlements on signed contracts, and shall be disclosed to new shareholders as a Pre-Existing Obligation pursuant to Clause 6.3, without prejudice to the statutory rights of shareholders under the Companies Law, Cap. 113.</w:t>
      </w:r>
    </w:p>
    <w:p>
      <w:pPr>
        <w:jc w:val="both"/>
      </w:pPr>
      <w:r>
        <w:rPr>
          <w:rFonts w:ascii="Calibri" w:hAnsi="Calibri"/>
          <w:b w:val="0"/>
          <w:i w:val="0"/>
          <w:color w:val="000000"/>
          <w:sz w:val="20"/>
        </w:rPr>
        <w:t>NOW THIS DEED WITNESSES as follows:</w:t>
      </w:r>
    </w:p>
    <w:p>
      <w:r>
        <w:rPr>
          <w:rFonts w:ascii="Calibri" w:hAnsi="Calibri"/>
          <w:b w:val="0"/>
          <w:i w:val="0"/>
          <w:color w:val="000000"/>
          <w:sz w:val="20"/>
        </w:rPr>
        <w:t>═══ CLAUSE 1 — DEFINITIONS ═══</w:t>
      </w:r>
    </w:p>
    <w:p>
      <w:pPr>
        <w:spacing w:before="280"/>
      </w:pPr>
      <w:r>
        <w:rPr>
          <w:rFonts w:ascii="Calibri" w:hAnsi="Calibri"/>
          <w:b/>
          <w:i w:val="0"/>
          <w:color w:val="C9A432"/>
          <w:sz w:val="24"/>
        </w:rPr>
        <w:t>1. Definitions</w:t>
      </w:r>
    </w:p>
    <w:p>
      <w:pPr>
        <w:jc w:val="both"/>
      </w:pPr>
      <w:r>
        <w:rPr>
          <w:rFonts w:ascii="Calibri" w:hAnsi="Calibri"/>
          <w:b w:val="0"/>
          <w:i w:val="0"/>
          <w:color w:val="000000"/>
          <w:sz w:val="20"/>
        </w:rPr>
        <w:t>1.1 In this Agreement:</w:t>
      </w:r>
    </w:p>
    <w:p>
      <w:pPr>
        <w:jc w:val="both"/>
      </w:pPr>
      <w:r>
        <w:rPr>
          <w:rFonts w:ascii="Calibri" w:hAnsi="Calibri"/>
          <w:b w:val="0"/>
          <w:i w:val="0"/>
          <w:color w:val="000000"/>
          <w:sz w:val="20"/>
        </w:rPr>
        <w:br/>
        <w:t xml:space="preserve">  "Client Price" means the total price invoiced by the Company to an end client (or any intermediary on behalf of an end client) for the supply, installation, and commissioning of a BESS system at a Park, as set out in the EPC contract between the Company and such client, inclusive of all EPC works, project management, and margin.</w:t>
        <w:br/>
      </w:r>
    </w:p>
    <w:p>
      <w:pPr>
        <w:jc w:val="both"/>
      </w:pPr>
      <w:r>
        <w:rPr>
          <w:rFonts w:ascii="Calibri" w:hAnsi="Calibri"/>
          <w:b w:val="0"/>
          <w:i w:val="0"/>
          <w:color w:val="000000"/>
          <w:sz w:val="20"/>
        </w:rPr>
        <w:br/>
        <w:t xml:space="preserve">  "CIF Cost" means the landed cost of BESS equipment (battery containers, PCS/MV skids, and associated OEM hardware) delivered CIF Limassol, Cyprus, as invoiced by Linyang/Solarfun to the Company, including import duties and customs clearance.</w:t>
        <w:br/>
      </w:r>
    </w:p>
    <w:p>
      <w:pPr>
        <w:jc w:val="both"/>
      </w:pPr>
      <w:r>
        <w:rPr>
          <w:rFonts w:ascii="Calibri" w:hAnsi="Calibri"/>
          <w:b w:val="0"/>
          <w:i w:val="0"/>
          <w:color w:val="000000"/>
          <w:sz w:val="20"/>
        </w:rPr>
        <w:br/>
        <w:t xml:space="preserve">  "EPC Cost" means all costs incurred by the Company in delivering the BESS to the end client, excluding CIF Cost, including but not limited to: civil works, electrical works, EMS/SCADA (Voltus), lightning protection (DEHN), logistics, crane hire, cabling, commissioning, project management, insurance, and all other installation and compliance costs.</w:t>
        <w:br/>
      </w:r>
    </w:p>
    <w:p>
      <w:pPr>
        <w:jc w:val="both"/>
      </w:pPr>
      <w:r>
        <w:rPr>
          <w:rFonts w:ascii="Calibri" w:hAnsi="Calibri"/>
          <w:b w:val="0"/>
          <w:i w:val="0"/>
          <w:color w:val="000000"/>
          <w:sz w:val="20"/>
        </w:rPr>
        <w:br/>
        <w:t xml:space="preserve">  "Net Margin" means, for each Park or revenue stream:</w:t>
        <w:br/>
      </w:r>
    </w:p>
    <w:p>
      <w:pPr>
        <w:jc w:val="both"/>
      </w:pPr>
      <w:r>
        <w:rPr>
          <w:rFonts w:ascii="Calibri" w:hAnsi="Calibri"/>
          <w:b w:val="0"/>
          <w:i w:val="0"/>
          <w:color w:val="000000"/>
          <w:sz w:val="20"/>
        </w:rPr>
        <w:br/>
        <w:t xml:space="preserve">  Net Margin = Client Price − CIF Cost − EPC Cost</w:t>
        <w:br/>
      </w:r>
    </w:p>
    <w:p>
      <w:pPr>
        <w:jc w:val="both"/>
      </w:pPr>
      <w:r>
        <w:rPr>
          <w:rFonts w:ascii="Calibri" w:hAnsi="Calibri"/>
          <w:b w:val="0"/>
          <w:i w:val="0"/>
          <w:color w:val="000000"/>
          <w:sz w:val="20"/>
        </w:rPr>
        <w:br/>
        <w:t xml:space="preserve">  being the gross profit earned by the Company before corporate overheads, tax, and the Fee.</w:t>
        <w:br/>
      </w:r>
    </w:p>
    <w:p>
      <w:pPr>
        <w:jc w:val="both"/>
      </w:pPr>
      <w:r>
        <w:rPr>
          <w:rFonts w:ascii="Calibri" w:hAnsi="Calibri"/>
          <w:b w:val="0"/>
          <w:i w:val="0"/>
          <w:color w:val="000000"/>
          <w:sz w:val="20"/>
        </w:rPr>
        <w:br/>
        <w:t xml:space="preserve">  "Net Revenue" means, for revenue streams that do not involve CIF/EPC cost structures (e.g. management fees, O&amp;M contracts, energy trading, fund carried interest, advisory fees), the total revenue received by the Company less any direct third-party costs specifically attributable to delivering that service.</w:t>
        <w:br/>
      </w:r>
    </w:p>
    <w:p>
      <w:pPr>
        <w:jc w:val="both"/>
      </w:pPr>
      <w:r>
        <w:rPr>
          <w:rFonts w:ascii="Calibri" w:hAnsi="Calibri"/>
          <w:b w:val="0"/>
          <w:i w:val="0"/>
          <w:color w:val="000000"/>
          <w:sz w:val="20"/>
        </w:rPr>
        <w:br/>
        <w:t xml:space="preserve">  "Origination Fee" means thirty percent (30%) of the Net Margin on the Existing Project, payable under Part A.</w:t>
        <w:br/>
      </w:r>
    </w:p>
    <w:p>
      <w:pPr>
        <w:jc w:val="both"/>
      </w:pPr>
      <w:r>
        <w:rPr>
          <w:rFonts w:ascii="Calibri" w:hAnsi="Calibri"/>
          <w:b w:val="0"/>
          <w:i w:val="0"/>
          <w:color w:val="000000"/>
          <w:sz w:val="20"/>
        </w:rPr>
        <w:br/>
        <w:t xml:space="preserve">  "Team Operations Fee" means thirty percent (30%) of the Net Margin or Net Revenue (as applicable) on all Company business, payable under Part B, and controlled and distributed by the Director at his discretion to the operational team.</w:t>
        <w:br/>
      </w:r>
    </w:p>
    <w:p>
      <w:pPr>
        <w:jc w:val="both"/>
      </w:pPr>
      <w:r>
        <w:rPr>
          <w:rFonts w:ascii="Calibri" w:hAnsi="Calibri"/>
          <w:b w:val="0"/>
          <w:i w:val="0"/>
          <w:color w:val="000000"/>
          <w:sz w:val="20"/>
        </w:rPr>
        <w:br/>
        <w:t xml:space="preserve">  "Park" means each individual solar park and its associated BESS installation, as listed in Schedule 1 or Schedule 1A.</w:t>
        <w:br/>
      </w:r>
    </w:p>
    <w:p>
      <w:pPr>
        <w:jc w:val="both"/>
      </w:pPr>
      <w:r>
        <w:rPr>
          <w:rFonts w:ascii="Calibri" w:hAnsi="Calibri"/>
          <w:b w:val="0"/>
          <w:i w:val="0"/>
          <w:color w:val="000000"/>
          <w:sz w:val="20"/>
        </w:rPr>
        <w:br/>
        <w:t xml:space="preserve">  "Existing Project" means the entire portfolio of Parks listed in Schedule 1 and Schedule 1A, and any additional BESS parks added to the Company's EPC portfolio that were originated or introduced by Alexander Papacosta prior to the date of this Agreement.</w:t>
        <w:br/>
      </w:r>
    </w:p>
    <w:p>
      <w:pPr>
        <w:jc w:val="both"/>
      </w:pPr>
      <w:r>
        <w:rPr>
          <w:rFonts w:ascii="Calibri" w:hAnsi="Calibri"/>
          <w:b w:val="0"/>
          <w:i w:val="0"/>
          <w:color w:val="000000"/>
          <w:sz w:val="20"/>
        </w:rPr>
        <w:br/>
        <w:t xml:space="preserve">  "Future Business" means all revenue earned by the Company from any source whatsoever that does not form part of the Existing Project, including but not limited to: (i) fund-generated EPC contracts; (ii) fund management fees; (iii) operations and maintenance (O&amp;M) contracts; (iv) energy trading or energy arbitrage revenue; (v) BESS supply margins on new projects; (vi) consultancy, advisory, or engineering fees; (vii) carried interest or performance fees from any fund vehicle; (viii) new client EPC contracts; and (ix) any other revenue stream of the Company.</w:t>
        <w:br/>
      </w:r>
    </w:p>
    <w:p>
      <w:pPr>
        <w:jc w:val="both"/>
      </w:pPr>
      <w:r>
        <w:rPr>
          <w:rFonts w:ascii="Calibri" w:hAnsi="Calibri"/>
          <w:b w:val="0"/>
          <w:i w:val="0"/>
          <w:color w:val="000000"/>
          <w:sz w:val="20"/>
        </w:rPr>
        <w:br/>
        <w:t xml:space="preserve">  "Director" means Alexander Papacosta (Cyprus ID: 1241318) in his capacity as a director of the Company and director of the Consultant.</w:t>
        <w:br/>
      </w:r>
    </w:p>
    <w:p>
      <w:pPr>
        <w:jc w:val="both"/>
      </w:pPr>
      <w:r>
        <w:rPr>
          <w:rFonts w:ascii="Calibri" w:hAnsi="Calibri"/>
          <w:b w:val="0"/>
          <w:i w:val="0"/>
          <w:color w:val="000000"/>
          <w:sz w:val="20"/>
        </w:rPr>
        <w:br/>
        <w:t xml:space="preserve">  "Protected Matter" has the meaning given in Clause 5.3.</w:t>
        <w:br/>
      </w:r>
    </w:p>
    <w:p>
      <w:pPr>
        <w:jc w:val="both"/>
      </w:pPr>
      <w:r>
        <w:rPr>
          <w:rFonts w:ascii="Calibri" w:hAnsi="Calibri"/>
          <w:b w:val="0"/>
          <w:i w:val="0"/>
          <w:color w:val="000000"/>
          <w:sz w:val="20"/>
        </w:rPr>
        <w:br/>
        <w:t xml:space="preserve">  "Group" means the Company and every entity that is, directly or indirectly, controlled by the same ultimate beneficial owner as the Company's shareholder (currently Dr. Arkadiusz Sybaris), including without limitation Lighthief International Ltd, any Polish, EU or other affiliate, and any entity formed after the date of this Agreement in which Dr. Arkadiusz Sybaris (alone or with persons acting in concert with him) holds, directly or indirectly, more than fifty percent (50%) of the voting rights, equity, or the right to appoint a majority of the board.</w:t>
        <w:br/>
      </w:r>
    </w:p>
    <w:p>
      <w:pPr>
        <w:jc w:val="both"/>
      </w:pPr>
      <w:r>
        <w:rPr>
          <w:rFonts w:ascii="Calibri" w:hAnsi="Calibri"/>
          <w:b w:val="0"/>
          <w:i w:val="0"/>
          <w:color w:val="000000"/>
          <w:sz w:val="20"/>
        </w:rPr>
        <w:br/>
        <w:t xml:space="preserve">  "Company Revenue" means all amounts received by the Company from clients, intermediaries, or third parties in respect of goods sold, services performed, EPC or supply contracts, O&amp;M, LTSA, consultancy, advisory, engineering, development, or other commercial activities, before corporate overheads and tax.</w:t>
        <w:br/>
      </w:r>
    </w:p>
    <w:p>
      <w:pPr>
        <w:jc w:val="both"/>
      </w:pPr>
      <w:r>
        <w:rPr>
          <w:rFonts w:ascii="Calibri" w:hAnsi="Calibri"/>
          <w:b w:val="0"/>
          <w:i w:val="0"/>
          <w:color w:val="000000"/>
          <w:sz w:val="20"/>
        </w:rPr>
        <w:br/>
        <w:t xml:space="preserve">  "Protected Project" means any contract, project, or Company Revenue stream of the Company in the Republic of Cyprus relating to: (i) any Park listed in Schedule 1 or Schedule 1A; (ii) any client or client group listed in Schedule 1; or (iii) any commercial opportunity that was originated, introduced, or materially developed by the Consultant or the Director prior to or after the date of this Agreement, including without limitation BESS or solar EPC and supply, equipment distribution, O&amp;M/LTSA, engineering, consultancy, advisory, and development work conducted through the Company (whether or not BESS-related and whether or not yet named in a schedule).</w:t>
        <w:br/>
      </w:r>
    </w:p>
    <w:p>
      <w:pPr>
        <w:jc w:val="both"/>
      </w:pPr>
      <w:r>
        <w:rPr>
          <w:rFonts w:ascii="Calibri" w:hAnsi="Calibri"/>
          <w:b w:val="0"/>
          <w:i w:val="0"/>
          <w:color w:val="000000"/>
          <w:sz w:val="20"/>
        </w:rPr>
        <w:br/>
        <w:t xml:space="preserve">  "Deemed Group Receipt" means, where any member of the Group (other than the Company) receives payment from an end client or intermediary in respect of a Protected Project, the amount so received shall be treated for all purposes of this Agreement as if it had been received by the Company on the date of actual receipt by such Group member.</w:t>
        <w:br/>
      </w:r>
    </w:p>
    <w:p>
      <w:r>
        <w:rPr>
          <w:rFonts w:ascii="Calibri" w:hAnsi="Calibri"/>
          <w:b w:val="0"/>
          <w:i w:val="0"/>
          <w:color w:val="000000"/>
          <w:sz w:val="20"/>
        </w:rPr>
        <w:t>═══ CLAUSE 2 — PART A: ORIGINATION FEE ═══</w:t>
      </w:r>
    </w:p>
    <w:p>
      <w:pPr>
        <w:spacing w:before="240"/>
      </w:pPr>
      <w:r>
        <w:rPr>
          <w:rFonts w:ascii="Calibri" w:hAnsi="Calibri"/>
          <w:b/>
          <w:i w:val="0"/>
          <w:color w:val="1A365D"/>
          <w:sz w:val="22"/>
        </w:rPr>
        <w:t>PART A — ORIGINATION FEE (Existing Project — 51 BESS Parks)</w:t>
      </w:r>
    </w:p>
    <w:p>
      <w:pPr>
        <w:spacing w:before="280"/>
      </w:pPr>
      <w:r>
        <w:rPr>
          <w:rFonts w:ascii="Calibri" w:hAnsi="Calibri"/>
          <w:b/>
          <w:i w:val="0"/>
          <w:color w:val="C9A432"/>
          <w:sz w:val="24"/>
        </w:rPr>
        <w:t>2. Origination Fee — Existing Project</w:t>
      </w:r>
    </w:p>
    <w:p>
      <w:pPr>
        <w:jc w:val="both"/>
      </w:pPr>
      <w:r>
        <w:rPr>
          <w:rFonts w:ascii="Calibri" w:hAnsi="Calibri"/>
          <w:b w:val="0"/>
          <w:i w:val="0"/>
          <w:color w:val="000000"/>
          <w:sz w:val="20"/>
        </w:rPr>
        <w:t>2.1 In consideration of the Consultant's role in personally originating, structuring, and securing the Existing Project, the Company shall pay the Consultant an Origination Fee equal to thirty percent (30%) of the Net Margin on each Park in the Existing Project.</w:t>
      </w:r>
    </w:p>
    <w:p>
      <w:pPr>
        <w:jc w:val="both"/>
      </w:pPr>
      <w:r>
        <w:rPr>
          <w:rFonts w:ascii="Calibri" w:hAnsi="Calibri"/>
          <w:b w:val="0"/>
          <w:i w:val="0"/>
          <w:color w:val="000000"/>
          <w:sz w:val="20"/>
        </w:rPr>
        <w:t>2.2 The Origination Fee shall be calculated on a per-Park basis. The Company shall provide the Consultant with a detailed margin calculation for each Park within fourteen (14) days of issuing each invoice to the end client, showing: (i) Client Price invoiced; (ii) CIF Cost allocated; (iii) EPC Cost allocated; and (iv) resulting Net Margin and Origination Fee amount.</w:t>
      </w:r>
    </w:p>
    <w:p>
      <w:pPr>
        <w:jc w:val="both"/>
      </w:pPr>
      <w:r>
        <w:rPr>
          <w:rFonts w:ascii="Calibri" w:hAnsi="Calibri"/>
          <w:b w:val="0"/>
          <w:i w:val="0"/>
          <w:color w:val="000000"/>
          <w:sz w:val="20"/>
        </w:rPr>
        <w:t>2.3 Payment Timing — Mirror Client Milestones: The Origination Fee shall become due and payable in instalments that mirror the payment milestones received from the end client. Whenever the Company receives a payment from an end client in respect of a Park, the proportionate share of the Origination Fee shall become due to the Consultant within fourteen (14) days of the Company receiving such payment.</w:t>
      </w:r>
    </w:p>
    <w:p>
      <w:pPr>
        <w:jc w:val="both"/>
      </w:pPr>
      <w:r>
        <w:rPr>
          <w:rFonts w:ascii="Calibri" w:hAnsi="Calibri"/>
          <w:b w:val="0"/>
          <w:i w:val="0"/>
          <w:color w:val="000000"/>
          <w:sz w:val="20"/>
        </w:rPr>
        <w:t>For illustration, based on the standard EPC payment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Client Payment Milestone</w:t>
            </w:r>
          </w:p>
        </w:tc>
        <w:tc>
          <w:tcPr>
            <w:tcW w:type="dxa" w:w="3135"/>
            <w:shd w:fill="1A365D" w:val="clear"/>
          </w:tcPr>
          <w:p>
            <w:pPr>
              <w:jc w:val="left"/>
            </w:pPr>
            <w:r>
              <w:rPr>
                <w:b/>
                <w:color w:val="FFFFFF"/>
              </w:rPr>
            </w:r>
            <w:r>
              <w:rPr>
                <w:rFonts w:ascii="Calibri" w:hAnsi="Calibri"/>
                <w:b/>
                <w:i w:val="0"/>
                <w:color w:val="FFFFFF"/>
                <w:sz w:val="18"/>
              </w:rPr>
              <w:t>% of Contract</w:t>
            </w:r>
          </w:p>
        </w:tc>
        <w:tc>
          <w:tcPr>
            <w:tcW w:type="dxa" w:w="3135"/>
            <w:shd w:fill="1A365D" w:val="clear"/>
          </w:tcPr>
          <w:p>
            <w:pPr>
              <w:jc w:val="left"/>
            </w:pPr>
            <w:r>
              <w:rPr>
                <w:b/>
                <w:color w:val="FFFFFF"/>
              </w:rPr>
            </w:r>
            <w:r>
              <w:rPr>
                <w:rFonts w:ascii="Calibri" w:hAnsi="Calibri"/>
                <w:b/>
                <w:i w:val="0"/>
                <w:color w:val="FFFFFF"/>
                <w:sz w:val="18"/>
              </w:rPr>
              <w:t>Origination Fee Payment to Consultant</w:t>
            </w:r>
          </w:p>
        </w:tc>
      </w:tr>
      <w:tr>
        <w:tc>
          <w:tcPr>
            <w:tcW w:type="dxa" w:w="3135"/>
          </w:tcPr>
          <w:p>
            <w:r/>
            <w:r>
              <w:rPr>
                <w:rFonts w:ascii="Calibri" w:hAnsi="Calibri"/>
                <w:b w:val="0"/>
                <w:i w:val="0"/>
                <w:color w:val="000000"/>
                <w:sz w:val="18"/>
              </w:rPr>
              <w:t>Advance (contract signing)</w:t>
            </w:r>
          </w:p>
        </w:tc>
        <w:tc>
          <w:tcPr>
            <w:tcW w:type="dxa" w:w="3135"/>
          </w:tcPr>
          <w:p>
            <w:pPr>
              <w:jc w:val="right"/>
            </w:pPr>
            <w:r/>
            <w:r>
              <w:rPr>
                <w:rFonts w:ascii="Calibri" w:hAnsi="Calibri"/>
                <w:b w:val="0"/>
                <w:i w:val="0"/>
                <w:color w:val="000000"/>
                <w:sz w:val="18"/>
              </w:rPr>
              <w:t>30%</w:t>
            </w:r>
          </w:p>
        </w:tc>
        <w:tc>
          <w:tcPr>
            <w:tcW w:type="dxa" w:w="3135"/>
          </w:tcPr>
          <w:p>
            <w:r/>
            <w:r>
              <w:rPr>
                <w:rFonts w:ascii="Calibri" w:hAnsi="Calibri"/>
                <w:b w:val="0"/>
                <w:i w:val="0"/>
                <w:color w:val="000000"/>
                <w:sz w:val="18"/>
              </w:rPr>
              <w:t>30% of total Origination Fee due, payable within 14 days of receipt</w:t>
            </w:r>
          </w:p>
        </w:tc>
      </w:tr>
      <w:tr>
        <w:tc>
          <w:tcPr>
            <w:tcW w:type="dxa" w:w="3135"/>
          </w:tcPr>
          <w:p>
            <w:r/>
            <w:r>
              <w:rPr>
                <w:rFonts w:ascii="Calibri" w:hAnsi="Calibri"/>
                <w:b w:val="0"/>
                <w:i w:val="0"/>
                <w:color w:val="000000"/>
                <w:sz w:val="18"/>
              </w:rPr>
              <w:t>Pre-shipment</w:t>
            </w:r>
          </w:p>
        </w:tc>
        <w:tc>
          <w:tcPr>
            <w:tcW w:type="dxa" w:w="3135"/>
          </w:tcPr>
          <w:p>
            <w:pPr>
              <w:jc w:val="right"/>
            </w:pPr>
            <w:r/>
            <w:r>
              <w:rPr>
                <w:rFonts w:ascii="Calibri" w:hAnsi="Calibri"/>
                <w:b w:val="0"/>
                <w:i w:val="0"/>
                <w:color w:val="000000"/>
                <w:sz w:val="18"/>
              </w:rPr>
              <w:t>55%</w:t>
            </w:r>
          </w:p>
        </w:tc>
        <w:tc>
          <w:tcPr>
            <w:tcW w:type="dxa" w:w="3135"/>
          </w:tcPr>
          <w:p>
            <w:r/>
            <w:r>
              <w:rPr>
                <w:rFonts w:ascii="Calibri" w:hAnsi="Calibri"/>
                <w:b w:val="0"/>
                <w:i w:val="0"/>
                <w:color w:val="000000"/>
                <w:sz w:val="18"/>
              </w:rPr>
              <w:t>55% of total Origination Fee due, payable within 14 days of receipt</w:t>
            </w:r>
          </w:p>
        </w:tc>
      </w:tr>
      <w:tr>
        <w:tc>
          <w:tcPr>
            <w:tcW w:type="dxa" w:w="3135"/>
          </w:tcPr>
          <w:p>
            <w:r/>
            <w:r>
              <w:rPr>
                <w:rFonts w:ascii="Calibri" w:hAnsi="Calibri"/>
                <w:b w:val="0"/>
                <w:i w:val="0"/>
                <w:color w:val="000000"/>
                <w:sz w:val="18"/>
              </w:rPr>
              <w:t>PAC (Provisional Acceptance)</w:t>
            </w:r>
          </w:p>
        </w:tc>
        <w:tc>
          <w:tcPr>
            <w:tcW w:type="dxa" w:w="3135"/>
          </w:tcPr>
          <w:p>
            <w:pPr>
              <w:jc w:val="right"/>
            </w:pPr>
            <w:r/>
            <w:r>
              <w:rPr>
                <w:rFonts w:ascii="Calibri" w:hAnsi="Calibri"/>
                <w:b w:val="0"/>
                <w:i w:val="0"/>
                <w:color w:val="000000"/>
                <w:sz w:val="18"/>
              </w:rPr>
              <w:t>10%</w:t>
            </w:r>
          </w:p>
        </w:tc>
        <w:tc>
          <w:tcPr>
            <w:tcW w:type="dxa" w:w="3135"/>
          </w:tcPr>
          <w:p>
            <w:r/>
            <w:r>
              <w:rPr>
                <w:rFonts w:ascii="Calibri" w:hAnsi="Calibri"/>
                <w:b w:val="0"/>
                <w:i w:val="0"/>
                <w:color w:val="000000"/>
                <w:sz w:val="18"/>
              </w:rPr>
              <w:t>10% of total Origination Fee due, payable within 14 days of receipt</w:t>
            </w:r>
          </w:p>
        </w:tc>
      </w:tr>
      <w:tr>
        <w:tc>
          <w:tcPr>
            <w:tcW w:type="dxa" w:w="3135"/>
          </w:tcPr>
          <w:p>
            <w:r/>
            <w:r>
              <w:rPr>
                <w:rFonts w:ascii="Calibri" w:hAnsi="Calibri"/>
                <w:b w:val="0"/>
                <w:i w:val="0"/>
                <w:color w:val="000000"/>
                <w:sz w:val="18"/>
              </w:rPr>
              <w:t>FAC (Final Acceptance / Retention)</w:t>
            </w:r>
          </w:p>
        </w:tc>
        <w:tc>
          <w:tcPr>
            <w:tcW w:type="dxa" w:w="3135"/>
          </w:tcPr>
          <w:p>
            <w:pPr>
              <w:jc w:val="right"/>
            </w:pPr>
            <w:r/>
            <w:r>
              <w:rPr>
                <w:rFonts w:ascii="Calibri" w:hAnsi="Calibri"/>
                <w:b w:val="0"/>
                <w:i w:val="0"/>
                <w:color w:val="000000"/>
                <w:sz w:val="18"/>
              </w:rPr>
              <w:t>5%</w:t>
            </w:r>
          </w:p>
        </w:tc>
        <w:tc>
          <w:tcPr>
            <w:tcW w:type="dxa" w:w="3135"/>
          </w:tcPr>
          <w:p>
            <w:r/>
            <w:r>
              <w:rPr>
                <w:rFonts w:ascii="Calibri" w:hAnsi="Calibri"/>
                <w:b w:val="0"/>
                <w:i w:val="0"/>
                <w:color w:val="000000"/>
                <w:sz w:val="18"/>
              </w:rPr>
              <w:t>5% of total Origination Fee due, payable within 14 days of receipt</w:t>
            </w:r>
          </w:p>
        </w:tc>
      </w:tr>
      <w:tr>
        <w:tc>
          <w:tcPr>
            <w:tcW w:type="dxa" w:w="3135"/>
          </w:tcPr>
          <w:p>
            <w:r/>
            <w:r>
              <w:rPr>
                <w:rFonts w:ascii="Calibri" w:hAnsi="Calibri"/>
                <w:b w:val="0"/>
                <w:i w:val="0"/>
                <w:color w:val="000000"/>
                <w:sz w:val="18"/>
              </w:rPr>
              <w:t>Total</w:t>
            </w:r>
          </w:p>
        </w:tc>
        <w:tc>
          <w:tcPr>
            <w:tcW w:type="dxa" w:w="3135"/>
          </w:tcPr>
          <w:p>
            <w:pPr>
              <w:jc w:val="right"/>
            </w:pPr>
            <w:r/>
            <w:r>
              <w:rPr>
                <w:rFonts w:ascii="Calibri" w:hAnsi="Calibri"/>
                <w:b w:val="0"/>
                <w:i w:val="0"/>
                <w:color w:val="000000"/>
                <w:sz w:val="18"/>
              </w:rPr>
              <w:t>100%</w:t>
            </w:r>
          </w:p>
        </w:tc>
        <w:tc>
          <w:tcPr>
            <w:tcW w:type="dxa" w:w="3135"/>
          </w:tcPr>
          <w:p>
            <w:r/>
            <w:r>
              <w:rPr>
                <w:rFonts w:ascii="Calibri" w:hAnsi="Calibri"/>
                <w:b w:val="0"/>
                <w:i w:val="0"/>
                <w:color w:val="000000"/>
                <w:sz w:val="18"/>
              </w:rPr>
              <w:t>100% of Origination Fee paid pro rata with client receipts</w:t>
            </w:r>
          </w:p>
        </w:tc>
      </w:tr>
    </w:tbl>
    <w:p/>
    <w:p>
      <w:pPr>
        <w:jc w:val="both"/>
      </w:pPr>
      <w:r>
        <w:rPr>
          <w:rFonts w:ascii="Calibri" w:hAnsi="Calibri"/>
          <w:b w:val="0"/>
          <w:i w:val="0"/>
          <w:color w:val="000000"/>
          <w:sz w:val="20"/>
        </w:rPr>
        <w:t>2.4 If the actual payment milestones for any particular client differ from those shown above, the same principle shall apply: the Origination Fee shall be payable at the same proportionate rate and at the same time as the Company receives payment from the end client.</w:t>
      </w:r>
    </w:p>
    <w:p>
      <w:pPr>
        <w:jc w:val="both"/>
      </w:pPr>
      <w:r>
        <w:rPr>
          <w:rFonts w:ascii="Calibri" w:hAnsi="Calibri"/>
          <w:b w:val="0"/>
          <w:i w:val="0"/>
          <w:color w:val="000000"/>
          <w:sz w:val="20"/>
        </w:rPr>
        <w:t>2.5 Rationale: The Origination Fee reflects the Consultant's direct and personal contribution in building the entire Existing Project pipeline from zero — including identifying all 51 parks, establishing the Linyang supply relationship, negotiating commercial terms with six separate client groups, and structuring the EPC model. Without these origination activities, the Existing Project would not exist. The 30% rate is commercially proportionate to the value created.</w:t>
      </w:r>
    </w:p>
    <w:p>
      <w:r>
        <w:rPr>
          <w:rFonts w:ascii="Calibri" w:hAnsi="Calibri"/>
          <w:b w:val="0"/>
          <w:i w:val="0"/>
          <w:color w:val="000000"/>
          <w:sz w:val="20"/>
        </w:rPr>
        <w:t>═══ CLAUSE 3 — PART B: TEAM OPERATIONS FEE ═══</w:t>
      </w:r>
    </w:p>
    <w:p>
      <w:pPr>
        <w:spacing w:before="240"/>
      </w:pPr>
      <w:r>
        <w:rPr>
          <w:rFonts w:ascii="Calibri" w:hAnsi="Calibri"/>
          <w:b/>
          <w:i w:val="0"/>
          <w:color w:val="1A365D"/>
          <w:sz w:val="22"/>
        </w:rPr>
        <w:t>PART B — TEAM OPERATIONS FEE (All Future Company Business)</w:t>
      </w:r>
    </w:p>
    <w:p>
      <w:pPr>
        <w:spacing w:before="280"/>
      </w:pPr>
      <w:r>
        <w:rPr>
          <w:rFonts w:ascii="Calibri" w:hAnsi="Calibri"/>
          <w:b/>
          <w:i w:val="0"/>
          <w:color w:val="C9A432"/>
          <w:sz w:val="24"/>
        </w:rPr>
        <w:t>3. Team Operations Fee — Future Business of Lighthief Cyprus Ltd</w:t>
      </w:r>
    </w:p>
    <w:p>
      <w:pPr>
        <w:jc w:val="both"/>
      </w:pPr>
      <w:r>
        <w:rPr>
          <w:rFonts w:ascii="Calibri" w:hAnsi="Calibri"/>
          <w:b w:val="0"/>
          <w:i w:val="0"/>
          <w:color w:val="000000"/>
          <w:sz w:val="20"/>
        </w:rPr>
        <w:t>3.1 In consideration of the Consultant's ongoing provision of team operational services (as described in Schedule 3), the Company shall pay the Consultant a Team Operations Fee equal to thirty percent (30%) of the Net Margin or Net Revenue (as applicable) on:</w:t>
      </w:r>
    </w:p>
    <w:p>
      <w:pPr>
        <w:jc w:val="both"/>
      </w:pPr>
      <w:r>
        <w:rPr>
          <w:rFonts w:ascii="Calibri" w:hAnsi="Calibri"/>
          <w:b w:val="0"/>
          <w:i w:val="0"/>
          <w:color w:val="000000"/>
          <w:sz w:val="20"/>
        </w:rPr>
        <w:t>(a) all Future Business — i.e. all Company Revenue from contracts and operations conducted in or from the Republic of Cyprus that are not part of the Existing Project, including EPC, supply, installation, O&amp;M, LTSA, consultancy, advisory, engineering, equipment sales, and development services, whether or not BESS-related; and</w:t>
      </w:r>
    </w:p>
    <w:p>
      <w:pPr>
        <w:jc w:val="both"/>
      </w:pPr>
      <w:r>
        <w:rPr>
          <w:rFonts w:ascii="Calibri" w:hAnsi="Calibri"/>
          <w:b w:val="0"/>
          <w:i w:val="0"/>
          <w:color w:val="000000"/>
          <w:sz w:val="20"/>
        </w:rPr>
        <w:t>(b) recurring revenue from operations where the Consultant provides services under Schedule 3.</w:t>
      </w:r>
    </w:p>
    <w:p>
      <w:pPr>
        <w:jc w:val="both"/>
      </w:pPr>
      <w:r>
        <w:rPr>
          <w:rFonts w:ascii="Calibri" w:hAnsi="Calibri"/>
          <w:b w:val="0"/>
          <w:i w:val="0"/>
          <w:color w:val="000000"/>
          <w:sz w:val="20"/>
        </w:rPr>
        <w:t>3.1A Exclusions (only): Part B does not apply to: (i) fund GP carried interest or AUM/management fees (but does apply to fund-generated EPC or supply revenue executed through the Company); (ii) equity subscription proceeds or shareholder investments in the Company; (iii) energy trading or arbitrage revenue unless the Consultant delivers those services under a separate written scope; (iv) operations physically conducted outside the Republic of Cyprus unless agreed in writing per project. Non-BESS revenue of the Company is not excluded by virtue of technology alone.</w:t>
      </w:r>
    </w:p>
    <w:p>
      <w:pPr>
        <w:jc w:val="both"/>
      </w:pPr>
      <w:r>
        <w:rPr>
          <w:rFonts w:ascii="Calibri" w:hAnsi="Calibri"/>
          <w:b w:val="0"/>
          <w:i w:val="0"/>
          <w:color w:val="000000"/>
          <w:sz w:val="20"/>
        </w:rPr>
        <w:t>3.2 Team Commission Pool: The Team Operations Fee is a team commission pool. The Director shall determine distribution among operational team members. The Consultant shall maintain confidential records of team allocations available to the Company's board on reasonable request to support the arm's-length character of this Agreement.</w:t>
      </w:r>
    </w:p>
    <w:p>
      <w:pPr>
        <w:jc w:val="both"/>
      </w:pPr>
      <w:r>
        <w:rPr>
          <w:rFonts w:ascii="Calibri" w:hAnsi="Calibri"/>
          <w:b w:val="0"/>
          <w:i w:val="0"/>
          <w:color w:val="000000"/>
          <w:sz w:val="20"/>
        </w:rPr>
        <w:t>3.3 Relationship to Origination Fee: For the Existing Project, the Origination Fee (Part A) and the Team Operations Fee (Part B) are not cumulative. The 30% rate applies once to each revenue stream. For the Existing Project parks listed in Schedule 1, the fee payable is the Origination Fee under Part A. The Team Operations Fee under Part B applies to all Future Business and any revenue streams not covered by Part A.</w:t>
      </w:r>
    </w:p>
    <w:p>
      <w:pPr>
        <w:jc w:val="both"/>
      </w:pPr>
      <w:r>
        <w:rPr>
          <w:rFonts w:ascii="Calibri" w:hAnsi="Calibri"/>
          <w:b w:val="0"/>
          <w:i w:val="0"/>
          <w:color w:val="000000"/>
          <w:sz w:val="20"/>
        </w:rPr>
        <w:t>3.4 Payment Timing: The Team Operations Fee shall become due and payable within fourteen (14) days of the Company receiving the corresponding revenue. For EPC contracts, payment shall mirror the client milestone structure described in Clause 2.3. For recurring revenue (management fees, O&amp;M, subscriptions), payment shall be made within fourteen (14) days of each receipt.</w:t>
      </w:r>
    </w:p>
    <w:p>
      <w:pPr>
        <w:jc w:val="both"/>
      </w:pPr>
      <w:r>
        <w:rPr>
          <w:rFonts w:ascii="Calibri" w:hAnsi="Calibri"/>
          <w:b w:val="0"/>
          <w:i w:val="0"/>
          <w:color w:val="000000"/>
          <w:sz w:val="20"/>
        </w:rPr>
        <w:t>3.5 Part B revenue streams (illustrative):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Revenue Stream</w:t>
            </w:r>
          </w:p>
        </w:tc>
        <w:tc>
          <w:tcPr>
            <w:tcW w:type="dxa" w:w="3135"/>
            <w:shd w:fill="1A365D" w:val="clear"/>
          </w:tcPr>
          <w:p>
            <w:pPr>
              <w:jc w:val="left"/>
            </w:pPr>
            <w:r>
              <w:rPr>
                <w:b/>
                <w:color w:val="FFFFFF"/>
              </w:rPr>
            </w:r>
            <w:r>
              <w:rPr>
                <w:rFonts w:ascii="Calibri" w:hAnsi="Calibri"/>
                <w:b/>
                <w:i w:val="0"/>
                <w:color w:val="FFFFFF"/>
                <w:sz w:val="18"/>
              </w:rPr>
              <w:t>Calculation Base</w:t>
            </w:r>
          </w:p>
        </w:tc>
        <w:tc>
          <w:tcPr>
            <w:tcW w:type="dxa" w:w="3135"/>
            <w:shd w:fill="1A365D" w:val="clear"/>
          </w:tcPr>
          <w:p>
            <w:pPr>
              <w:jc w:val="left"/>
            </w:pPr>
            <w:r>
              <w:rPr>
                <w:b/>
                <w:color w:val="FFFFFF"/>
              </w:rPr>
            </w:r>
            <w:r>
              <w:rPr>
                <w:rFonts w:ascii="Calibri" w:hAnsi="Calibri"/>
                <w:b/>
                <w:i w:val="0"/>
                <w:color w:val="FFFFFF"/>
                <w:sz w:val="18"/>
              </w:rPr>
              <w:t>Part B applies?</w:t>
            </w:r>
          </w:p>
        </w:tc>
      </w:tr>
      <w:tr>
        <w:tc>
          <w:tcPr>
            <w:tcW w:type="dxa" w:w="3135"/>
          </w:tcPr>
          <w:p>
            <w:r/>
            <w:r>
              <w:rPr>
                <w:rFonts w:ascii="Calibri" w:hAnsi="Calibri"/>
                <w:b w:val="0"/>
                <w:i w:val="0"/>
                <w:color w:val="000000"/>
                <w:sz w:val="18"/>
              </w:rPr>
              <w:t>New client Cyprus EPC / supply (any technology)</w:t>
            </w:r>
          </w:p>
        </w:tc>
        <w:tc>
          <w:tcPr>
            <w:tcW w:type="dxa" w:w="3135"/>
          </w:tcPr>
          <w:p>
            <w:r/>
            <w:r>
              <w:rPr>
                <w:rFonts w:ascii="Calibri" w:hAnsi="Calibri"/>
                <w:b w:val="0"/>
                <w:i w:val="0"/>
                <w:color w:val="000000"/>
                <w:sz w:val="18"/>
              </w:rPr>
              <w:t>Net Margin</w:t>
            </w:r>
          </w:p>
        </w:tc>
        <w:tc>
          <w:tcPr>
            <w:tcW w:type="dxa" w:w="3135"/>
          </w:tcPr>
          <w:p>
            <w:r/>
            <w:r>
              <w:rPr>
                <w:rFonts w:ascii="Calibri" w:hAnsi="Calibri"/>
                <w:b w:val="0"/>
                <w:i w:val="0"/>
                <w:color w:val="000000"/>
                <w:sz w:val="18"/>
              </w:rPr>
              <w:t>Yes — if not in Schedule 1 / Part A</w:t>
            </w:r>
          </w:p>
        </w:tc>
      </w:tr>
      <w:tr>
        <w:tc>
          <w:tcPr>
            <w:tcW w:type="dxa" w:w="3135"/>
          </w:tcPr>
          <w:p>
            <w:r/>
            <w:r>
              <w:rPr>
                <w:rFonts w:ascii="Calibri" w:hAnsi="Calibri"/>
                <w:b w:val="0"/>
                <w:i w:val="0"/>
                <w:color w:val="000000"/>
                <w:sz w:val="18"/>
              </w:rPr>
              <w:t>Cyprus O&amp;M / LTSA / advisory</w:t>
            </w:r>
          </w:p>
        </w:tc>
        <w:tc>
          <w:tcPr>
            <w:tcW w:type="dxa" w:w="3135"/>
          </w:tcPr>
          <w:p>
            <w:r/>
            <w:r>
              <w:rPr>
                <w:rFonts w:ascii="Calibri" w:hAnsi="Calibri"/>
                <w:b w:val="0"/>
                <w:i w:val="0"/>
                <w:color w:val="000000"/>
                <w:sz w:val="18"/>
              </w:rPr>
              <w:t>Net Revenue</w:t>
            </w:r>
          </w:p>
        </w:tc>
        <w:tc>
          <w:tcPr>
            <w:tcW w:type="dxa" w:w="3135"/>
          </w:tcPr>
          <w:p>
            <w:r/>
            <w:r>
              <w:rPr>
                <w:rFonts w:ascii="Calibri" w:hAnsi="Calibri"/>
                <w:b w:val="0"/>
                <w:i w:val="0"/>
                <w:color w:val="000000"/>
                <w:sz w:val="18"/>
              </w:rPr>
              <w:t>Yes — where Schedule 3 services provided</w:t>
            </w:r>
          </w:p>
        </w:tc>
      </w:tr>
      <w:tr>
        <w:tc>
          <w:tcPr>
            <w:tcW w:type="dxa" w:w="3135"/>
          </w:tcPr>
          <w:p>
            <w:r/>
            <w:r>
              <w:rPr>
                <w:rFonts w:ascii="Calibri" w:hAnsi="Calibri"/>
                <w:b w:val="0"/>
                <w:i w:val="0"/>
                <w:color w:val="000000"/>
                <w:sz w:val="18"/>
              </w:rPr>
              <w:t>Residential / commercial PV or other LCY services</w:t>
            </w:r>
          </w:p>
        </w:tc>
        <w:tc>
          <w:tcPr>
            <w:tcW w:type="dxa" w:w="3135"/>
          </w:tcPr>
          <w:p>
            <w:r/>
            <w:r>
              <w:rPr>
                <w:rFonts w:ascii="Calibri" w:hAnsi="Calibri"/>
                <w:b w:val="0"/>
                <w:i w:val="0"/>
                <w:color w:val="000000"/>
                <w:sz w:val="18"/>
              </w:rPr>
              <w:t>Net Margin / Net Revenue</w:t>
            </w:r>
          </w:p>
        </w:tc>
        <w:tc>
          <w:tcPr>
            <w:tcW w:type="dxa" w:w="3135"/>
          </w:tcPr>
          <w:p>
            <w:r/>
            <w:r>
              <w:rPr>
                <w:rFonts w:ascii="Calibri" w:hAnsi="Calibri"/>
                <w:b w:val="0"/>
                <w:i w:val="0"/>
                <w:color w:val="000000"/>
                <w:sz w:val="18"/>
              </w:rPr>
              <w:t>Yes — Future Business through Company</w:t>
            </w:r>
          </w:p>
        </w:tc>
      </w:tr>
      <w:tr>
        <w:tc>
          <w:tcPr>
            <w:tcW w:type="dxa" w:w="3135"/>
          </w:tcPr>
          <w:p>
            <w:r/>
            <w:r>
              <w:rPr>
                <w:rFonts w:ascii="Calibri" w:hAnsi="Calibri"/>
                <w:b w:val="0"/>
                <w:i w:val="0"/>
                <w:color w:val="000000"/>
                <w:sz w:val="18"/>
              </w:rPr>
              <w:t>Fund management fees / carry (GP level)</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Clause 3.1A(i)</w:t>
            </w:r>
          </w:p>
        </w:tc>
      </w:tr>
      <w:tr>
        <w:tc>
          <w:tcPr>
            <w:tcW w:type="dxa" w:w="3135"/>
          </w:tcPr>
          <w:p>
            <w:r/>
            <w:r>
              <w:rPr>
                <w:rFonts w:ascii="Calibri" w:hAnsi="Calibri"/>
                <w:b w:val="0"/>
                <w:i w:val="0"/>
                <w:color w:val="000000"/>
                <w:sz w:val="18"/>
              </w:rPr>
              <w:t>Energy trading / arbitrage</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separate written scope</w:t>
            </w:r>
          </w:p>
        </w:tc>
      </w:tr>
      <w:tr>
        <w:tc>
          <w:tcPr>
            <w:tcW w:type="dxa" w:w="3135"/>
          </w:tcPr>
          <w:p>
            <w:r/>
            <w:r>
              <w:rPr>
                <w:rFonts w:ascii="Calibri" w:hAnsi="Calibri"/>
                <w:b w:val="0"/>
                <w:i w:val="0"/>
                <w:color w:val="000000"/>
                <w:sz w:val="18"/>
              </w:rPr>
              <w:t>Non-Cyprus operations</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per-project written agreement</w:t>
            </w:r>
          </w:p>
        </w:tc>
      </w:tr>
    </w:tbl>
    <w:p/>
    <w:p>
      <w:pPr>
        <w:jc w:val="both"/>
      </w:pPr>
      <w:r>
        <w:rPr>
          <w:rFonts w:ascii="Calibri" w:hAnsi="Calibri"/>
          <w:b w:val="0"/>
          <w:i w:val="0"/>
          <w:color w:val="000000"/>
          <w:sz w:val="20"/>
        </w:rPr>
        <w:t>3.6 Rationale: The Team Operations Fee reflects the market cost of retaining a high-performing operational team across the Company's Cyprus undertaking — not only BESS. The Director manages team composition, performance, and compensation from within this fee.</w:t>
      </w:r>
    </w:p>
    <w:p>
      <w:r>
        <w:rPr>
          <w:rFonts w:ascii="Calibri" w:hAnsi="Calibri"/>
          <w:b w:val="0"/>
          <w:i w:val="0"/>
          <w:color w:val="000000"/>
          <w:sz w:val="20"/>
        </w:rPr>
        <w:t>═══ CLAUSE 4 — AUDIT AND TRANSPARENCY ═══</w:t>
      </w:r>
    </w:p>
    <w:p>
      <w:pPr>
        <w:spacing w:before="280"/>
      </w:pPr>
      <w:r>
        <w:rPr>
          <w:rFonts w:ascii="Calibri" w:hAnsi="Calibri"/>
          <w:b/>
          <w:i w:val="0"/>
          <w:color w:val="C9A432"/>
          <w:sz w:val="24"/>
        </w:rPr>
        <w:t>4. Audit, Reporting and Transparency</w:t>
      </w:r>
    </w:p>
    <w:p>
      <w:pPr>
        <w:jc w:val="both"/>
      </w:pPr>
      <w:r>
        <w:rPr>
          <w:rFonts w:ascii="Calibri" w:hAnsi="Calibri"/>
          <w:b w:val="0"/>
          <w:i w:val="0"/>
          <w:color w:val="000000"/>
          <w:sz w:val="20"/>
        </w:rPr>
        <w:t>4.1 Margin Reporting: The Company shall provide the Consultant with a detailed calculation for each fee payment, showing: (i) revenue received; (ii) applicable costs; (iii) resulting Net Margin or Net Revenue; and (iv) fee amount. Reports shall be provided within fourteen (14) days of each client payment.</w:t>
      </w:r>
    </w:p>
    <w:p>
      <w:pPr>
        <w:jc w:val="both"/>
      </w:pPr>
      <w:r>
        <w:rPr>
          <w:rFonts w:ascii="Calibri" w:hAnsi="Calibri"/>
          <w:b w:val="0"/>
          <w:i w:val="0"/>
          <w:color w:val="000000"/>
          <w:sz w:val="20"/>
        </w:rPr>
        <w:t>4.2 Quarterly Summary: The Company shall provide a quarterly summary showing all revenue received, fees accrued, fees paid, and fees outstanding, broken down by Existing Project and Future Business.</w:t>
      </w:r>
    </w:p>
    <w:p>
      <w:pPr>
        <w:jc w:val="both"/>
      </w:pPr>
      <w:r>
        <w:rPr>
          <w:rFonts w:ascii="Calibri" w:hAnsi="Calibri"/>
          <w:b w:val="0"/>
          <w:i w:val="0"/>
          <w:color w:val="000000"/>
          <w:sz w:val="20"/>
        </w:rPr>
        <w:t>4.3 Audit Right: The Consultant shall have the right, upon reasonable written notice, to inspect the Company's books, records, invoices, and bank statements relating to all revenue streams to verify the accuracy of fee calculations. The Company shall retain all such records for a minimum of seven (7) years.</w:t>
      </w:r>
    </w:p>
    <w:p>
      <w:r>
        <w:rPr>
          <w:rFonts w:ascii="Calibri" w:hAnsi="Calibri"/>
          <w:b w:val="0"/>
          <w:i w:val="0"/>
          <w:color w:val="000000"/>
          <w:sz w:val="20"/>
        </w:rPr>
        <w:t>═══ CLAUSE 5 — DURATION AND PROTECTION ═══</w:t>
      </w:r>
    </w:p>
    <w:p>
      <w:pPr>
        <w:spacing w:before="280"/>
      </w:pPr>
      <w:r>
        <w:rPr>
          <w:rFonts w:ascii="Calibri" w:hAnsi="Calibri"/>
          <w:b/>
          <w:i w:val="0"/>
          <w:color w:val="C9A432"/>
          <w:sz w:val="24"/>
        </w:rPr>
        <w:t>5. Duration, Term and Protection</w:t>
      </w:r>
    </w:p>
    <w:p>
      <w:pPr>
        <w:jc w:val="both"/>
      </w:pPr>
      <w:r>
        <w:rPr>
          <w:rFonts w:ascii="Calibri" w:hAnsi="Calibri"/>
          <w:b w:val="0"/>
          <w:i w:val="0"/>
          <w:color w:val="000000"/>
          <w:sz w:val="20"/>
        </w:rPr>
        <w:t>5.1 Commencement: This Agreement shall commence on the date first written above.</w:t>
      </w:r>
    </w:p>
    <w:p>
      <w:pPr>
        <w:jc w:val="both"/>
      </w:pPr>
      <w:r>
        <w:rPr>
          <w:rFonts w:ascii="Calibri" w:hAnsi="Calibri"/>
          <w:b w:val="0"/>
          <w:i w:val="0"/>
          <w:color w:val="000000"/>
          <w:sz w:val="20"/>
        </w:rPr>
        <w:t>5.2 Minimum Term: This Agreement shall have a minimum term of five (5) years from the date of commencement (the "Minimum Term"), after which it shall automatically renew for successive periods of three (3) years unless terminated by mutual written agreement of both Parties.</w:t>
      </w:r>
    </w:p>
    <w:p>
      <w:pPr>
        <w:jc w:val="both"/>
      </w:pPr>
      <w:r>
        <w:rPr>
          <w:rFonts w:ascii="Calibri" w:hAnsi="Calibri"/>
          <w:b w:val="0"/>
          <w:i w:val="0"/>
          <w:color w:val="000000"/>
          <w:sz w:val="20"/>
        </w:rPr>
        <w:t>5.3 Term and Protected Matter Status:</w:t>
      </w:r>
    </w:p>
    <w:p>
      <w:pPr>
        <w:jc w:val="both"/>
      </w:pPr>
      <w:r>
        <w:rPr>
          <w:rFonts w:ascii="Calibri" w:hAnsi="Calibri"/>
          <w:b w:val="0"/>
          <w:i w:val="0"/>
          <w:color w:val="000000"/>
          <w:sz w:val="20"/>
        </w:rPr>
        <w:t>(a) During the Minimum Term, this Agreement may not be terminated by the Company except for material uncured breach by the Consultant (following thirty (30) days' written notice and opportunity to cure) or by mutual written agreement. After the Minimum Term, either Party may terminate on twelve (12) months' written notice, subject to accrued fees on signed contracts and Clause 5.5.</w:t>
      </w:r>
    </w:p>
    <w:p>
      <w:pPr>
        <w:jc w:val="both"/>
      </w:pPr>
      <w:r>
        <w:rPr>
          <w:rFonts w:ascii="Calibri" w:hAnsi="Calibri"/>
          <w:b w:val="0"/>
          <w:i w:val="0"/>
          <w:color w:val="000000"/>
          <w:sz w:val="20"/>
        </w:rPr>
        <w:t>(b) This Agreement is designated as a "Protected Matter". Amendment or termination during the Minimum Term requires consent of shareholders holding at least seventy-five percent (75%) of voting shares, or unanimous consent if fewer than three shareholders. This shall be reflected in the Articles prior to any transfer of shares to a new shareholder. Nothing in this Agreement limits statutory rights under the Companies Law, Cap. 113.</w:t>
      </w:r>
    </w:p>
    <w:p>
      <w:pPr>
        <w:jc w:val="both"/>
      </w:pPr>
      <w:r>
        <w:rPr>
          <w:rFonts w:ascii="Calibri" w:hAnsi="Calibri"/>
          <w:b w:val="0"/>
          <w:i w:val="0"/>
          <w:color w:val="000000"/>
          <w:sz w:val="20"/>
        </w:rPr>
        <w:t>5.4 Pre-Existing Obligation and Survival: This Agreement is a material pre-existing obligation of the Company and shall be disclosed to new shareholders pursuant to Clause 6.3. Fees accrued on contracts signed during the term survive termination in respect of those contracts. Nothing in this Agreement purports to override mandatory provisions of Cap. 113 or to prevent shareholders from exercising rights expressly conferred by law.</w:t>
      </w:r>
    </w:p>
    <w:p>
      <w:pPr>
        <w:jc w:val="both"/>
      </w:pPr>
      <w:r>
        <w:rPr>
          <w:rFonts w:ascii="Calibri" w:hAnsi="Calibri"/>
          <w:b w:val="0"/>
          <w:i w:val="0"/>
          <w:color w:val="000000"/>
          <w:sz w:val="20"/>
        </w:rPr>
        <w:t>5.5 Liquidated Damages: If the Company repudiates or terminates without cause (other than Consultant material breach) before expiry of the Minimum Term, the Company shall pay liquidated damages equal to the average annual Origination Fee and Team Operations Fee paid in the preceding twenty-four (24) months, capped at twelve (12) months' average fees, as a genuine pre-estimate of loss. No liquidated damages apply following expiry of the Minimum Term or on termination for Consultant material breach.</w:t>
      </w:r>
    </w:p>
    <w:p>
      <w:pPr>
        <w:jc w:val="both"/>
      </w:pPr>
      <w:r>
        <w:rPr>
          <w:rFonts w:ascii="Calibri" w:hAnsi="Calibri"/>
          <w:b w:val="0"/>
          <w:i w:val="0"/>
          <w:color w:val="000000"/>
          <w:sz w:val="20"/>
        </w:rPr>
        <w:t>5.6 Any purported variation that reduces fees accrued before the purported variation shall not bind the Consultant without the Consultant's written consent.</w:t>
      </w:r>
    </w:p>
    <w:p>
      <w:r>
        <w:rPr>
          <w:rFonts w:ascii="Calibri" w:hAnsi="Calibri"/>
          <w:b w:val="0"/>
          <w:i w:val="0"/>
          <w:color w:val="000000"/>
          <w:sz w:val="20"/>
        </w:rPr>
        <w:t>═══ CLAUSE 6 — PROTECTION OF CONSULTANT'S RIGHTS ═══</w:t>
      </w:r>
    </w:p>
    <w:p>
      <w:pPr>
        <w:spacing w:before="280"/>
      </w:pPr>
      <w:r>
        <w:rPr>
          <w:rFonts w:ascii="Calibri" w:hAnsi="Calibri"/>
          <w:b/>
          <w:i w:val="0"/>
          <w:color w:val="C9A432"/>
          <w:sz w:val="24"/>
        </w:rPr>
        <w:t>6. Protection of the Consultant's Rights</w:t>
      </w:r>
    </w:p>
    <w:p>
      <w:pPr>
        <w:jc w:val="both"/>
      </w:pPr>
      <w:r>
        <w:rPr>
          <w:rFonts w:ascii="Calibri" w:hAnsi="Calibri"/>
          <w:b w:val="0"/>
          <w:i w:val="0"/>
          <w:color w:val="000000"/>
          <w:sz w:val="20"/>
        </w:rPr>
        <w:t>6.1 Independent Contractual Right: The Consultant's right to the Origination Fee and Team Operations Fee arises under this Agreement as an independent contractual right of the Consultant and is not contingent upon Alexander Papacosta holding any office, directorship, employment, or other position with the Company. All fees shall remain payable regardless of whether Alexander Papacosta is removed as director, resigns, or ceases to hold any role with the Company for any reason.</w:t>
      </w:r>
    </w:p>
    <w:p>
      <w:pPr>
        <w:jc w:val="both"/>
      </w:pPr>
      <w:r>
        <w:rPr>
          <w:rFonts w:ascii="Calibri" w:hAnsi="Calibri"/>
          <w:b w:val="0"/>
          <w:i w:val="0"/>
          <w:color w:val="000000"/>
          <w:sz w:val="20"/>
        </w:rPr>
        <w:t>6.2 Survival on Change of Control: If the shares of the Company are sold, transferred, or otherwise disposed of (whether in whole or in part), or if a new shareholder acquires control, the Company's obligations under this Agreement shall be binding on any successor owner, acquirer, or controlling party. The Company shall procure that any transferee of its shares or business expressly assumes the obligations under this Agreement as a condition of such transfer.</w:t>
      </w:r>
    </w:p>
    <w:p>
      <w:pPr>
        <w:jc w:val="both"/>
      </w:pPr>
      <w:r>
        <w:rPr>
          <w:rFonts w:ascii="Calibri" w:hAnsi="Calibri"/>
          <w:b w:val="0"/>
          <w:i w:val="0"/>
          <w:color w:val="000000"/>
          <w:sz w:val="20"/>
        </w:rPr>
        <w:t>6.3 Condition Precedent for New Shareholders: No shares in the Company shall be issued, transferred, or allotted to any new shareholder unless, as a condition precedent to such issuance, transfer, or allotment, the new shareholder has:</w:t>
      </w:r>
    </w:p>
    <w:p>
      <w:pPr>
        <w:jc w:val="both"/>
      </w:pPr>
      <w:r>
        <w:rPr>
          <w:rFonts w:ascii="Calibri" w:hAnsi="Calibri"/>
          <w:b w:val="0"/>
          <w:i w:val="0"/>
          <w:color w:val="000000"/>
          <w:sz w:val="20"/>
        </w:rPr>
        <w:t>(a) received a copy of this Agreement;</w:t>
      </w:r>
    </w:p>
    <w:p>
      <w:pPr>
        <w:jc w:val="both"/>
      </w:pPr>
      <w:r>
        <w:rPr>
          <w:rFonts w:ascii="Calibri" w:hAnsi="Calibri"/>
          <w:b w:val="0"/>
          <w:i w:val="0"/>
          <w:color w:val="000000"/>
          <w:sz w:val="20"/>
        </w:rPr>
        <w:t>(b) executed a written deed of acknowledgement confirming that: (i) they have read and understood this Agreement; (ii) they acknowledge this Agreement as a Pre-Existing Obligation of the Company; (iii) they shall not challenge the validity of fees properly accrued and payable under this Agreement in respect of contracts signed before their admission as shareholder, except as required by law or by order of a court of competent jurisdiction; and (iv) they acknowledge the Protected Matter status described in Clause 5.3(b);</w:t>
      </w:r>
    </w:p>
    <w:p>
      <w:pPr>
        <w:jc w:val="both"/>
      </w:pPr>
      <w:r>
        <w:rPr>
          <w:rFonts w:ascii="Calibri" w:hAnsi="Calibri"/>
          <w:b w:val="0"/>
          <w:i w:val="0"/>
          <w:color w:val="000000"/>
          <w:sz w:val="20"/>
        </w:rPr>
        <w:t>(c) executed any Shareholder Agreement that incorporates the obligations in sub-clause (b) above.</w:t>
      </w:r>
    </w:p>
    <w:p>
      <w:pPr>
        <w:jc w:val="both"/>
      </w:pPr>
      <w:r>
        <w:rPr>
          <w:rFonts w:ascii="Calibri" w:hAnsi="Calibri"/>
          <w:b w:val="0"/>
          <w:i w:val="0"/>
          <w:color w:val="000000"/>
          <w:sz w:val="20"/>
        </w:rPr>
        <w:t>6.4 No Set-Off: The Company shall not set off, deduct, or withhold any amount from any fee for any reason, including any claim, counterclaim, or dispute the Company may have against the Consultant or Alexander Papacosta, unless determined by a final, non-appealable court order or arbitral award.</w:t>
      </w:r>
    </w:p>
    <w:p>
      <w:pPr>
        <w:jc w:val="both"/>
      </w:pPr>
      <w:r>
        <w:rPr>
          <w:rFonts w:ascii="Calibri" w:hAnsi="Calibri"/>
          <w:b w:val="0"/>
          <w:i w:val="0"/>
          <w:color w:val="000000"/>
          <w:sz w:val="20"/>
        </w:rPr>
        <w:t>6.5 Payment before discretionary distributions: Fees accrued in respect of revenue received shall be paid before the Company declares discretionary dividends or makes discretionary shareholder distributions attributable to that revenue. This clause does not create security or priority over statutory or secured creditors.</w:t>
      </w:r>
    </w:p>
    <w:p>
      <w:pPr>
        <w:jc w:val="both"/>
      </w:pPr>
      <w:r>
        <w:rPr>
          <w:rFonts w:ascii="Calibri" w:hAnsi="Calibri"/>
          <w:b w:val="0"/>
          <w:i w:val="0"/>
          <w:color w:val="000000"/>
          <w:sz w:val="20"/>
        </w:rPr>
        <w:t>6.6 Specific Performance: The Parties acknowledge that damages alone would not be an adequate remedy for breach of this Agreement and that the Consultant shall be entitled to seek specific performance, injunctive relief, or any other equitable remedy in addition to any other rights or remedies available at law.</w:t>
      </w:r>
    </w:p>
    <w:p>
      <w:pPr>
        <w:jc w:val="both"/>
      </w:pPr>
      <w:r>
        <w:rPr>
          <w:rFonts w:ascii="Calibri" w:hAnsi="Calibri"/>
          <w:b w:val="0"/>
          <w:i w:val="0"/>
          <w:color w:val="000000"/>
          <w:sz w:val="20"/>
        </w:rPr>
        <w:t>6.7 Notification Obligation: The Company shall immediately notify the Consultant in writing of: (a) any proposed change in directorship; (b) any proposed transfer or reorganisation of shares; (c) any proposal to amend the articles of association; (d) any winding-up petition or insolvency event; (e) any shareholder resolution that may affect this Agreement; or (f) any proposal to admit a new shareholder or investor.</w:t>
      </w:r>
    </w:p>
    <w:p>
      <w:pPr>
        <w:jc w:val="both"/>
      </w:pPr>
      <w:r>
        <w:rPr>
          <w:rFonts w:ascii="Calibri" w:hAnsi="Calibri"/>
          <w:b w:val="0"/>
          <w:i w:val="0"/>
          <w:color w:val="000000"/>
          <w:sz w:val="20"/>
        </w:rPr>
        <w:t>6.8 Articles of Association: The Company shall, prior to any transfer of shares to a new shareholder, amend its Articles of Association to include the following provisions:</w:t>
      </w:r>
    </w:p>
    <w:p>
      <w:pPr>
        <w:jc w:val="both"/>
      </w:pPr>
      <w:r>
        <w:rPr>
          <w:rFonts w:ascii="Calibri" w:hAnsi="Calibri"/>
          <w:b w:val="0"/>
          <w:i w:val="0"/>
          <w:color w:val="000000"/>
          <w:sz w:val="20"/>
        </w:rPr>
        <w:t>(a) classification of the Team Operational Consultancy Agreement (this Agreement) as a "Protected Matter" requiring consent of shareholders holding at least seventy-five percent (75%) of voting shares (or unanimous consent if fewer than three shareholders) to modify or terminate during the Minimum Term, subject to Cap. 113;</w:t>
      </w:r>
    </w:p>
    <w:p>
      <w:pPr>
        <w:jc w:val="both"/>
      </w:pPr>
      <w:r>
        <w:rPr>
          <w:rFonts w:ascii="Calibri" w:hAnsi="Calibri"/>
          <w:b w:val="0"/>
          <w:i w:val="0"/>
          <w:color w:val="000000"/>
          <w:sz w:val="20"/>
        </w:rPr>
        <w:t>(b) a requirement that all share transfers are conditional upon the transferee executing the deed of acknowledgement described in Clause 6.3(b); and</w:t>
      </w:r>
    </w:p>
    <w:p>
      <w:pPr>
        <w:jc w:val="both"/>
      </w:pPr>
      <w:r>
        <w:rPr>
          <w:rFonts w:ascii="Calibri" w:hAnsi="Calibri"/>
          <w:b w:val="0"/>
          <w:i w:val="0"/>
          <w:color w:val="000000"/>
          <w:sz w:val="20"/>
        </w:rPr>
        <w:t>(c) a statement that the Company has a material contractual obligation to Moi Ostrov Ltd and that accrued fees shall be paid before discretionary dividends or distributions attributable to the relevant revenue, as provided in Clause 6.5.</w:t>
      </w:r>
    </w:p>
    <w:p>
      <w:r>
        <w:rPr>
          <w:rFonts w:ascii="Calibri" w:hAnsi="Calibri"/>
          <w:b w:val="0"/>
          <w:i w:val="0"/>
          <w:color w:val="000000"/>
          <w:sz w:val="20"/>
        </w:rPr>
        <w:t>═══ CLAUSE 7 — CONFLICT OF INTEREST ═══</w:t>
      </w:r>
    </w:p>
    <w:p>
      <w:pPr>
        <w:spacing w:before="280"/>
      </w:pPr>
      <w:r>
        <w:rPr>
          <w:rFonts w:ascii="Calibri" w:hAnsi="Calibri"/>
          <w:b/>
          <w:i w:val="0"/>
          <w:color w:val="C9A432"/>
          <w:sz w:val="24"/>
        </w:rPr>
        <w:t>7. Conflict of Interest Acknowledgement</w:t>
      </w:r>
    </w:p>
    <w:p>
      <w:pPr>
        <w:jc w:val="both"/>
      </w:pPr>
      <w:r>
        <w:rPr>
          <w:rFonts w:ascii="Calibri" w:hAnsi="Calibri"/>
          <w:b w:val="0"/>
          <w:i w:val="0"/>
          <w:color w:val="000000"/>
          <w:sz w:val="20"/>
        </w:rPr>
        <w:t>7.1 The Parties acknowledge that Alexander Papacosta is, as at the date of this Agreement, a director of both the Company and the Consultant. The Parties have considered this potential conflict of interest and have determined that this Agreement is in the best interests of the Company because:</w:t>
      </w:r>
    </w:p>
    <w:p>
      <w:pPr>
        <w:jc w:val="both"/>
      </w:pPr>
      <w:r>
        <w:rPr>
          <w:rFonts w:ascii="Calibri" w:hAnsi="Calibri"/>
          <w:b w:val="0"/>
          <w:i w:val="0"/>
          <w:color w:val="000000"/>
          <w:sz w:val="20"/>
        </w:rPr>
        <w:t>(a) the entire Existing Project pipeline was originated, developed, and secured through Alexander Papacosta's personal relationships, market knowledge, and business development activities;</w:t>
      </w:r>
    </w:p>
    <w:p>
      <w:pPr>
        <w:jc w:val="both"/>
      </w:pPr>
      <w:r>
        <w:rPr>
          <w:rFonts w:ascii="Calibri" w:hAnsi="Calibri"/>
          <w:b w:val="0"/>
          <w:i w:val="0"/>
          <w:color w:val="000000"/>
          <w:sz w:val="20"/>
        </w:rPr>
        <w:t>(b) the Consultant provides essential ongoing operational services (Schedule 3) that the Company would otherwise need to resource internally at comparable or greater cost;</w:t>
      </w:r>
    </w:p>
    <w:p>
      <w:pPr>
        <w:jc w:val="both"/>
      </w:pPr>
      <w:r>
        <w:rPr>
          <w:rFonts w:ascii="Calibri" w:hAnsi="Calibri"/>
          <w:b w:val="0"/>
          <w:i w:val="0"/>
          <w:color w:val="000000"/>
          <w:sz w:val="20"/>
        </w:rPr>
        <w:t>(c) the fee rates are commercially reasonable: the Origination Fee reflects the Consultant's contribution to the Existing Project portfolio (Schedule 1), and the Team Operations Fee reflects the market cost of outsourced project management and team operations in the EPC sector;</w:t>
      </w:r>
    </w:p>
    <w:p>
      <w:pPr>
        <w:jc w:val="both"/>
      </w:pPr>
      <w:r>
        <w:rPr>
          <w:rFonts w:ascii="Calibri" w:hAnsi="Calibri"/>
          <w:b w:val="0"/>
          <w:i w:val="0"/>
          <w:color w:val="000000"/>
          <w:sz w:val="20"/>
        </w:rPr>
        <w:t>(d) the sole shareholder of the Company (Lighthief International Ltd) has approved this Agreement by way of the Written Shareholder Resolution in Annex A;</w:t>
      </w:r>
    </w:p>
    <w:p>
      <w:pPr>
        <w:jc w:val="both"/>
      </w:pPr>
      <w:r>
        <w:rPr>
          <w:rFonts w:ascii="Calibri" w:hAnsi="Calibri"/>
          <w:b w:val="0"/>
          <w:i w:val="0"/>
          <w:color w:val="000000"/>
          <w:sz w:val="20"/>
        </w:rPr>
        <w:t>(e) the ultimate beneficial owner has provided a personal undertaking (Annex B) confirming his support for this Agreement;</w:t>
      </w:r>
    </w:p>
    <w:p>
      <w:pPr>
        <w:jc w:val="both"/>
      </w:pPr>
      <w:r>
        <w:rPr>
          <w:rFonts w:ascii="Calibri" w:hAnsi="Calibri"/>
          <w:b w:val="0"/>
          <w:i w:val="0"/>
          <w:color w:val="000000"/>
          <w:sz w:val="20"/>
        </w:rPr>
        <w:t>(f) the Shareholder obtained independent legal advice in connection with this Agreement before approving it.</w:t>
      </w:r>
    </w:p>
    <w:p>
      <w:pPr>
        <w:jc w:val="both"/>
      </w:pPr>
      <w:r>
        <w:rPr>
          <w:rFonts w:ascii="Calibri" w:hAnsi="Calibri"/>
          <w:b w:val="0"/>
          <w:i w:val="0"/>
          <w:color w:val="000000"/>
          <w:sz w:val="20"/>
        </w:rPr>
        <w:t>7.2 Alexander Papacosta has disclosed his interest as a director of both Parties in accordance with Section 191 of the Cyprus Companies Law, Cap. 113, and the Company's constitutional documents.</w:t>
      </w:r>
    </w:p>
    <w:p>
      <w:r>
        <w:rPr>
          <w:rFonts w:ascii="Calibri" w:hAnsi="Calibri"/>
          <w:b w:val="0"/>
          <w:i w:val="0"/>
          <w:color w:val="000000"/>
          <w:sz w:val="20"/>
        </w:rPr>
        <w:t>═══ CLAUSE 8 — LATE PAYMENT ═══</w:t>
      </w:r>
    </w:p>
    <w:p>
      <w:pPr>
        <w:spacing w:before="280"/>
      </w:pPr>
      <w:r>
        <w:rPr>
          <w:rFonts w:ascii="Calibri" w:hAnsi="Calibri"/>
          <w:b/>
          <w:i w:val="0"/>
          <w:color w:val="C9A432"/>
          <w:sz w:val="24"/>
        </w:rPr>
        <w:t>8. Late Payment and Remedies</w:t>
      </w:r>
    </w:p>
    <w:p>
      <w:pPr>
        <w:jc w:val="both"/>
      </w:pPr>
      <w:r>
        <w:rPr>
          <w:rFonts w:ascii="Calibri" w:hAnsi="Calibri"/>
          <w:b w:val="0"/>
          <w:i w:val="0"/>
          <w:color w:val="000000"/>
          <w:sz w:val="20"/>
        </w:rPr>
        <w:t>8.1 If the Company fails to pay any fee instalment within the fourteen (14) day period specified in Clauses 2.3 and 3.4, interest shall accrue on the overdue amount at the rate of 5% per annum above the European Central Bank base rate, compounded monthly, from the due date until the date of actual payment.</w:t>
      </w:r>
    </w:p>
    <w:p>
      <w:pPr>
        <w:jc w:val="both"/>
      </w:pPr>
      <w:r>
        <w:rPr>
          <w:rFonts w:ascii="Calibri" w:hAnsi="Calibri"/>
          <w:b w:val="0"/>
          <w:i w:val="0"/>
          <w:color w:val="000000"/>
          <w:sz w:val="20"/>
        </w:rPr>
        <w:t>8.2 If any fee payment remains overdue for more than thirty (30) days, the Consultant may, at its sole discretion:</w:t>
      </w:r>
    </w:p>
    <w:p>
      <w:pPr>
        <w:jc w:val="both"/>
      </w:pPr>
      <w:r>
        <w:rPr>
          <w:rFonts w:ascii="Calibri" w:hAnsi="Calibri"/>
          <w:b w:val="0"/>
          <w:i w:val="0"/>
          <w:color w:val="000000"/>
          <w:sz w:val="20"/>
        </w:rPr>
        <w:t>(a) declare the entire remaining fee across all revenue streams immediately due and payable;</w:t>
      </w:r>
    </w:p>
    <w:p>
      <w:pPr>
        <w:jc w:val="both"/>
      </w:pPr>
      <w:r>
        <w:rPr>
          <w:rFonts w:ascii="Calibri" w:hAnsi="Calibri"/>
          <w:b w:val="0"/>
          <w:i w:val="0"/>
          <w:color w:val="000000"/>
          <w:sz w:val="20"/>
        </w:rPr>
        <w:t>(b) commence legal proceedings or arbitration for recovery, including the costs of such proceedings;</w:t>
      </w:r>
    </w:p>
    <w:p>
      <w:pPr>
        <w:jc w:val="both"/>
      </w:pPr>
      <w:r>
        <w:rPr>
          <w:rFonts w:ascii="Calibri" w:hAnsi="Calibri"/>
          <w:b w:val="0"/>
          <w:i w:val="0"/>
          <w:color w:val="000000"/>
          <w:sz w:val="20"/>
        </w:rPr>
        <w:t>(c) apply for injunctive relief to prevent the Company from making discretionary distributions or disposing of assets in breach of Clause 6.5.</w:t>
      </w:r>
    </w:p>
    <w:p>
      <w:r>
        <w:rPr>
          <w:rFonts w:ascii="Calibri" w:hAnsi="Calibri"/>
          <w:b w:val="0"/>
          <w:i w:val="0"/>
          <w:color w:val="000000"/>
          <w:sz w:val="20"/>
        </w:rPr>
        <w:t>═══ CLAUSE 9 — CONFIDENTIALITY ═══</w:t>
      </w:r>
    </w:p>
    <w:p>
      <w:pPr>
        <w:spacing w:before="280"/>
      </w:pPr>
      <w:r>
        <w:rPr>
          <w:rFonts w:ascii="Calibri" w:hAnsi="Calibri"/>
          <w:b/>
          <w:i w:val="0"/>
          <w:color w:val="C9A432"/>
          <w:sz w:val="24"/>
        </w:rPr>
        <w:t>9. Confidentiality</w:t>
      </w:r>
    </w:p>
    <w:p>
      <w:pPr>
        <w:jc w:val="both"/>
      </w:pPr>
      <w:r>
        <w:rPr>
          <w:rFonts w:ascii="Calibri" w:hAnsi="Calibri"/>
          <w:b w:val="0"/>
          <w:i w:val="0"/>
          <w:color w:val="000000"/>
          <w:sz w:val="20"/>
        </w:rPr>
        <w:t>9.1 The terms of this Agreement shall be kept strictly confidential by both Parties. Neither Party shall disclose the existence or terms of this Agreement to any third party without the prior written consent of the other, except: (a) to professional advisers under equivalent confidentiality obligations; (b) as required by law or regulation; (c) in legal proceedings to enforce this Agreement; or (d) to a prospective new shareholder as required by Clause 6.3 (limited to confirmation that a material pre-existing obligation exists, with full terms disclosed only upon execution of a confidentiality undertaking).</w:t>
      </w:r>
    </w:p>
    <w:p>
      <w:r>
        <w:rPr>
          <w:rFonts w:ascii="Calibri" w:hAnsi="Calibri"/>
          <w:b w:val="0"/>
          <w:i w:val="0"/>
          <w:color w:val="000000"/>
          <w:sz w:val="20"/>
        </w:rPr>
        <w:t>═══ CLAUSE 10 — DISPUTE RESOLUTION ═══</w:t>
      </w:r>
    </w:p>
    <w:p>
      <w:pPr>
        <w:spacing w:before="280"/>
      </w:pPr>
      <w:r>
        <w:rPr>
          <w:rFonts w:ascii="Calibri" w:hAnsi="Calibri"/>
          <w:b/>
          <w:i w:val="0"/>
          <w:color w:val="C9A432"/>
          <w:sz w:val="24"/>
        </w:rPr>
        <w:t>10. Dispute Resolution</w:t>
      </w:r>
    </w:p>
    <w:p>
      <w:pPr>
        <w:jc w:val="both"/>
      </w:pPr>
      <w:r>
        <w:rPr>
          <w:rFonts w:ascii="Calibri" w:hAnsi="Calibri"/>
          <w:b w:val="0"/>
          <w:i w:val="0"/>
          <w:color w:val="000000"/>
          <w:sz w:val="20"/>
        </w:rPr>
        <w:t>10.1 Negotiation: Any dispute arising out of or in connection with this Agreement shall first be referred to the Parties' senior representatives for resolution by good-faith negotiation for a period of thirty (30) days.</w:t>
      </w:r>
    </w:p>
    <w:p>
      <w:pPr>
        <w:jc w:val="both"/>
      </w:pPr>
      <w:r>
        <w:rPr>
          <w:rFonts w:ascii="Calibri" w:hAnsi="Calibri"/>
          <w:b w:val="0"/>
          <w:i w:val="0"/>
          <w:color w:val="000000"/>
          <w:sz w:val="20"/>
        </w:rPr>
        <w:t>10.2 Arbitration: If the dispute is not resolved within thirty (30) days, either Party may refer it to binding arbitration under the ICC Rules of Arbitration. The arbitration shall be conducted by a sole arbitrator appointed in accordance with the ICC Rules. The seat of arbitration shall be Limassol, Cyprus. The language of arbitration shall be English. The arbitral award shall be final, binding, and enforceable in any jurisdiction.</w:t>
      </w:r>
    </w:p>
    <w:p>
      <w:pPr>
        <w:jc w:val="both"/>
      </w:pPr>
      <w:r>
        <w:rPr>
          <w:rFonts w:ascii="Calibri" w:hAnsi="Calibri"/>
          <w:b w:val="0"/>
          <w:i w:val="0"/>
          <w:color w:val="000000"/>
          <w:sz w:val="20"/>
        </w:rPr>
        <w:t>10.3 Interim Relief: Nothing in this clause shall prevent either Party from applying to the courts of Cyprus or any competent court for interim or conservatory measures, including injunctive relief, pending the outcome of arbitration.</w:t>
      </w:r>
    </w:p>
    <w:p>
      <w:r>
        <w:rPr>
          <w:rFonts w:ascii="Calibri" w:hAnsi="Calibri"/>
          <w:b w:val="0"/>
          <w:i w:val="0"/>
          <w:color w:val="000000"/>
          <w:sz w:val="20"/>
        </w:rPr>
        <w:t>═══ CLAUSE 11 — GENERAL ═══</w:t>
      </w:r>
    </w:p>
    <w:p>
      <w:pPr>
        <w:spacing w:before="280"/>
      </w:pPr>
      <w:r>
        <w:rPr>
          <w:rFonts w:ascii="Calibri" w:hAnsi="Calibri"/>
          <w:b/>
          <w:i w:val="0"/>
          <w:color w:val="C9A432"/>
          <w:sz w:val="24"/>
        </w:rPr>
        <w:t>11. General Provisions</w:t>
      </w:r>
    </w:p>
    <w:p>
      <w:pPr>
        <w:jc w:val="both"/>
      </w:pPr>
      <w:r>
        <w:rPr>
          <w:rFonts w:ascii="Calibri" w:hAnsi="Calibri"/>
          <w:b w:val="0"/>
          <w:i w:val="0"/>
          <w:color w:val="000000"/>
          <w:sz w:val="20"/>
        </w:rPr>
        <w:t>11.1 Entire Agreement: This Agreement (including the Schedules and Annexes) constitutes the entire agreement between the Parties in respect of the subject matter hereof and supersedes all prior agreements, understandings, representations, and discussions.</w:t>
      </w:r>
    </w:p>
    <w:p>
      <w:pPr>
        <w:jc w:val="both"/>
      </w:pPr>
      <w:r>
        <w:rPr>
          <w:rFonts w:ascii="Calibri" w:hAnsi="Calibri"/>
          <w:b w:val="0"/>
          <w:i w:val="0"/>
          <w:color w:val="000000"/>
          <w:sz w:val="20"/>
        </w:rPr>
        <w:t>11.2 Amendments: No amendment, variation, or waiver of this Agreement shall be effective unless made in writing and signed by both Parties, except as provided in Clause 5.3. Nothing in this Agreement prevents shareholders from exercising rights expressly conferred by the Companies Law, Cap. 113, or a court from determining any matter under applicable law.</w:t>
      </w:r>
    </w:p>
    <w:p>
      <w:pPr>
        <w:jc w:val="both"/>
      </w:pPr>
      <w:r>
        <w:rPr>
          <w:rFonts w:ascii="Calibri" w:hAnsi="Calibri"/>
          <w:b w:val="0"/>
          <w:i w:val="0"/>
          <w:color w:val="000000"/>
          <w:sz w:val="20"/>
        </w:rPr>
        <w:t>11.3 Assignment: The Consultant may freely assign its rights (but not obligations) under this Agreement to any entity owned or controlled by Alexander Papacosta. The Company may not assign or transfer its obligations under this Agreement without the Consultant's prior written consent, and any assignment shall require the assignee to assume all obligations hereunder.</w:t>
      </w:r>
    </w:p>
    <w:p>
      <w:pPr>
        <w:jc w:val="both"/>
      </w:pPr>
      <w:r>
        <w:rPr>
          <w:rFonts w:ascii="Calibri" w:hAnsi="Calibri"/>
          <w:b w:val="0"/>
          <w:i w:val="0"/>
          <w:color w:val="000000"/>
          <w:sz w:val="20"/>
        </w:rPr>
        <w:t>11.4 Severability: If any provision is held invalid or unenforceable, the remaining provisions shall continue in full force. The invalid provision shall be replaced by a valid provision that achieves the same commercial effect as closely as possible.</w:t>
      </w:r>
    </w:p>
    <w:p>
      <w:pPr>
        <w:jc w:val="both"/>
      </w:pPr>
      <w:r>
        <w:rPr>
          <w:rFonts w:ascii="Calibri" w:hAnsi="Calibri"/>
          <w:b w:val="0"/>
          <w:i w:val="0"/>
          <w:color w:val="000000"/>
          <w:sz w:val="20"/>
        </w:rPr>
        <w:t>11.5 No Waiver: No failure or delay in exercising any right shall constitute a waiver. A single or partial exercise of any right shall not preclude further exercise.</w:t>
      </w:r>
    </w:p>
    <w:p>
      <w:pPr>
        <w:jc w:val="both"/>
      </w:pPr>
      <w:r>
        <w:rPr>
          <w:rFonts w:ascii="Calibri" w:hAnsi="Calibri"/>
          <w:b w:val="0"/>
          <w:i w:val="0"/>
          <w:color w:val="000000"/>
          <w:sz w:val="20"/>
        </w:rPr>
        <w:t>11.6 Governing Law: This Agreement shall be governed by and construed in accordance with the laws of the Republic of Cyprus.</w:t>
      </w:r>
    </w:p>
    <w:p>
      <w:pPr>
        <w:jc w:val="both"/>
      </w:pPr>
      <w:r>
        <w:rPr>
          <w:rFonts w:ascii="Calibri" w:hAnsi="Calibri"/>
          <w:b w:val="0"/>
          <w:i w:val="0"/>
          <w:color w:val="000000"/>
          <w:sz w:val="20"/>
        </w:rPr>
        <w:t>11.7 Notices: All notices shall be in writing and sent to the registered addresses set out on the first page. Email to al@moiostrov.com (for the Consultant) and office@lighthief.com (for the Company) shall constitute valid notice.</w:t>
      </w:r>
    </w:p>
    <w:p>
      <w:pPr>
        <w:jc w:val="both"/>
      </w:pPr>
      <w:r>
        <w:rPr>
          <w:rFonts w:ascii="Calibri" w:hAnsi="Calibri"/>
          <w:b w:val="0"/>
          <w:i w:val="0"/>
          <w:color w:val="000000"/>
          <w:sz w:val="20"/>
        </w:rPr>
        <w:t>11.8 Counterparts: This Agreement may be executed in counterparts, each of which shall be deemed an original.</w:t>
      </w:r>
    </w:p>
    <w:p>
      <w:r>
        <w:rPr>
          <w:rFonts w:ascii="Calibri" w:hAnsi="Calibri"/>
          <w:b w:val="0"/>
          <w:i w:val="0"/>
          <w:color w:val="000000"/>
          <w:sz w:val="20"/>
        </w:rPr>
        <w:t>═══ CLAUSE 12 — ANTI-CIRCUMVENTION &amp; GROUP ENTITIES ═══</w:t>
      </w:r>
    </w:p>
    <w:p>
      <w:pPr>
        <w:spacing w:before="280"/>
      </w:pPr>
      <w:r>
        <w:rPr>
          <w:rFonts w:ascii="Calibri" w:hAnsi="Calibri"/>
          <w:b/>
          <w:i w:val="0"/>
          <w:color w:val="C9A432"/>
          <w:sz w:val="24"/>
        </w:rPr>
        <w:t>12. Anti-Circumvention, Group Entities and Transfer of Protected Business</w:t>
      </w:r>
    </w:p>
    <w:p>
      <w:pPr>
        <w:jc w:val="both"/>
      </w:pPr>
      <w:r>
        <w:rPr>
          <w:rFonts w:ascii="Calibri" w:hAnsi="Calibri"/>
          <w:b w:val="0"/>
          <w:i w:val="0"/>
          <w:color w:val="000000"/>
          <w:sz w:val="20"/>
        </w:rPr>
        <w:t>12.1 Purpose: The Parties acknowledge that the Existing Project and the broader Cyprus business of the Company were originated and are operated with the Consultant's involvement. The Consultant's fee would be defeated if Protected Projects were performed, invoiced, or paid through another member of the Group without equivalent fee payment.</w:t>
      </w:r>
    </w:p>
    <w:p>
      <w:pPr>
        <w:jc w:val="both"/>
      </w:pPr>
      <w:r>
        <w:rPr>
          <w:rFonts w:ascii="Calibri" w:hAnsi="Calibri"/>
          <w:b w:val="0"/>
          <w:i w:val="0"/>
          <w:color w:val="000000"/>
          <w:sz w:val="20"/>
        </w:rPr>
        <w:t>12.2 Mandatory contracting — Cyprus: Unless the Consultant gives prior written consent, all Protected Projects shall be contracted, invoiced, and paid through Lighthief Cyprus Ltd as the contracting party to the end client (or the client's designated contracting entity).</w:t>
      </w:r>
    </w:p>
    <w:p>
      <w:pPr>
        <w:jc w:val="both"/>
      </w:pPr>
      <w:r>
        <w:rPr>
          <w:rFonts w:ascii="Calibri" w:hAnsi="Calibri"/>
          <w:b w:val="0"/>
          <w:i w:val="0"/>
          <w:color w:val="000000"/>
          <w:sz w:val="20"/>
        </w:rPr>
        <w:t>12.3 Sybaris-controlled entities: If any member of the Group (including any entity of which Dr. Arkadiusz Sybaris is the ultimate beneficial owner or controlling shareholder) enters into, performs, or receives revenue in respect of a Protected Project without the Company's being the contracting and invoicing party, then:</w:t>
      </w:r>
    </w:p>
    <w:p>
      <w:pPr>
        <w:jc w:val="both"/>
      </w:pPr>
      <w:r>
        <w:rPr>
          <w:rFonts w:ascii="Calibri" w:hAnsi="Calibri"/>
          <w:b w:val="0"/>
          <w:i w:val="0"/>
          <w:color w:val="000000"/>
          <w:sz w:val="20"/>
        </w:rPr>
        <w:t>(a) such receipt shall constitute a Deemed Group Receipt;</w:t>
      </w:r>
    </w:p>
    <w:p>
      <w:pPr>
        <w:jc w:val="both"/>
      </w:pPr>
      <w:r>
        <w:rPr>
          <w:rFonts w:ascii="Calibri" w:hAnsi="Calibri"/>
          <w:b w:val="0"/>
          <w:i w:val="0"/>
          <w:color w:val="000000"/>
          <w:sz w:val="20"/>
        </w:rPr>
        <w:t>(b) the applicable Origination Fee or Team Operations Fee shall be calculated on the same Net Margin or Net Revenue basis as if the Company had received the Client Price or revenue directly;</w:t>
      </w:r>
    </w:p>
    <w:p>
      <w:pPr>
        <w:jc w:val="both"/>
      </w:pPr>
      <w:r>
        <w:rPr>
          <w:rFonts w:ascii="Calibri" w:hAnsi="Calibri"/>
          <w:b w:val="0"/>
          <w:i w:val="0"/>
          <w:color w:val="000000"/>
          <w:sz w:val="20"/>
        </w:rPr>
        <w:t>(c) the Company shall pay such fee within fourteen (14) days of the Deemed Group Receipt; and</w:t>
      </w:r>
    </w:p>
    <w:p>
      <w:pPr>
        <w:jc w:val="both"/>
      </w:pPr>
      <w:r>
        <w:rPr>
          <w:rFonts w:ascii="Calibri" w:hAnsi="Calibri"/>
          <w:b w:val="0"/>
          <w:i w:val="0"/>
          <w:color w:val="000000"/>
          <w:sz w:val="20"/>
        </w:rPr>
        <w:t>(d) Dr. Arkadiusz Sybaris shall procure payment and performance under his personal undertaking (Annex B), and no Group entity shall perform Protected Projects for Cyprus clients without a deed of adherence approved by the Consultant.</w:t>
      </w:r>
    </w:p>
    <w:p>
      <w:pPr>
        <w:jc w:val="both"/>
      </w:pPr>
      <w:r>
        <w:rPr>
          <w:rFonts w:ascii="Calibri" w:hAnsi="Calibri"/>
          <w:b w:val="0"/>
          <w:i w:val="0"/>
          <w:color w:val="000000"/>
          <w:sz w:val="20"/>
        </w:rPr>
        <w:t>12.4 Novation / transfer / hive-down: No Park, client contract, pipeline asset, or Protected Project may be novated, assigned, transferred, or hived down from the Company to any other person or Group member without:</w:t>
      </w:r>
    </w:p>
    <w:p>
      <w:pPr>
        <w:jc w:val="both"/>
      </w:pPr>
      <w:r>
        <w:rPr>
          <w:rFonts w:ascii="Calibri" w:hAnsi="Calibri"/>
          <w:b w:val="0"/>
          <w:i w:val="0"/>
          <w:color w:val="000000"/>
          <w:sz w:val="20"/>
        </w:rPr>
        <w:t>(a) the prior written consent of the Consultant; and</w:t>
      </w:r>
    </w:p>
    <w:p>
      <w:pPr>
        <w:jc w:val="both"/>
      </w:pPr>
      <w:r>
        <w:rPr>
          <w:rFonts w:ascii="Calibri" w:hAnsi="Calibri"/>
          <w:b w:val="0"/>
          <w:i w:val="0"/>
          <w:color w:val="000000"/>
          <w:sz w:val="20"/>
        </w:rPr>
        <w:t>(b) execution of a deed of assumption under which the transferee expressly assumes all obligations under this Agreement in respect of the transferred Protected Project.</w:t>
      </w:r>
    </w:p>
    <w:p>
      <w:pPr>
        <w:jc w:val="both"/>
      </w:pPr>
      <w:r>
        <w:rPr>
          <w:rFonts w:ascii="Calibri" w:hAnsi="Calibri"/>
          <w:b w:val="0"/>
          <w:i w:val="0"/>
          <w:color w:val="000000"/>
          <w:sz w:val="20"/>
        </w:rPr>
        <w:t>12.5 Client payment routing: The Company shall not instruct, permit, or facilitate any end client or intermediary to pay any amount in respect of a Protected Project to any bank account or entity other than the Company, except with the Consultant's prior written consent. Any payment received by a Group member in breach of this clause shall be a Deemed Group Receipt.</w:t>
      </w:r>
    </w:p>
    <w:p>
      <w:pPr>
        <w:jc w:val="both"/>
      </w:pPr>
      <w:r>
        <w:rPr>
          <w:rFonts w:ascii="Calibri" w:hAnsi="Calibri"/>
          <w:b w:val="0"/>
          <w:i w:val="0"/>
          <w:color w:val="000000"/>
          <w:sz w:val="20"/>
        </w:rPr>
        <w:t>12.6 Non-Cyprus territories: This Agreement governs the Company's business conducted in or from Cyprus. Part B shall not apply to revenue from operations whose principal place of performance is outside the Republic of Cyprus unless expressly agreed in writing between the Parties for a named project. Clause 12.2–12.5 apply if the client or project is Cyprus-based and the opportunity is a Protected Project, regardless of where the Group entity is incorporated.</w:t>
      </w:r>
    </w:p>
    <w:p>
      <w:pPr>
        <w:jc w:val="both"/>
      </w:pPr>
      <w:r>
        <w:rPr>
          <w:rFonts w:ascii="Calibri" w:hAnsi="Calibri"/>
          <w:b w:val="0"/>
          <w:i w:val="0"/>
          <w:color w:val="000000"/>
          <w:sz w:val="20"/>
        </w:rPr>
        <w:t>12.7 Investor / third-party introduced business: Future Business introduced after the date of this Agreement by a third-party investor or shareholder (including any investor in the Company) shall remain subject to Part B when executed through the Company, unless the Parties execute a written carve-out for a named project before contract signature. Investor introduction does not reduce or extinguish fee obligations on Company Revenue executed by the Company.</w:t>
      </w:r>
    </w:p>
    <w:p>
      <w:pPr>
        <w:jc w:val="both"/>
      </w:pPr>
      <w:r>
        <w:rPr>
          <w:rFonts w:ascii="Calibri" w:hAnsi="Calibri"/>
          <w:b w:val="0"/>
          <w:i w:val="0"/>
          <w:color w:val="000000"/>
          <w:sz w:val="20"/>
        </w:rPr>
        <w:t>12.8 Equitable remedy: Breach of this Clause 12 entitles the Consultant to seek injunctive relief, specific performance, and recovery of fees calculated on Deemed Group Receipts, in addition to any other remedy.</w:t>
      </w:r>
    </w:p>
    <w:p>
      <w:pPr>
        <w:sectPr>
          <w:footerReference w:type="default" r:id="rId15"/>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1 ═══</w:t>
      </w:r>
    </w:p>
    <w:p>
      <w:pPr>
        <w:spacing w:before="200"/>
      </w:pPr>
      <w:r>
        <w:rPr>
          <w:rFonts w:ascii="Calibri" w:hAnsi="Calibri"/>
          <w:b/>
          <w:i w:val="0"/>
          <w:color w:val="1A365D"/>
          <w:sz w:val="22"/>
        </w:rPr>
        <w:t>Schedule 1 — Existing Project Parks (Part A — Origination Fee)</w:t>
      </w:r>
    </w:p>
    <w:p>
      <w:pPr>
        <w:jc w:val="both"/>
      </w:pPr>
      <w:r>
        <w:rPr>
          <w:rFonts w:ascii="Calibri" w:hAnsi="Calibri"/>
          <w:b w:val="0"/>
          <w:i w:val="0"/>
          <w:color w:val="000000"/>
          <w:sz w:val="20"/>
        </w:rPr>
        <w:t>The Origination Fee applies to all Parks listed below. These were personally originated and secured by Alexander Papacosta.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65D" w:val="clear"/>
          </w:tcPr>
          <w:p>
            <w:pPr>
              <w:jc w:val="left"/>
            </w:pPr>
            <w:r>
              <w:rPr>
                <w:b/>
                <w:color w:val="FFFFFF"/>
              </w:rPr>
            </w:r>
            <w:r>
              <w:rPr>
                <w:rFonts w:ascii="Calibri" w:hAnsi="Calibri"/>
                <w:b/>
                <w:i w:val="0"/>
                <w:color w:val="FFFFFF"/>
                <w:sz w:val="18"/>
              </w:rPr>
              <w:t>Group</w:t>
            </w:r>
          </w:p>
        </w:tc>
        <w:tc>
          <w:tcPr>
            <w:tcW w:type="dxa" w:w="1881"/>
            <w:shd w:fill="1A365D" w:val="clear"/>
          </w:tcPr>
          <w:p>
            <w:pPr>
              <w:jc w:val="left"/>
            </w:pPr>
            <w:r>
              <w:rPr>
                <w:b/>
                <w:color w:val="FFFFFF"/>
              </w:rPr>
            </w:r>
            <w:r>
              <w:rPr>
                <w:rFonts w:ascii="Calibri" w:hAnsi="Calibri"/>
                <w:b/>
                <w:i w:val="0"/>
                <w:color w:val="FFFFFF"/>
                <w:sz w:val="18"/>
              </w:rPr>
              <w:t>Principal Client</w:t>
            </w:r>
          </w:p>
        </w:tc>
        <w:tc>
          <w:tcPr>
            <w:tcW w:type="dxa" w:w="1881"/>
            <w:shd w:fill="1A365D" w:val="clear"/>
          </w:tcPr>
          <w:p>
            <w:pPr>
              <w:jc w:val="left"/>
            </w:pPr>
            <w:r>
              <w:rPr>
                <w:b/>
                <w:color w:val="FFFFFF"/>
              </w:rPr>
            </w:r>
            <w:r>
              <w:rPr>
                <w:rFonts w:ascii="Calibri" w:hAnsi="Calibri"/>
                <w:b/>
                <w:i w:val="0"/>
                <w:color w:val="FFFFFF"/>
                <w:sz w:val="18"/>
              </w:rPr>
              <w:t>Parks</w:t>
            </w:r>
          </w:p>
        </w:tc>
        <w:tc>
          <w:tcPr>
            <w:tcW w:type="dxa" w:w="1881"/>
            <w:shd w:fill="1A365D" w:val="clear"/>
          </w:tcPr>
          <w:p>
            <w:pPr>
              <w:jc w:val="left"/>
            </w:pPr>
            <w:r>
              <w:rPr>
                <w:b/>
                <w:color w:val="FFFFFF"/>
              </w:rPr>
            </w:r>
            <w:r>
              <w:rPr>
                <w:rFonts w:ascii="Calibri" w:hAnsi="Calibri"/>
                <w:b/>
                <w:i w:val="0"/>
                <w:color w:val="FFFFFF"/>
                <w:sz w:val="18"/>
              </w:rPr>
              <w:t>Total MWh</w:t>
            </w:r>
          </w:p>
        </w:tc>
        <w:tc>
          <w:tcPr>
            <w:tcW w:type="dxa" w:w="1881"/>
            <w:shd w:fill="1A365D" w:val="clear"/>
          </w:tcPr>
          <w:p>
            <w:pPr>
              <w:jc w:val="left"/>
            </w:pPr>
            <w:r>
              <w:rPr>
                <w:b/>
                <w:color w:val="FFFFFF"/>
              </w:rPr>
            </w:r>
            <w:r>
              <w:rPr>
                <w:rFonts w:ascii="Calibri" w:hAnsi="Calibri"/>
                <w:b/>
                <w:i w:val="0"/>
                <w:color w:val="FFFFFF"/>
                <w:sz w:val="18"/>
              </w:rPr>
              <w:t>Affiliated Entities &amp; Projects</w:t>
            </w:r>
          </w:p>
        </w:tc>
      </w:tr>
      <w:tr>
        <w:tc>
          <w:tcPr>
            <w:tcW w:type="dxa" w:w="1881"/>
          </w:tcPr>
          <w:p>
            <w:r/>
            <w:r>
              <w:rPr>
                <w:rFonts w:ascii="Calibri" w:hAnsi="Calibri"/>
                <w:b w:val="0"/>
                <w:i w:val="0"/>
                <w:color w:val="000000"/>
                <w:sz w:val="18"/>
              </w:rPr>
              <w:t>G1</w:t>
            </w:r>
          </w:p>
        </w:tc>
        <w:tc>
          <w:tcPr>
            <w:tcW w:type="dxa" w:w="1881"/>
          </w:tcPr>
          <w:p>
            <w:r/>
            <w:r>
              <w:rPr>
                <w:rFonts w:ascii="Calibri" w:hAnsi="Calibri"/>
                <w:b w:val="0"/>
                <w:i w:val="0"/>
                <w:color w:val="000000"/>
                <w:sz w:val="18"/>
              </w:rPr>
              <w:t>ABIO Power Limited</w:t>
              <w:br/>
              <w:t>Iacovos Charalambous</w:t>
            </w:r>
          </w:p>
        </w:tc>
        <w:tc>
          <w:tcPr>
            <w:tcW w:type="dxa" w:w="1881"/>
          </w:tcPr>
          <w:p>
            <w:pPr>
              <w:jc w:val="right"/>
            </w:pPr>
            <w:r/>
            <w:r>
              <w:rPr>
                <w:rFonts w:ascii="Calibri" w:hAnsi="Calibri"/>
                <w:b w:val="0"/>
                <w:i w:val="0"/>
                <w:color w:val="000000"/>
                <w:sz w:val="18"/>
              </w:rPr>
              <w:t>25</w:t>
            </w:r>
          </w:p>
        </w:tc>
        <w:tc>
          <w:tcPr>
            <w:tcW w:type="dxa" w:w="1881"/>
          </w:tcPr>
          <w:p>
            <w:pPr>
              <w:jc w:val="right"/>
            </w:pPr>
            <w:r/>
            <w:r>
              <w:rPr>
                <w:rFonts w:ascii="Calibri" w:hAnsi="Calibri"/>
                <w:b w:val="0"/>
                <w:i w:val="0"/>
                <w:color w:val="000000"/>
                <w:sz w:val="18"/>
              </w:rPr>
              <w:t>430.3</w:t>
            </w:r>
          </w:p>
        </w:tc>
        <w:tc>
          <w:tcPr>
            <w:tcW w:type="dxa" w:w="1881"/>
          </w:tcPr>
          <w:p>
            <w:r/>
            <w:r>
              <w:rPr>
                <w:rFonts w:ascii="Calibri" w:hAnsi="Calibri"/>
                <w:b w:val="0"/>
                <w:i w:val="0"/>
                <w:color w:val="000000"/>
                <w:sz w:val="18"/>
              </w:rPr>
              <w:t>Greendorado (Agrivoltaic, Larnaca 1, Larnaca 2, 1), Agios Sozomenos, Dianary (1, 2, 3), ELESTORE (1–5), Easy Power (1–4), Polemi, Potamia (p151, p208), Renergetic (1, 2), Solarity, Solartech 3 Ext, Waneron</w:t>
            </w:r>
          </w:p>
        </w:tc>
      </w:tr>
      <w:tr>
        <w:tc>
          <w:tcPr>
            <w:tcW w:type="dxa" w:w="1881"/>
          </w:tcPr>
          <w:p>
            <w:r/>
            <w:r>
              <w:rPr>
                <w:rFonts w:ascii="Calibri" w:hAnsi="Calibri"/>
                <w:b w:val="0"/>
                <w:i w:val="0"/>
                <w:color w:val="000000"/>
                <w:sz w:val="18"/>
              </w:rPr>
              <w:t>G2</w:t>
            </w:r>
          </w:p>
        </w:tc>
        <w:tc>
          <w:tcPr>
            <w:tcW w:type="dxa" w:w="1881"/>
          </w:tcPr>
          <w:p>
            <w:r/>
            <w:r>
              <w:rPr>
                <w:rFonts w:ascii="Calibri" w:hAnsi="Calibri"/>
                <w:b w:val="0"/>
                <w:i w:val="0"/>
                <w:color w:val="000000"/>
                <w:sz w:val="18"/>
              </w:rPr>
              <w:t>Esperia Energy Group</w:t>
              <w:br/>
              <w:t>Dino Constantinou</w:t>
            </w:r>
          </w:p>
        </w:tc>
        <w:tc>
          <w:tcPr>
            <w:tcW w:type="dxa" w:w="1881"/>
          </w:tcPr>
          <w:p>
            <w:pPr>
              <w:jc w:val="right"/>
            </w:pPr>
            <w:r/>
            <w:r>
              <w:rPr>
                <w:rFonts w:ascii="Calibri" w:hAnsi="Calibri"/>
                <w:b w:val="0"/>
                <w:i w:val="0"/>
                <w:color w:val="000000"/>
                <w:sz w:val="18"/>
              </w:rPr>
              <w:t>11</w:t>
            </w:r>
          </w:p>
        </w:tc>
        <w:tc>
          <w:tcPr>
            <w:tcW w:type="dxa" w:w="1881"/>
          </w:tcPr>
          <w:p>
            <w:pPr>
              <w:jc w:val="right"/>
            </w:pPr>
            <w:r/>
            <w:r>
              <w:rPr>
                <w:rFonts w:ascii="Calibri" w:hAnsi="Calibri"/>
                <w:b w:val="0"/>
                <w:i w:val="0"/>
                <w:color w:val="000000"/>
                <w:sz w:val="18"/>
              </w:rPr>
              <w:t>310.5</w:t>
            </w:r>
          </w:p>
        </w:tc>
        <w:tc>
          <w:tcPr>
            <w:tcW w:type="dxa" w:w="1881"/>
          </w:tcPr>
          <w:p>
            <w:r/>
            <w:r>
              <w:rPr>
                <w:rFonts w:ascii="Calibri" w:hAnsi="Calibri"/>
                <w:b w:val="0"/>
                <w:i w:val="0"/>
                <w:color w:val="000000"/>
                <w:sz w:val="18"/>
              </w:rPr>
              <w:t>Esperia Famagusta (1, 2), Esperia Frenaros, Esperia Limassol, Esperia Tseri (1, 2a, 2b, 2c, 3), Galascope (1, 2)</w:t>
            </w:r>
          </w:p>
        </w:tc>
      </w:tr>
      <w:tr>
        <w:tc>
          <w:tcPr>
            <w:tcW w:type="dxa" w:w="1881"/>
          </w:tcPr>
          <w:p>
            <w:r/>
            <w:r>
              <w:rPr>
                <w:rFonts w:ascii="Calibri" w:hAnsi="Calibri"/>
                <w:b w:val="0"/>
                <w:i w:val="0"/>
                <w:color w:val="000000"/>
                <w:sz w:val="18"/>
              </w:rPr>
              <w:t>G3</w:t>
            </w:r>
          </w:p>
        </w:tc>
        <w:tc>
          <w:tcPr>
            <w:tcW w:type="dxa" w:w="1881"/>
          </w:tcPr>
          <w:p>
            <w:r/>
            <w:r>
              <w:rPr>
                <w:rFonts w:ascii="Calibri" w:hAnsi="Calibri"/>
                <w:b w:val="0"/>
                <w:i w:val="0"/>
                <w:color w:val="000000"/>
                <w:sz w:val="18"/>
              </w:rPr>
              <w:t>Lampros Andreadis</w:t>
            </w:r>
          </w:p>
        </w:tc>
        <w:tc>
          <w:tcPr>
            <w:tcW w:type="dxa" w:w="1881"/>
          </w:tcPr>
          <w:p>
            <w:pPr>
              <w:jc w:val="right"/>
            </w:pPr>
            <w:r/>
            <w:r>
              <w:rPr>
                <w:rFonts w:ascii="Calibri" w:hAnsi="Calibri"/>
                <w:b w:val="0"/>
                <w:i w:val="0"/>
                <w:color w:val="000000"/>
                <w:sz w:val="18"/>
              </w:rPr>
              <w:t>2</w:t>
            </w:r>
          </w:p>
        </w:tc>
        <w:tc>
          <w:tcPr>
            <w:tcW w:type="dxa" w:w="1881"/>
          </w:tcPr>
          <w:p>
            <w:pPr>
              <w:jc w:val="right"/>
            </w:pPr>
            <w:r/>
            <w:r>
              <w:rPr>
                <w:rFonts w:ascii="Calibri" w:hAnsi="Calibri"/>
                <w:b w:val="0"/>
                <w:i w:val="0"/>
                <w:color w:val="000000"/>
                <w:sz w:val="18"/>
              </w:rPr>
              <w:t>15.0</w:t>
            </w:r>
          </w:p>
        </w:tc>
        <w:tc>
          <w:tcPr>
            <w:tcW w:type="dxa" w:w="1881"/>
          </w:tcPr>
          <w:p>
            <w:r/>
            <w:r>
              <w:rPr>
                <w:rFonts w:ascii="Calibri" w:hAnsi="Calibri"/>
                <w:b w:val="0"/>
                <w:i w:val="0"/>
                <w:color w:val="000000"/>
                <w:sz w:val="18"/>
              </w:rPr>
              <w:t>Classone Solar Breeze Ltd, Classone Solar Garden Ltd</w:t>
            </w:r>
          </w:p>
        </w:tc>
      </w:tr>
      <w:tr>
        <w:tc>
          <w:tcPr>
            <w:tcW w:type="dxa" w:w="1881"/>
          </w:tcPr>
          <w:p>
            <w:r/>
            <w:r>
              <w:rPr>
                <w:rFonts w:ascii="Calibri" w:hAnsi="Calibri"/>
                <w:b w:val="0"/>
                <w:i w:val="0"/>
                <w:color w:val="000000"/>
                <w:sz w:val="18"/>
              </w:rPr>
              <w:t>G4</w:t>
            </w:r>
          </w:p>
        </w:tc>
        <w:tc>
          <w:tcPr>
            <w:tcW w:type="dxa" w:w="1881"/>
          </w:tcPr>
          <w:p>
            <w:r/>
            <w:r>
              <w:rPr>
                <w:rFonts w:ascii="Calibri" w:hAnsi="Calibri"/>
                <w:b w:val="0"/>
                <w:i w:val="0"/>
                <w:color w:val="000000"/>
                <w:sz w:val="18"/>
              </w:rPr>
              <w:t>A Kerasi Ltd</w:t>
              <w:br/>
              <w:t>Timotheos Timotheou</w:t>
            </w:r>
          </w:p>
        </w:tc>
        <w:tc>
          <w:tcPr>
            <w:tcW w:type="dxa" w:w="1881"/>
          </w:tcPr>
          <w:p>
            <w:pPr>
              <w:jc w:val="right"/>
            </w:pPr>
            <w:r/>
            <w:r>
              <w:rPr>
                <w:rFonts w:ascii="Calibri" w:hAnsi="Calibri"/>
                <w:b w:val="0"/>
                <w:i w:val="0"/>
                <w:color w:val="000000"/>
                <w:sz w:val="18"/>
              </w:rPr>
              <w:t>3</w:t>
            </w:r>
          </w:p>
        </w:tc>
        <w:tc>
          <w:tcPr>
            <w:tcW w:type="dxa" w:w="1881"/>
          </w:tcPr>
          <w:p>
            <w:pPr>
              <w:jc w:val="right"/>
            </w:pPr>
            <w:r/>
            <w:r>
              <w:rPr>
                <w:rFonts w:ascii="Calibri" w:hAnsi="Calibri"/>
                <w:b w:val="0"/>
                <w:i w:val="0"/>
                <w:color w:val="000000"/>
                <w:sz w:val="18"/>
              </w:rPr>
              <w:t>20.0</w:t>
            </w:r>
          </w:p>
        </w:tc>
        <w:tc>
          <w:tcPr>
            <w:tcW w:type="dxa" w:w="1881"/>
          </w:tcPr>
          <w:p>
            <w:r/>
            <w:r>
              <w:rPr>
                <w:rFonts w:ascii="Calibri" w:hAnsi="Calibri"/>
                <w:b w:val="0"/>
                <w:i w:val="0"/>
                <w:color w:val="000000"/>
                <w:sz w:val="18"/>
              </w:rPr>
              <w:t>Paphos 1, Paphos 2, Paphos 3</w:t>
            </w:r>
          </w:p>
        </w:tc>
      </w:tr>
      <w:tr>
        <w:tc>
          <w:tcPr>
            <w:tcW w:type="dxa" w:w="1881"/>
          </w:tcPr>
          <w:p>
            <w:r/>
            <w:r>
              <w:rPr>
                <w:rFonts w:ascii="Calibri" w:hAnsi="Calibri"/>
                <w:b w:val="0"/>
                <w:i w:val="0"/>
                <w:color w:val="000000"/>
                <w:sz w:val="18"/>
              </w:rPr>
              <w:t>G5</w:t>
            </w:r>
          </w:p>
        </w:tc>
        <w:tc>
          <w:tcPr>
            <w:tcW w:type="dxa" w:w="1881"/>
          </w:tcPr>
          <w:p>
            <w:r/>
            <w:r>
              <w:rPr>
                <w:rFonts w:ascii="Calibri" w:hAnsi="Calibri"/>
                <w:b w:val="0"/>
                <w:i w:val="0"/>
                <w:color w:val="000000"/>
                <w:sz w:val="18"/>
              </w:rPr>
              <w:t>Ioannis Karis</w:t>
            </w:r>
          </w:p>
        </w:tc>
        <w:tc>
          <w:tcPr>
            <w:tcW w:type="dxa" w:w="1881"/>
          </w:tcPr>
          <w:p>
            <w:pPr>
              <w:jc w:val="right"/>
            </w:pPr>
            <w:r/>
            <w:r>
              <w:rPr>
                <w:rFonts w:ascii="Calibri" w:hAnsi="Calibri"/>
                <w:b w:val="0"/>
                <w:i w:val="0"/>
                <w:color w:val="000000"/>
                <w:sz w:val="18"/>
              </w:rPr>
              <w:t>1</w:t>
            </w:r>
          </w:p>
        </w:tc>
        <w:tc>
          <w:tcPr>
            <w:tcW w:type="dxa" w:w="1881"/>
          </w:tcPr>
          <w:p>
            <w:pPr>
              <w:jc w:val="right"/>
            </w:pPr>
            <w:r/>
            <w:r>
              <w:rPr>
                <w:rFonts w:ascii="Calibri" w:hAnsi="Calibri"/>
                <w:b w:val="0"/>
                <w:i w:val="0"/>
                <w:color w:val="000000"/>
                <w:sz w:val="18"/>
              </w:rPr>
              <w:t>25.0</w:t>
            </w:r>
          </w:p>
        </w:tc>
        <w:tc>
          <w:tcPr>
            <w:tcW w:type="dxa" w:w="1881"/>
          </w:tcPr>
          <w:p>
            <w:r/>
            <w:r>
              <w:rPr>
                <w:rFonts w:ascii="Calibri" w:hAnsi="Calibri"/>
                <w:b w:val="0"/>
                <w:i w:val="0"/>
                <w:color w:val="000000"/>
                <w:sz w:val="18"/>
              </w:rPr>
              <w:t>My Sun Park (Monargouli)</w:t>
            </w:r>
          </w:p>
        </w:tc>
      </w:tr>
      <w:tr>
        <w:tc>
          <w:tcPr>
            <w:tcW w:type="dxa" w:w="1881"/>
          </w:tcPr>
          <w:p>
            <w:r/>
            <w:r>
              <w:rPr>
                <w:rFonts w:ascii="Calibri" w:hAnsi="Calibri"/>
                <w:b w:val="0"/>
                <w:i w:val="0"/>
                <w:color w:val="000000"/>
                <w:sz w:val="18"/>
              </w:rPr>
              <w:t>G6</w:t>
            </w:r>
          </w:p>
        </w:tc>
        <w:tc>
          <w:tcPr>
            <w:tcW w:type="dxa" w:w="1881"/>
          </w:tcPr>
          <w:p>
            <w:r/>
            <w:r>
              <w:rPr>
                <w:rFonts w:ascii="Calibri" w:hAnsi="Calibri"/>
                <w:b w:val="0"/>
                <w:i w:val="0"/>
                <w:color w:val="000000"/>
                <w:sz w:val="18"/>
              </w:rPr>
              <w:t>Timotheos Timotheou</w:t>
              <w:br/>
              <w:t>L&amp;T &amp; AGM Groups</w:t>
            </w:r>
          </w:p>
        </w:tc>
        <w:tc>
          <w:tcPr>
            <w:tcW w:type="dxa" w:w="1881"/>
          </w:tcPr>
          <w:p>
            <w:pPr>
              <w:jc w:val="right"/>
            </w:pPr>
            <w:r/>
            <w:r>
              <w:rPr>
                <w:rFonts w:ascii="Calibri" w:hAnsi="Calibri"/>
                <w:b w:val="0"/>
                <w:i w:val="0"/>
                <w:color w:val="000000"/>
                <w:sz w:val="18"/>
              </w:rPr>
              <w:t>9</w:t>
            </w:r>
          </w:p>
        </w:tc>
        <w:tc>
          <w:tcPr>
            <w:tcW w:type="dxa" w:w="1881"/>
          </w:tcPr>
          <w:p>
            <w:pPr>
              <w:jc w:val="right"/>
            </w:pPr>
            <w:r/>
            <w:r>
              <w:rPr>
                <w:rFonts w:ascii="Calibri" w:hAnsi="Calibri"/>
                <w:b w:val="0"/>
                <w:i w:val="0"/>
                <w:color w:val="000000"/>
                <w:sz w:val="18"/>
              </w:rPr>
              <w:t>81.0</w:t>
            </w:r>
          </w:p>
        </w:tc>
        <w:tc>
          <w:tcPr>
            <w:tcW w:type="dxa" w:w="1881"/>
          </w:tcPr>
          <w:p>
            <w:r/>
            <w:r>
              <w:rPr>
                <w:rFonts w:ascii="Calibri" w:hAnsi="Calibri"/>
                <w:b w:val="0"/>
                <w:i w:val="0"/>
                <w:color w:val="000000"/>
                <w:sz w:val="18"/>
              </w:rPr>
              <w:t>L&amp;T Res Systems, L&amp;T Solar Power, L&amp;T Sun Energy, L&amp;T Energia, L&amp;T PV Tech, AGM Lightpower, AGM Sunfield (1, 2, 3)</w:t>
            </w:r>
          </w:p>
        </w:tc>
      </w:tr>
      <w:tr>
        <w:tc>
          <w:tcPr>
            <w:tcW w:type="dxa" w:w="1881"/>
          </w:tcPr>
          <w:p>
            <w:r/>
            <w:r>
              <w:rPr>
                <w:rFonts w:ascii="Calibri" w:hAnsi="Calibri"/>
                <w:b w:val="0"/>
                <w:i w:val="0"/>
                <w:color w:val="000000"/>
                <w:sz w:val="18"/>
              </w:rPr>
              <w:t>TOTAL</w:t>
            </w:r>
          </w:p>
        </w:tc>
        <w:tc>
          <w:tcPr>
            <w:tcW w:type="dxa" w:w="1881"/>
          </w:tcPr>
          <w:p>
            <w:pPr>
              <w:jc w:val="right"/>
            </w:pPr>
            <w:r/>
            <w:r>
              <w:rPr>
                <w:rFonts w:ascii="Calibri" w:hAnsi="Calibri"/>
                <w:b w:val="0"/>
                <w:i w:val="0"/>
                <w:color w:val="000000"/>
                <w:sz w:val="18"/>
              </w:rPr>
              <w:t>51</w:t>
            </w:r>
          </w:p>
        </w:tc>
        <w:tc>
          <w:tcPr>
            <w:tcW w:type="dxa" w:w="1881"/>
          </w:tcPr>
          <w:p>
            <w:pPr>
              <w:jc w:val="right"/>
            </w:pPr>
            <w:r/>
            <w:r>
              <w:rPr>
                <w:rFonts w:ascii="Calibri" w:hAnsi="Calibri"/>
                <w:b w:val="0"/>
                <w:i w:val="0"/>
                <w:color w:val="000000"/>
                <w:sz w:val="18"/>
              </w:rPr>
              <w:t>~881.78</w:t>
            </w:r>
          </w:p>
        </w:tc>
        <w:tc>
          <w:tcPr>
            <w:tcW w:type="dxa" w:w="1881"/>
          </w:tcPr>
          <w:p>
            <w:r/>
            <w:r>
              <w:rPr>
                <w:rFonts w:ascii="Calibri" w:hAnsi="Calibri"/>
                <w:b w:val="0"/>
                <w:i w:val="0"/>
                <w:color w:val="000000"/>
                <w:sz w:val="18"/>
              </w:rPr>
              <w:t>All affiliated entities, subsidiaries, and associated projects</w:t>
            </w:r>
          </w:p>
        </w:tc>
        <w:tc>
          <w:tcPr>
            <w:tcW w:type="dxa" w:w="1881"/>
          </w:tcPr>
          <w:p>
            <w:r/>
          </w:p>
        </w:tc>
      </w:tr>
    </w:tbl>
    <w:p/>
    <w:p>
      <w:pPr>
        <w:spacing w:before="200"/>
      </w:pPr>
      <w:r>
        <w:rPr>
          <w:rFonts w:ascii="Calibri" w:hAnsi="Calibri"/>
          <w:b/>
          <w:i w:val="0"/>
          <w:color w:val="1A365D"/>
          <w:sz w:val="22"/>
        </w:rPr>
        <w:t>Schedule 1A — Esperia Pipeline Parks (LOI Quoted — Part A on EPC Execution)</w:t>
      </w:r>
    </w:p>
    <w:p>
      <w:pPr>
        <w:jc w:val="both"/>
      </w:pPr>
      <w:r>
        <w:rPr>
          <w:rFonts w:ascii="Calibri" w:hAnsi="Calibri"/>
          <w:b w:val="0"/>
          <w:i w:val="0"/>
          <w:color w:val="000000"/>
          <w:sz w:val="20"/>
        </w:rPr>
        <w:t>The nine (9) parks below are quoted under the Esperia Energy pipeline Letter of Intent (ref LCY-LOI-ESP-PIPELINE-2026-R15). They are Protected Projects under this Agreement. Upon execution of the relevant EPC for each park, that park shall be treated as part of the Existing Project for Part A fees. Until EPC signature, client exclusivity is governed by the LOI.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65D" w:val="clear"/>
          </w:tcPr>
          <w:p>
            <w:pPr>
              <w:jc w:val="left"/>
            </w:pPr>
            <w:r>
              <w:rPr>
                <w:b/>
                <w:color w:val="FFFFFF"/>
              </w:rPr>
            </w:r>
            <w:r>
              <w:rPr>
                <w:rFonts w:ascii="Calibri" w:hAnsi="Calibri"/>
                <w:b/>
                <w:i w:val="0"/>
                <w:color w:val="FFFFFF"/>
                <w:sz w:val="18"/>
              </w:rPr>
              <w:t>Batch</w:t>
            </w:r>
          </w:p>
        </w:tc>
        <w:tc>
          <w:tcPr>
            <w:tcW w:type="dxa" w:w="1881"/>
            <w:shd w:fill="1A365D" w:val="clear"/>
          </w:tcPr>
          <w:p>
            <w:pPr>
              <w:jc w:val="left"/>
            </w:pPr>
            <w:r>
              <w:rPr>
                <w:b/>
                <w:color w:val="FFFFFF"/>
              </w:rPr>
            </w:r>
            <w:r>
              <w:rPr>
                <w:rFonts w:ascii="Calibri" w:hAnsi="Calibri"/>
                <w:b/>
                <w:i w:val="0"/>
                <w:color w:val="FFFFFF"/>
                <w:sz w:val="18"/>
              </w:rPr>
              <w:t>Park (LOI)</w:t>
            </w:r>
          </w:p>
        </w:tc>
        <w:tc>
          <w:tcPr>
            <w:tcW w:type="dxa" w:w="1881"/>
            <w:shd w:fill="1A365D" w:val="clear"/>
          </w:tcPr>
          <w:p>
            <w:pPr>
              <w:jc w:val="left"/>
            </w:pPr>
            <w:r>
              <w:rPr>
                <w:b/>
                <w:color w:val="FFFFFF"/>
              </w:rPr>
            </w:r>
            <w:r>
              <w:rPr>
                <w:rFonts w:ascii="Calibri" w:hAnsi="Calibri"/>
                <w:b/>
                <w:i w:val="0"/>
                <w:color w:val="FFFFFF"/>
                <w:sz w:val="18"/>
              </w:rPr>
              <w:t>MW</w:t>
            </w:r>
          </w:p>
        </w:tc>
        <w:tc>
          <w:tcPr>
            <w:tcW w:type="dxa" w:w="1881"/>
            <w:shd w:fill="1A365D" w:val="clear"/>
          </w:tcPr>
          <w:p>
            <w:pPr>
              <w:jc w:val="left"/>
            </w:pPr>
            <w:r>
              <w:rPr>
                <w:b/>
                <w:color w:val="FFFFFF"/>
              </w:rPr>
            </w:r>
            <w:r>
              <w:rPr>
                <w:rFonts w:ascii="Calibri" w:hAnsi="Calibri"/>
                <w:b/>
                <w:i w:val="0"/>
                <w:color w:val="FFFFFF"/>
                <w:sz w:val="18"/>
              </w:rPr>
              <w:t>MWh</w:t>
            </w:r>
          </w:p>
        </w:tc>
        <w:tc>
          <w:tcPr>
            <w:tcW w:type="dxa" w:w="1881"/>
            <w:shd w:fill="1A365D" w:val="clear"/>
          </w:tcPr>
          <w:p>
            <w:pPr>
              <w:jc w:val="left"/>
            </w:pPr>
            <w:r>
              <w:rPr>
                <w:b/>
                <w:color w:val="FFFFFF"/>
              </w:rPr>
            </w:r>
            <w:r>
              <w:rPr>
                <w:rFonts w:ascii="Calibri" w:hAnsi="Calibri"/>
                <w:b/>
                <w:i w:val="0"/>
                <w:color w:val="FFFFFF"/>
                <w:sz w:val="18"/>
              </w:rPr>
              <w:t>Indicative delivery</w:t>
            </w:r>
          </w:p>
        </w:tc>
      </w:tr>
      <w:tr>
        <w:tc>
          <w:tcPr>
            <w:tcW w:type="dxa" w:w="1881"/>
          </w:tcPr>
          <w:p>
            <w:r/>
            <w:r>
              <w:rPr>
                <w:rFonts w:ascii="Calibri" w:hAnsi="Calibri"/>
                <w:b w:val="0"/>
                <w:i w:val="0"/>
                <w:color w:val="000000"/>
                <w:sz w:val="18"/>
              </w:rPr>
              <w:t>2026</w:t>
            </w:r>
          </w:p>
        </w:tc>
        <w:tc>
          <w:tcPr>
            <w:tcW w:type="dxa" w:w="1881"/>
          </w:tcPr>
          <w:p>
            <w:r/>
            <w:r>
              <w:rPr>
                <w:rFonts w:ascii="Calibri" w:hAnsi="Calibri"/>
                <w:b w:val="0"/>
                <w:i w:val="0"/>
                <w:color w:val="000000"/>
                <w:sz w:val="18"/>
              </w:rPr>
              <w:t>Esperia Energy (Tseri)</w:t>
            </w:r>
          </w:p>
        </w:tc>
        <w:tc>
          <w:tcPr>
            <w:tcW w:type="dxa" w:w="1881"/>
          </w:tcPr>
          <w:p>
            <w:pPr>
              <w:jc w:val="right"/>
            </w:pPr>
            <w:r/>
            <w:r>
              <w:rPr>
                <w:rFonts w:ascii="Calibri" w:hAnsi="Calibri"/>
                <w:b w:val="0"/>
                <w:i w:val="0"/>
                <w:color w:val="000000"/>
                <w:sz w:val="18"/>
              </w:rPr>
              <w:t>7.2</w:t>
            </w:r>
          </w:p>
        </w:tc>
        <w:tc>
          <w:tcPr>
            <w:tcW w:type="dxa" w:w="1881"/>
          </w:tcPr>
          <w:p>
            <w:pPr>
              <w:jc w:val="right"/>
            </w:pPr>
            <w:r/>
            <w:r>
              <w:rPr>
                <w:rFonts w:ascii="Calibri" w:hAnsi="Calibri"/>
                <w:b w:val="0"/>
                <w:i w:val="0"/>
                <w:color w:val="000000"/>
                <w:sz w:val="18"/>
              </w:rPr>
              <w:t>25</w:t>
            </w:r>
          </w:p>
        </w:tc>
        <w:tc>
          <w:tcPr>
            <w:tcW w:type="dxa" w:w="1881"/>
          </w:tcPr>
          <w:p>
            <w:r/>
            <w:r>
              <w:rPr>
                <w:rFonts w:ascii="Calibri" w:hAnsi="Calibri"/>
                <w:b w:val="0"/>
                <w:i w:val="0"/>
                <w:color w:val="000000"/>
                <w:sz w:val="18"/>
              </w:rPr>
              <w:t>2026</w:t>
            </w:r>
          </w:p>
        </w:tc>
      </w:tr>
      <w:tr>
        <w:tc>
          <w:tcPr>
            <w:tcW w:type="dxa" w:w="1881"/>
          </w:tcPr>
          <w:p>
            <w:r/>
            <w:r>
              <w:rPr>
                <w:rFonts w:ascii="Calibri" w:hAnsi="Calibri"/>
                <w:b w:val="0"/>
                <w:i w:val="0"/>
                <w:color w:val="000000"/>
                <w:sz w:val="18"/>
              </w:rPr>
              <w:t>2026</w:t>
            </w:r>
          </w:p>
        </w:tc>
        <w:tc>
          <w:tcPr>
            <w:tcW w:type="dxa" w:w="1881"/>
          </w:tcPr>
          <w:p>
            <w:r/>
            <w:r>
              <w:rPr>
                <w:rFonts w:ascii="Calibri" w:hAnsi="Calibri"/>
                <w:b w:val="0"/>
                <w:i w:val="0"/>
                <w:color w:val="000000"/>
                <w:sz w:val="18"/>
              </w:rPr>
              <w:t>Esperia Energy (Tseri 2-A)</w:t>
            </w:r>
          </w:p>
        </w:tc>
        <w:tc>
          <w:tcPr>
            <w:tcW w:type="dxa" w:w="1881"/>
          </w:tcPr>
          <w:p>
            <w:pPr>
              <w:jc w:val="right"/>
            </w:pPr>
            <w:r/>
            <w:r>
              <w:rPr>
                <w:rFonts w:ascii="Calibri" w:hAnsi="Calibri"/>
                <w:b w:val="0"/>
                <w:i w:val="0"/>
                <w:color w:val="000000"/>
                <w:sz w:val="18"/>
              </w:rPr>
              <w:t>2.75</w:t>
            </w:r>
          </w:p>
        </w:tc>
        <w:tc>
          <w:tcPr>
            <w:tcW w:type="dxa" w:w="1881"/>
          </w:tcPr>
          <w:p>
            <w:pPr>
              <w:jc w:val="right"/>
            </w:pPr>
            <w:r/>
            <w:r>
              <w:rPr>
                <w:rFonts w:ascii="Calibri" w:hAnsi="Calibri"/>
                <w:b w:val="0"/>
                <w:i w:val="0"/>
                <w:color w:val="000000"/>
                <w:sz w:val="18"/>
              </w:rPr>
              <w:t>10</w:t>
            </w:r>
          </w:p>
        </w:tc>
        <w:tc>
          <w:tcPr>
            <w:tcW w:type="dxa" w:w="1881"/>
          </w:tcPr>
          <w:p>
            <w:r/>
            <w:r>
              <w:rPr>
                <w:rFonts w:ascii="Calibri" w:hAnsi="Calibri"/>
                <w:b w:val="0"/>
                <w:i w:val="0"/>
                <w:color w:val="000000"/>
                <w:sz w:val="18"/>
              </w:rPr>
              <w:t>Q3 2026</w:t>
            </w:r>
          </w:p>
        </w:tc>
      </w:tr>
      <w:tr>
        <w:tc>
          <w:tcPr>
            <w:tcW w:type="dxa" w:w="1881"/>
          </w:tcPr>
          <w:p>
            <w:r/>
            <w:r>
              <w:rPr>
                <w:rFonts w:ascii="Calibri" w:hAnsi="Calibri"/>
                <w:b w:val="0"/>
                <w:i w:val="0"/>
                <w:color w:val="000000"/>
                <w:sz w:val="18"/>
              </w:rPr>
              <w:t>2026</w:t>
            </w:r>
          </w:p>
        </w:tc>
        <w:tc>
          <w:tcPr>
            <w:tcW w:type="dxa" w:w="1881"/>
          </w:tcPr>
          <w:p>
            <w:r/>
            <w:r>
              <w:rPr>
                <w:rFonts w:ascii="Calibri" w:hAnsi="Calibri"/>
                <w:b w:val="0"/>
                <w:i w:val="0"/>
                <w:color w:val="000000"/>
                <w:sz w:val="18"/>
              </w:rPr>
              <w:t>Esperia Energy (Tseri 3)</w:t>
            </w:r>
          </w:p>
        </w:tc>
        <w:tc>
          <w:tcPr>
            <w:tcW w:type="dxa" w:w="1881"/>
          </w:tcPr>
          <w:p>
            <w:pPr>
              <w:jc w:val="right"/>
            </w:pPr>
            <w:r/>
            <w:r>
              <w:rPr>
                <w:rFonts w:ascii="Calibri" w:hAnsi="Calibri"/>
                <w:b w:val="0"/>
                <w:i w:val="0"/>
                <w:color w:val="000000"/>
                <w:sz w:val="18"/>
              </w:rPr>
              <w:t>4.75</w:t>
            </w:r>
          </w:p>
        </w:tc>
        <w:tc>
          <w:tcPr>
            <w:tcW w:type="dxa" w:w="1881"/>
          </w:tcPr>
          <w:p>
            <w:pPr>
              <w:jc w:val="right"/>
            </w:pPr>
            <w:r/>
            <w:r>
              <w:rPr>
                <w:rFonts w:ascii="Calibri" w:hAnsi="Calibri"/>
                <w:b w:val="0"/>
                <w:i w:val="0"/>
                <w:color w:val="000000"/>
                <w:sz w:val="18"/>
              </w:rPr>
              <w:t>20</w:t>
            </w:r>
          </w:p>
        </w:tc>
        <w:tc>
          <w:tcPr>
            <w:tcW w:type="dxa" w:w="1881"/>
          </w:tcPr>
          <w:p>
            <w:r/>
            <w:r>
              <w:rPr>
                <w:rFonts w:ascii="Calibri" w:hAnsi="Calibri"/>
                <w:b w:val="0"/>
                <w:i w:val="0"/>
                <w:color w:val="000000"/>
                <w:sz w:val="18"/>
              </w:rPr>
              <w:t>Q3 2026</w:t>
            </w:r>
          </w:p>
        </w:tc>
      </w:tr>
      <w:tr>
        <w:tc>
          <w:tcPr>
            <w:tcW w:type="dxa" w:w="1881"/>
          </w:tcPr>
          <w:p>
            <w:r/>
            <w:r>
              <w:rPr>
                <w:rFonts w:ascii="Calibri" w:hAnsi="Calibri"/>
                <w:b w:val="0"/>
                <w:i w:val="0"/>
                <w:color w:val="000000"/>
                <w:sz w:val="18"/>
              </w:rPr>
              <w:t>2026</w:t>
            </w:r>
          </w:p>
        </w:tc>
        <w:tc>
          <w:tcPr>
            <w:tcW w:type="dxa" w:w="1881"/>
          </w:tcPr>
          <w:p>
            <w:r/>
            <w:r>
              <w:rPr>
                <w:rFonts w:ascii="Calibri" w:hAnsi="Calibri"/>
                <w:b w:val="0"/>
                <w:i w:val="0"/>
                <w:color w:val="000000"/>
                <w:sz w:val="18"/>
              </w:rPr>
              <w:t>Esperia Energy (Famagusta)</w:t>
            </w:r>
          </w:p>
        </w:tc>
        <w:tc>
          <w:tcPr>
            <w:tcW w:type="dxa" w:w="1881"/>
          </w:tcPr>
          <w:p>
            <w:pPr>
              <w:jc w:val="right"/>
            </w:pPr>
            <w:r/>
            <w:r>
              <w:rPr>
                <w:rFonts w:ascii="Calibri" w:hAnsi="Calibri"/>
                <w:b w:val="0"/>
                <w:i w:val="0"/>
                <w:color w:val="000000"/>
                <w:sz w:val="18"/>
              </w:rPr>
              <w:t>6.5</w:t>
            </w:r>
          </w:p>
        </w:tc>
        <w:tc>
          <w:tcPr>
            <w:tcW w:type="dxa" w:w="1881"/>
          </w:tcPr>
          <w:p>
            <w:pPr>
              <w:jc w:val="right"/>
            </w:pPr>
            <w:r/>
            <w:r>
              <w:rPr>
                <w:rFonts w:ascii="Calibri" w:hAnsi="Calibri"/>
                <w:b w:val="0"/>
                <w:i w:val="0"/>
                <w:color w:val="000000"/>
                <w:sz w:val="18"/>
              </w:rPr>
              <w:t>20</w:t>
            </w:r>
          </w:p>
        </w:tc>
        <w:tc>
          <w:tcPr>
            <w:tcW w:type="dxa" w:w="1881"/>
          </w:tcPr>
          <w:p>
            <w:r/>
            <w:r>
              <w:rPr>
                <w:rFonts w:ascii="Calibri" w:hAnsi="Calibri"/>
                <w:b w:val="0"/>
                <w:i w:val="0"/>
                <w:color w:val="000000"/>
                <w:sz w:val="18"/>
              </w:rPr>
              <w:t>Q4 2026</w:t>
            </w:r>
          </w:p>
        </w:tc>
      </w:tr>
      <w:tr>
        <w:tc>
          <w:tcPr>
            <w:tcW w:type="dxa" w:w="1881"/>
          </w:tcPr>
          <w:p>
            <w:r/>
            <w:r>
              <w:rPr>
                <w:rFonts w:ascii="Calibri" w:hAnsi="Calibri"/>
                <w:b w:val="0"/>
                <w:i w:val="0"/>
                <w:color w:val="000000"/>
                <w:sz w:val="18"/>
              </w:rPr>
              <w:t>2027</w:t>
            </w:r>
          </w:p>
        </w:tc>
        <w:tc>
          <w:tcPr>
            <w:tcW w:type="dxa" w:w="1881"/>
          </w:tcPr>
          <w:p>
            <w:r/>
            <w:r>
              <w:rPr>
                <w:rFonts w:ascii="Calibri" w:hAnsi="Calibri"/>
                <w:b w:val="0"/>
                <w:i w:val="0"/>
                <w:color w:val="000000"/>
                <w:sz w:val="18"/>
              </w:rPr>
              <w:t>Esperia Green Energy (Limassol)</w:t>
            </w:r>
          </w:p>
        </w:tc>
        <w:tc>
          <w:tcPr>
            <w:tcW w:type="dxa" w:w="1881"/>
          </w:tcPr>
          <w:p>
            <w:pPr>
              <w:jc w:val="right"/>
            </w:pPr>
            <w:r/>
            <w:r>
              <w:rPr>
                <w:rFonts w:ascii="Calibri" w:hAnsi="Calibri"/>
                <w:b w:val="0"/>
                <w:i w:val="0"/>
                <w:color w:val="000000"/>
                <w:sz w:val="18"/>
              </w:rPr>
              <w:t>8.0</w:t>
            </w:r>
          </w:p>
        </w:tc>
        <w:tc>
          <w:tcPr>
            <w:tcW w:type="dxa" w:w="1881"/>
          </w:tcPr>
          <w:p>
            <w:pPr>
              <w:jc w:val="right"/>
            </w:pPr>
            <w:r/>
            <w:r>
              <w:rPr>
                <w:rFonts w:ascii="Calibri" w:hAnsi="Calibri"/>
                <w:b w:val="0"/>
                <w:i w:val="0"/>
                <w:color w:val="000000"/>
                <w:sz w:val="18"/>
              </w:rPr>
              <w:t>60</w:t>
            </w:r>
          </w:p>
        </w:tc>
        <w:tc>
          <w:tcPr>
            <w:tcW w:type="dxa" w:w="1881"/>
          </w:tcPr>
          <w:p>
            <w:r/>
            <w:r>
              <w:rPr>
                <w:rFonts w:ascii="Calibri" w:hAnsi="Calibri"/>
                <w:b w:val="0"/>
                <w:i w:val="0"/>
                <w:color w:val="000000"/>
                <w:sz w:val="18"/>
              </w:rPr>
              <w:t>Q2 2027</w:t>
            </w:r>
          </w:p>
        </w:tc>
      </w:tr>
      <w:tr>
        <w:tc>
          <w:tcPr>
            <w:tcW w:type="dxa" w:w="1881"/>
          </w:tcPr>
          <w:p>
            <w:r/>
            <w:r>
              <w:rPr>
                <w:rFonts w:ascii="Calibri" w:hAnsi="Calibri"/>
                <w:b w:val="0"/>
                <w:i w:val="0"/>
                <w:color w:val="000000"/>
                <w:sz w:val="18"/>
              </w:rPr>
              <w:t>2027</w:t>
            </w:r>
          </w:p>
        </w:tc>
        <w:tc>
          <w:tcPr>
            <w:tcW w:type="dxa" w:w="1881"/>
          </w:tcPr>
          <w:p>
            <w:r/>
            <w:r>
              <w:rPr>
                <w:rFonts w:ascii="Calibri" w:hAnsi="Calibri"/>
                <w:b w:val="0"/>
                <w:i w:val="0"/>
                <w:color w:val="000000"/>
                <w:sz w:val="18"/>
              </w:rPr>
              <w:t>Esperia Energy (Tseri 2-B)</w:t>
            </w:r>
          </w:p>
        </w:tc>
        <w:tc>
          <w:tcPr>
            <w:tcW w:type="dxa" w:w="1881"/>
          </w:tcPr>
          <w:p>
            <w:pPr>
              <w:jc w:val="right"/>
            </w:pPr>
            <w:r/>
            <w:r>
              <w:rPr>
                <w:rFonts w:ascii="Calibri" w:hAnsi="Calibri"/>
                <w:b w:val="0"/>
                <w:i w:val="0"/>
                <w:color w:val="000000"/>
                <w:sz w:val="18"/>
              </w:rPr>
              <w:t>7.99</w:t>
            </w:r>
          </w:p>
        </w:tc>
        <w:tc>
          <w:tcPr>
            <w:tcW w:type="dxa" w:w="1881"/>
          </w:tcPr>
          <w:p>
            <w:pPr>
              <w:jc w:val="right"/>
            </w:pPr>
            <w:r/>
            <w:r>
              <w:rPr>
                <w:rFonts w:ascii="Calibri" w:hAnsi="Calibri"/>
                <w:b w:val="0"/>
                <w:i w:val="0"/>
                <w:color w:val="000000"/>
                <w:sz w:val="18"/>
              </w:rPr>
              <w:t>30</w:t>
            </w:r>
          </w:p>
        </w:tc>
        <w:tc>
          <w:tcPr>
            <w:tcW w:type="dxa" w:w="1881"/>
          </w:tcPr>
          <w:p>
            <w:r/>
            <w:r>
              <w:rPr>
                <w:rFonts w:ascii="Calibri" w:hAnsi="Calibri"/>
                <w:b w:val="0"/>
                <w:i w:val="0"/>
                <w:color w:val="000000"/>
                <w:sz w:val="18"/>
              </w:rPr>
              <w:t>2027</w:t>
            </w:r>
          </w:p>
        </w:tc>
      </w:tr>
      <w:tr>
        <w:tc>
          <w:tcPr>
            <w:tcW w:type="dxa" w:w="1881"/>
          </w:tcPr>
          <w:p>
            <w:r/>
            <w:r>
              <w:rPr>
                <w:rFonts w:ascii="Calibri" w:hAnsi="Calibri"/>
                <w:b w:val="0"/>
                <w:i w:val="0"/>
                <w:color w:val="000000"/>
                <w:sz w:val="18"/>
              </w:rPr>
              <w:t>2027</w:t>
            </w:r>
          </w:p>
        </w:tc>
        <w:tc>
          <w:tcPr>
            <w:tcW w:type="dxa" w:w="1881"/>
          </w:tcPr>
          <w:p>
            <w:r/>
            <w:r>
              <w:rPr>
                <w:rFonts w:ascii="Calibri" w:hAnsi="Calibri"/>
                <w:b w:val="0"/>
                <w:i w:val="0"/>
                <w:color w:val="000000"/>
                <w:sz w:val="18"/>
              </w:rPr>
              <w:t>Esperia Energy (Tseri 2-C)</w:t>
            </w:r>
          </w:p>
        </w:tc>
        <w:tc>
          <w:tcPr>
            <w:tcW w:type="dxa" w:w="1881"/>
          </w:tcPr>
          <w:p>
            <w:pPr>
              <w:jc w:val="right"/>
            </w:pPr>
            <w:r/>
            <w:r>
              <w:rPr>
                <w:rFonts w:ascii="Calibri" w:hAnsi="Calibri"/>
                <w:b w:val="0"/>
                <w:i w:val="0"/>
                <w:color w:val="000000"/>
                <w:sz w:val="18"/>
              </w:rPr>
              <w:t>6.3</w:t>
            </w:r>
          </w:p>
        </w:tc>
        <w:tc>
          <w:tcPr>
            <w:tcW w:type="dxa" w:w="1881"/>
          </w:tcPr>
          <w:p>
            <w:pPr>
              <w:jc w:val="right"/>
            </w:pPr>
            <w:r/>
            <w:r>
              <w:rPr>
                <w:rFonts w:ascii="Calibri" w:hAnsi="Calibri"/>
                <w:b w:val="0"/>
                <w:i w:val="0"/>
                <w:color w:val="000000"/>
                <w:sz w:val="18"/>
              </w:rPr>
              <w:t>25</w:t>
            </w:r>
          </w:p>
        </w:tc>
        <w:tc>
          <w:tcPr>
            <w:tcW w:type="dxa" w:w="1881"/>
          </w:tcPr>
          <w:p>
            <w:r/>
            <w:r>
              <w:rPr>
                <w:rFonts w:ascii="Calibri" w:hAnsi="Calibri"/>
                <w:b w:val="0"/>
                <w:i w:val="0"/>
                <w:color w:val="000000"/>
                <w:sz w:val="18"/>
              </w:rPr>
              <w:t>2027</w:t>
            </w:r>
          </w:p>
        </w:tc>
      </w:tr>
      <w:tr>
        <w:tc>
          <w:tcPr>
            <w:tcW w:type="dxa" w:w="1881"/>
          </w:tcPr>
          <w:p>
            <w:r/>
            <w:r>
              <w:rPr>
                <w:rFonts w:ascii="Calibri" w:hAnsi="Calibri"/>
                <w:b w:val="0"/>
                <w:i w:val="0"/>
                <w:color w:val="000000"/>
                <w:sz w:val="18"/>
              </w:rPr>
              <w:t>2028</w:t>
            </w:r>
          </w:p>
        </w:tc>
        <w:tc>
          <w:tcPr>
            <w:tcW w:type="dxa" w:w="1881"/>
          </w:tcPr>
          <w:p>
            <w:r/>
            <w:r>
              <w:rPr>
                <w:rFonts w:ascii="Calibri" w:hAnsi="Calibri"/>
                <w:b w:val="0"/>
                <w:i w:val="0"/>
                <w:color w:val="000000"/>
                <w:sz w:val="18"/>
              </w:rPr>
              <w:t>Esperia Energy (Frenaros)</w:t>
            </w:r>
          </w:p>
        </w:tc>
        <w:tc>
          <w:tcPr>
            <w:tcW w:type="dxa" w:w="1881"/>
          </w:tcPr>
          <w:p>
            <w:pPr>
              <w:jc w:val="right"/>
            </w:pPr>
            <w:r/>
            <w:r>
              <w:rPr>
                <w:rFonts w:ascii="Calibri" w:hAnsi="Calibri"/>
                <w:b w:val="0"/>
                <w:i w:val="0"/>
                <w:color w:val="000000"/>
                <w:sz w:val="18"/>
              </w:rPr>
              <w:t>25.0</w:t>
            </w:r>
          </w:p>
        </w:tc>
        <w:tc>
          <w:tcPr>
            <w:tcW w:type="dxa" w:w="1881"/>
          </w:tcPr>
          <w:p>
            <w:pPr>
              <w:jc w:val="right"/>
            </w:pPr>
            <w:r/>
            <w:r>
              <w:rPr>
                <w:rFonts w:ascii="Calibri" w:hAnsi="Calibri"/>
                <w:b w:val="0"/>
                <w:i w:val="0"/>
                <w:color w:val="000000"/>
                <w:sz w:val="18"/>
              </w:rPr>
              <w:t>100</w:t>
            </w:r>
          </w:p>
        </w:tc>
        <w:tc>
          <w:tcPr>
            <w:tcW w:type="dxa" w:w="1881"/>
          </w:tcPr>
          <w:p>
            <w:r/>
            <w:r>
              <w:rPr>
                <w:rFonts w:ascii="Calibri" w:hAnsi="Calibri"/>
                <w:b w:val="0"/>
                <w:i w:val="0"/>
                <w:color w:val="000000"/>
                <w:sz w:val="18"/>
              </w:rPr>
              <w:t>Q2 2028</w:t>
            </w:r>
          </w:p>
        </w:tc>
      </w:tr>
      <w:tr>
        <w:tc>
          <w:tcPr>
            <w:tcW w:type="dxa" w:w="1881"/>
          </w:tcPr>
          <w:p>
            <w:r/>
            <w:r>
              <w:rPr>
                <w:rFonts w:ascii="Calibri" w:hAnsi="Calibri"/>
                <w:b w:val="0"/>
                <w:i w:val="0"/>
                <w:color w:val="000000"/>
                <w:sz w:val="18"/>
              </w:rPr>
              <w:t>2028</w:t>
            </w:r>
          </w:p>
        </w:tc>
        <w:tc>
          <w:tcPr>
            <w:tcW w:type="dxa" w:w="1881"/>
          </w:tcPr>
          <w:p>
            <w:r/>
            <w:r>
              <w:rPr>
                <w:rFonts w:ascii="Calibri" w:hAnsi="Calibri"/>
                <w:b w:val="0"/>
                <w:i w:val="0"/>
                <w:color w:val="000000"/>
                <w:sz w:val="18"/>
              </w:rPr>
              <w:t>Esperia Green Energy (Famagusta 2)</w:t>
            </w:r>
          </w:p>
        </w:tc>
        <w:tc>
          <w:tcPr>
            <w:tcW w:type="dxa" w:w="1881"/>
          </w:tcPr>
          <w:p>
            <w:pPr>
              <w:jc w:val="right"/>
            </w:pPr>
            <w:r/>
            <w:r>
              <w:rPr>
                <w:rFonts w:ascii="Calibri" w:hAnsi="Calibri"/>
                <w:b w:val="0"/>
                <w:i w:val="0"/>
                <w:color w:val="000000"/>
                <w:sz w:val="18"/>
              </w:rPr>
              <w:t>7.0</w:t>
            </w:r>
          </w:p>
        </w:tc>
        <w:tc>
          <w:tcPr>
            <w:tcW w:type="dxa" w:w="1881"/>
          </w:tcPr>
          <w:p>
            <w:pPr>
              <w:jc w:val="right"/>
            </w:pPr>
            <w:r/>
            <w:r>
              <w:rPr>
                <w:rFonts w:ascii="Calibri" w:hAnsi="Calibri"/>
                <w:b w:val="0"/>
                <w:i w:val="0"/>
                <w:color w:val="000000"/>
                <w:sz w:val="18"/>
              </w:rPr>
              <w:t>25</w:t>
            </w:r>
          </w:p>
        </w:tc>
        <w:tc>
          <w:tcPr>
            <w:tcW w:type="dxa" w:w="1881"/>
          </w:tcPr>
          <w:p>
            <w:r/>
            <w:r>
              <w:rPr>
                <w:rFonts w:ascii="Calibri" w:hAnsi="Calibri"/>
                <w:b w:val="0"/>
                <w:i w:val="0"/>
                <w:color w:val="000000"/>
                <w:sz w:val="18"/>
              </w:rPr>
              <w:t>Q2 2028</w:t>
            </w:r>
          </w:p>
        </w:tc>
      </w:tr>
      <w:tr>
        <w:tc>
          <w:tcPr>
            <w:tcW w:type="dxa" w:w="1881"/>
          </w:tcPr>
          <w:p>
            <w:r/>
            <w:r>
              <w:rPr>
                <w:rFonts w:ascii="Calibri" w:hAnsi="Calibri"/>
                <w:b w:val="0"/>
                <w:i w:val="0"/>
                <w:color w:val="000000"/>
                <w:sz w:val="18"/>
              </w:rPr>
              <w:t>TOTAL (pipeline LOI)</w:t>
            </w:r>
          </w:p>
        </w:tc>
        <w:tc>
          <w:tcPr>
            <w:tcW w:type="dxa" w:w="1881"/>
          </w:tcPr>
          <w:p>
            <w:pPr>
              <w:jc w:val="right"/>
            </w:pPr>
            <w:r/>
            <w:r>
              <w:rPr>
                <w:rFonts w:ascii="Calibri" w:hAnsi="Calibri"/>
                <w:b w:val="0"/>
                <w:i w:val="0"/>
                <w:color w:val="000000"/>
                <w:sz w:val="18"/>
              </w:rPr>
              <w:t>~75.5</w:t>
            </w:r>
          </w:p>
        </w:tc>
        <w:tc>
          <w:tcPr>
            <w:tcW w:type="dxa" w:w="1881"/>
          </w:tcPr>
          <w:p>
            <w:pPr>
              <w:jc w:val="right"/>
            </w:pPr>
            <w:r/>
            <w:r>
              <w:rPr>
                <w:rFonts w:ascii="Calibri" w:hAnsi="Calibri"/>
                <w:b w:val="0"/>
                <w:i w:val="0"/>
                <w:color w:val="000000"/>
                <w:sz w:val="18"/>
              </w:rPr>
              <w:t>320</w:t>
            </w:r>
          </w:p>
        </w:tc>
        <w:tc>
          <w:tcPr>
            <w:tcW w:type="dxa" w:w="1881"/>
          </w:tcPr>
          <w:p>
            <w:r/>
          </w:p>
        </w:tc>
        <w:tc>
          <w:tcPr>
            <w:tcW w:type="dxa" w:w="1881"/>
          </w:tcPr>
          <w:p>
            <w:r/>
          </w:p>
        </w:tc>
      </w:tr>
    </w:tbl>
    <w:p/>
    <w:p>
      <w:pPr>
        <w:jc w:val="both"/>
      </w:pPr>
      <w:r>
        <w:rPr>
          <w:rFonts w:ascii="Calibri" w:hAnsi="Calibri"/>
          <w:b w:val="0"/>
          <w:i w:val="0"/>
          <w:color w:val="000000"/>
          <w:sz w:val="20"/>
        </w:rPr>
        <w:t>Galascope 1 &amp; Galascope 2 are listed in Group 2 above and separately under LOI ref LCY-LOI-GAL-B1-2026-R15 (30 MWh combined).</w:t>
      </w:r>
    </w:p>
    <w:p>
      <w:pPr>
        <w:sectPr>
          <w:footerReference w:type="default" r:id="rId16"/>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2 — MARGIN FORMULA ═══</w:t>
      </w:r>
    </w:p>
    <w:p>
      <w:pPr>
        <w:spacing w:before="200"/>
      </w:pPr>
      <w:r>
        <w:rPr>
          <w:rFonts w:ascii="Calibri" w:hAnsi="Calibri"/>
          <w:b/>
          <w:i w:val="0"/>
          <w:color w:val="1A365D"/>
          <w:sz w:val="22"/>
        </w:rPr>
        <w:t>Schedule 2 — Net Margin Calculation Example</w:t>
      </w:r>
    </w:p>
    <w:p>
      <w:pPr>
        <w:jc w:val="both"/>
      </w:pPr>
      <w:r>
        <w:rPr>
          <w:rFonts w:ascii="Calibri" w:hAnsi="Calibri"/>
          <w:b w:val="0"/>
          <w:i w:val="0"/>
          <w:color w:val="000000"/>
          <w:sz w:val="20"/>
        </w:rPr>
        <w:t>Illustrative example for a typical 5 MW / 20 MWh park. Actual figures per Park shall be calculated from invoiced amounts.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Item</w:t>
            </w:r>
          </w:p>
        </w:tc>
        <w:tc>
          <w:tcPr>
            <w:tcW w:type="dxa" w:w="3135"/>
            <w:shd w:fill="1A365D" w:val="clear"/>
          </w:tcPr>
          <w:p>
            <w:pPr>
              <w:jc w:val="right"/>
            </w:pPr>
            <w:r>
              <w:rPr>
                <w:b/>
                <w:color w:val="FFFFFF"/>
              </w:rPr>
            </w:r>
            <w:r>
              <w:rPr>
                <w:rFonts w:ascii="Calibri" w:hAnsi="Calibri"/>
                <w:b/>
                <w:i w:val="0"/>
                <w:color w:val="FFFFFF"/>
                <w:sz w:val="18"/>
              </w:rPr>
              <w:t>Amount</w:t>
            </w:r>
          </w:p>
        </w:tc>
        <w:tc>
          <w:tcPr>
            <w:tcW w:type="dxa" w:w="3135"/>
            <w:shd w:fill="1A365D" w:val="clear"/>
          </w:tcPr>
          <w:p>
            <w:pPr>
              <w:jc w:val="left"/>
            </w:pPr>
            <w:r>
              <w:rPr>
                <w:b/>
                <w:color w:val="FFFFFF"/>
              </w:rPr>
            </w:r>
            <w:r>
              <w:rPr>
                <w:rFonts w:ascii="Calibri" w:hAnsi="Calibri"/>
                <w:b/>
                <w:i w:val="0"/>
                <w:color w:val="FFFFFF"/>
                <w:sz w:val="18"/>
              </w:rPr>
              <w:t>Source</w:t>
            </w:r>
          </w:p>
        </w:tc>
      </w:tr>
      <w:tr>
        <w:tc>
          <w:tcPr>
            <w:tcW w:type="dxa" w:w="3135"/>
          </w:tcPr>
          <w:p>
            <w:r/>
            <w:r>
              <w:rPr>
                <w:rFonts w:ascii="Calibri" w:hAnsi="Calibri"/>
                <w:b w:val="0"/>
                <w:i w:val="0"/>
                <w:color w:val="000000"/>
                <w:sz w:val="18"/>
              </w:rPr>
              <w:t>A. Client Price (invoiced to end client)</w:t>
            </w:r>
          </w:p>
        </w:tc>
        <w:tc>
          <w:tcPr>
            <w:tcW w:type="dxa" w:w="3135"/>
          </w:tcPr>
          <w:p>
            <w:pPr>
              <w:jc w:val="right"/>
            </w:pPr>
            <w:r/>
            <w:r>
              <w:rPr>
                <w:rFonts w:ascii="Calibri" w:hAnsi="Calibri"/>
                <w:b w:val="0"/>
                <w:i w:val="0"/>
                <w:color w:val="000000"/>
                <w:sz w:val="18"/>
              </w:rPr>
              <w:t>€2,139,000</w:t>
            </w:r>
          </w:p>
        </w:tc>
        <w:tc>
          <w:tcPr>
            <w:tcW w:type="dxa" w:w="3135"/>
          </w:tcPr>
          <w:p>
            <w:r/>
            <w:r>
              <w:rPr>
                <w:rFonts w:ascii="Calibri" w:hAnsi="Calibri"/>
                <w:b w:val="0"/>
                <w:i w:val="0"/>
                <w:color w:val="000000"/>
                <w:sz w:val="18"/>
              </w:rPr>
              <w:t>EPC Contract</w:t>
            </w:r>
          </w:p>
        </w:tc>
      </w:tr>
      <w:tr>
        <w:tc>
          <w:tcPr>
            <w:tcW w:type="dxa" w:w="3135"/>
          </w:tcPr>
          <w:p>
            <w:r/>
            <w:r>
              <w:rPr>
                <w:rFonts w:ascii="Calibri" w:hAnsi="Calibri"/>
                <w:b w:val="0"/>
                <w:i w:val="0"/>
                <w:color w:val="000000"/>
                <w:sz w:val="18"/>
              </w:rPr>
              <w:t>B. CIF Cost (Linyang equipment, landed Limassol)</w:t>
            </w:r>
          </w:p>
        </w:tc>
        <w:tc>
          <w:tcPr>
            <w:tcW w:type="dxa" w:w="3135"/>
          </w:tcPr>
          <w:p>
            <w:pPr>
              <w:jc w:val="right"/>
            </w:pPr>
            <w:r/>
            <w:r>
              <w:rPr>
                <w:rFonts w:ascii="Calibri" w:hAnsi="Calibri"/>
                <w:b w:val="0"/>
                <w:i w:val="0"/>
                <w:color w:val="000000"/>
                <w:sz w:val="18"/>
              </w:rPr>
              <w:t>(€1,467,000)</w:t>
            </w:r>
          </w:p>
        </w:tc>
        <w:tc>
          <w:tcPr>
            <w:tcW w:type="dxa" w:w="3135"/>
          </w:tcPr>
          <w:p>
            <w:r/>
            <w:r>
              <w:rPr>
                <w:rFonts w:ascii="Calibri" w:hAnsi="Calibri"/>
                <w:b w:val="0"/>
                <w:i w:val="0"/>
                <w:color w:val="000000"/>
                <w:sz w:val="18"/>
              </w:rPr>
              <w:t>Linyang invoice</w:t>
            </w:r>
          </w:p>
        </w:tc>
      </w:tr>
      <w:tr>
        <w:tc>
          <w:tcPr>
            <w:tcW w:type="dxa" w:w="3135"/>
          </w:tcPr>
          <w:p>
            <w:r/>
            <w:r>
              <w:rPr>
                <w:rFonts w:ascii="Calibri" w:hAnsi="Calibri"/>
                <w:b w:val="0"/>
                <w:i w:val="0"/>
                <w:color w:val="000000"/>
                <w:sz w:val="18"/>
              </w:rPr>
              <w:t>C. EPC Cost (civil, electrical, SCADA, logistics, etc.)</w:t>
            </w:r>
          </w:p>
        </w:tc>
        <w:tc>
          <w:tcPr>
            <w:tcW w:type="dxa" w:w="3135"/>
          </w:tcPr>
          <w:p>
            <w:pPr>
              <w:jc w:val="right"/>
            </w:pPr>
            <w:r/>
            <w:r>
              <w:rPr>
                <w:rFonts w:ascii="Calibri" w:hAnsi="Calibri"/>
                <w:b w:val="0"/>
                <w:i w:val="0"/>
                <w:color w:val="000000"/>
                <w:sz w:val="18"/>
              </w:rPr>
              <w:t>(€395,000)</w:t>
            </w:r>
          </w:p>
        </w:tc>
        <w:tc>
          <w:tcPr>
            <w:tcW w:type="dxa" w:w="3135"/>
          </w:tcPr>
          <w:p>
            <w:r/>
            <w:r>
              <w:rPr>
                <w:rFonts w:ascii="Calibri" w:hAnsi="Calibri"/>
                <w:b w:val="0"/>
                <w:i w:val="0"/>
                <w:color w:val="000000"/>
                <w:sz w:val="18"/>
              </w:rPr>
              <w:t>Company records</w:t>
            </w:r>
          </w:p>
        </w:tc>
      </w:tr>
      <w:tr>
        <w:tc>
          <w:tcPr>
            <w:tcW w:type="dxa" w:w="3135"/>
          </w:tcPr>
          <w:p>
            <w:r/>
            <w:r>
              <w:rPr>
                <w:rFonts w:ascii="Calibri" w:hAnsi="Calibri"/>
                <w:b w:val="0"/>
                <w:i w:val="0"/>
                <w:color w:val="000000"/>
                <w:sz w:val="18"/>
              </w:rPr>
              <w:t>Net Margin (A − B − C)</w:t>
            </w:r>
          </w:p>
        </w:tc>
        <w:tc>
          <w:tcPr>
            <w:tcW w:type="dxa" w:w="3135"/>
          </w:tcPr>
          <w:p>
            <w:pPr>
              <w:jc w:val="right"/>
            </w:pPr>
            <w:r/>
            <w:r>
              <w:rPr>
                <w:rFonts w:ascii="Calibri" w:hAnsi="Calibri"/>
                <w:b w:val="0"/>
                <w:i w:val="0"/>
                <w:color w:val="000000"/>
                <w:sz w:val="18"/>
              </w:rPr>
              <w:t>€277,000</w:t>
            </w:r>
          </w:p>
        </w:tc>
        <w:tc>
          <w:tcPr>
            <w:tcW w:type="dxa" w:w="3135"/>
          </w:tcPr>
          <w:p>
            <w:r/>
          </w:p>
        </w:tc>
      </w:tr>
      <w:tr>
        <w:tc>
          <w:tcPr>
            <w:tcW w:type="dxa" w:w="3135"/>
          </w:tcPr>
          <w:p>
            <w:r/>
            <w:r>
              <w:rPr>
                <w:rFonts w:ascii="Calibri" w:hAnsi="Calibri"/>
                <w:b w:val="0"/>
                <w:i w:val="0"/>
                <w:color w:val="000000"/>
                <w:sz w:val="18"/>
              </w:rPr>
              <w:t>Origination Fee / Team Operations Fee (30%)</w:t>
            </w:r>
          </w:p>
        </w:tc>
        <w:tc>
          <w:tcPr>
            <w:tcW w:type="dxa" w:w="3135"/>
          </w:tcPr>
          <w:p>
            <w:pPr>
              <w:jc w:val="right"/>
            </w:pPr>
            <w:r/>
            <w:r>
              <w:rPr>
                <w:rFonts w:ascii="Calibri" w:hAnsi="Calibri"/>
                <w:b w:val="0"/>
                <w:i w:val="0"/>
                <w:color w:val="000000"/>
                <w:sz w:val="18"/>
              </w:rPr>
              <w:t>€83,100</w:t>
            </w:r>
          </w:p>
        </w:tc>
        <w:tc>
          <w:tcPr>
            <w:tcW w:type="dxa" w:w="3135"/>
          </w:tcPr>
          <w:p>
            <w:r/>
            <w:r>
              <w:rPr>
                <w:rFonts w:ascii="Calibri" w:hAnsi="Calibri"/>
                <w:b w:val="0"/>
                <w:i w:val="0"/>
                <w:color w:val="000000"/>
                <w:sz w:val="18"/>
              </w:rPr>
              <w:t>Payable to Consultant</w:t>
            </w:r>
          </w:p>
        </w:tc>
      </w:tr>
    </w:tbl>
    <w:p/>
    <w:p>
      <w:pPr>
        <w:sectPr>
          <w:footerReference w:type="default" r:id="rId17"/>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3 — SCOPE OF SERVICES ═══</w:t>
      </w:r>
    </w:p>
    <w:p>
      <w:pPr>
        <w:spacing w:before="200"/>
      </w:pPr>
      <w:r>
        <w:rPr>
          <w:rFonts w:ascii="Calibri" w:hAnsi="Calibri"/>
          <w:b/>
          <w:i w:val="0"/>
          <w:color w:val="1A365D"/>
          <w:sz w:val="22"/>
        </w:rPr>
        <w:t>Schedule 3 — Scope of Ongoing Operational Services</w:t>
      </w:r>
    </w:p>
    <w:p>
      <w:pPr>
        <w:jc w:val="both"/>
      </w:pPr>
      <w:r>
        <w:rPr>
          <w:rFonts w:ascii="Calibri" w:hAnsi="Calibri"/>
          <w:b w:val="0"/>
          <w:i w:val="0"/>
          <w:color w:val="000000"/>
          <w:sz w:val="20"/>
        </w:rPr>
        <w:t>The Consultant provides the following operational services to the Company through its team, under the direction and control of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pPr>
              <w:jc w:val="left"/>
            </w:pPr>
            <w:r>
              <w:rPr>
                <w:b/>
                <w:color w:val="FFFFFF"/>
              </w:rPr>
            </w:r>
            <w:r>
              <w:rPr>
                <w:rFonts w:ascii="Calibri" w:hAnsi="Calibri"/>
                <w:b/>
                <w:i w:val="0"/>
                <w:color w:val="FFFFFF"/>
                <w:sz w:val="18"/>
              </w:rPr>
              <w:t>Service Area</w:t>
            </w:r>
          </w:p>
        </w:tc>
        <w:tc>
          <w:tcPr>
            <w:tcW w:type="dxa" w:w="4703"/>
            <w:shd w:fill="1A365D" w:val="clear"/>
          </w:tcPr>
          <w:p>
            <w:pPr>
              <w:jc w:val="left"/>
            </w:pPr>
            <w:r>
              <w:rPr>
                <w:b/>
                <w:color w:val="FFFFFF"/>
              </w:rPr>
            </w:r>
            <w:r>
              <w:rPr>
                <w:rFonts w:ascii="Calibri" w:hAnsi="Calibri"/>
                <w:b/>
                <w:i w:val="0"/>
                <w:color w:val="FFFFFF"/>
                <w:sz w:val="18"/>
              </w:rPr>
              <w:t>Description</w:t>
            </w:r>
          </w:p>
        </w:tc>
      </w:tr>
      <w:tr>
        <w:tc>
          <w:tcPr>
            <w:tcW w:type="dxa" w:w="4703"/>
          </w:tcPr>
          <w:p>
            <w:r/>
            <w:r>
              <w:rPr>
                <w:rFonts w:ascii="Calibri" w:hAnsi="Calibri"/>
                <w:b w:val="0"/>
                <w:i w:val="0"/>
                <w:color w:val="000000"/>
                <w:sz w:val="18"/>
              </w:rPr>
              <w:t>Project Management</w:t>
            </w:r>
          </w:p>
        </w:tc>
        <w:tc>
          <w:tcPr>
            <w:tcW w:type="dxa" w:w="4703"/>
          </w:tcPr>
          <w:p>
            <w:r/>
            <w:r>
              <w:rPr>
                <w:rFonts w:ascii="Calibri" w:hAnsi="Calibri"/>
                <w:b w:val="0"/>
                <w:i w:val="0"/>
                <w:color w:val="000000"/>
                <w:sz w:val="18"/>
              </w:rPr>
              <w:t>End-to-end management of BESS EPC projects from contract award through commissioning and handover. Includes scheduling, milestone tracking, resource planning, and progress reporting to clients and stakeholders.</w:t>
            </w:r>
          </w:p>
        </w:tc>
      </w:tr>
      <w:tr>
        <w:tc>
          <w:tcPr>
            <w:tcW w:type="dxa" w:w="4703"/>
          </w:tcPr>
          <w:p>
            <w:r/>
            <w:r>
              <w:rPr>
                <w:rFonts w:ascii="Calibri" w:hAnsi="Calibri"/>
                <w:b w:val="0"/>
                <w:i w:val="0"/>
                <w:color w:val="000000"/>
                <w:sz w:val="18"/>
              </w:rPr>
              <w:t>Team Coordination &amp; Supervision</w:t>
            </w:r>
          </w:p>
        </w:tc>
        <w:tc>
          <w:tcPr>
            <w:tcW w:type="dxa" w:w="4703"/>
          </w:tcPr>
          <w:p>
            <w:r/>
            <w:r>
              <w:rPr>
                <w:rFonts w:ascii="Calibri" w:hAnsi="Calibri"/>
                <w:b w:val="0"/>
                <w:i w:val="0"/>
                <w:color w:val="000000"/>
                <w:sz w:val="18"/>
              </w:rPr>
              <w:t>Recruitment, coordination, and supervision of the operational team including site engineers, commissioning specialists, logistics coordinators, and administrative support. Includes performance management and team development.</w:t>
            </w:r>
          </w:p>
        </w:tc>
      </w:tr>
      <w:tr>
        <w:tc>
          <w:tcPr>
            <w:tcW w:type="dxa" w:w="4703"/>
          </w:tcPr>
          <w:p>
            <w:r/>
            <w:r>
              <w:rPr>
                <w:rFonts w:ascii="Calibri" w:hAnsi="Calibri"/>
                <w:b w:val="0"/>
                <w:i w:val="0"/>
                <w:color w:val="000000"/>
                <w:sz w:val="18"/>
              </w:rPr>
              <w:t>Subcontractor Procurement</w:t>
            </w:r>
          </w:p>
        </w:tc>
        <w:tc>
          <w:tcPr>
            <w:tcW w:type="dxa" w:w="4703"/>
          </w:tcPr>
          <w:p>
            <w:r/>
            <w:r>
              <w:rPr>
                <w:rFonts w:ascii="Calibri" w:hAnsi="Calibri"/>
                <w:b w:val="0"/>
                <w:i w:val="0"/>
                <w:color w:val="000000"/>
                <w:sz w:val="18"/>
              </w:rPr>
              <w:t>Identification, negotiation, contracting, and management of subcontractors for civil works, electrical installation, crane hire, transport, lightning protection, earthing, and other specialist services.</w:t>
            </w:r>
          </w:p>
        </w:tc>
      </w:tr>
      <w:tr>
        <w:tc>
          <w:tcPr>
            <w:tcW w:type="dxa" w:w="4703"/>
          </w:tcPr>
          <w:p>
            <w:r/>
            <w:r>
              <w:rPr>
                <w:rFonts w:ascii="Calibri" w:hAnsi="Calibri"/>
                <w:b w:val="0"/>
                <w:i w:val="0"/>
                <w:color w:val="000000"/>
                <w:sz w:val="18"/>
              </w:rPr>
              <w:t>Client Relationship Management</w:t>
            </w:r>
          </w:p>
        </w:tc>
        <w:tc>
          <w:tcPr>
            <w:tcW w:type="dxa" w:w="4703"/>
          </w:tcPr>
          <w:p>
            <w:r/>
            <w:r>
              <w:rPr>
                <w:rFonts w:ascii="Calibri" w:hAnsi="Calibri"/>
                <w:b w:val="0"/>
                <w:i w:val="0"/>
                <w:color w:val="000000"/>
                <w:sz w:val="18"/>
              </w:rPr>
              <w:t>Ongoing management of relationships with all six client groups, aggregators (ABIO, Synenergia), and individual park owners. Includes contract negotiations, progress updates, and issue resolution.</w:t>
            </w:r>
          </w:p>
        </w:tc>
      </w:tr>
      <w:tr>
        <w:tc>
          <w:tcPr>
            <w:tcW w:type="dxa" w:w="4703"/>
          </w:tcPr>
          <w:p>
            <w:r/>
            <w:r>
              <w:rPr>
                <w:rFonts w:ascii="Calibri" w:hAnsi="Calibri"/>
                <w:b w:val="0"/>
                <w:i w:val="0"/>
                <w:color w:val="000000"/>
                <w:sz w:val="18"/>
              </w:rPr>
              <w:t>Supply Chain Management</w:t>
            </w:r>
          </w:p>
        </w:tc>
        <w:tc>
          <w:tcPr>
            <w:tcW w:type="dxa" w:w="4703"/>
          </w:tcPr>
          <w:p>
            <w:r/>
            <w:r>
              <w:rPr>
                <w:rFonts w:ascii="Calibri" w:hAnsi="Calibri"/>
                <w:b w:val="0"/>
                <w:i w:val="0"/>
                <w:color w:val="000000"/>
                <w:sz w:val="18"/>
              </w:rPr>
              <w:t>Coordination with Linyang/Solarfun (equipment supply), Voltus Energy (EMS/SCADA), DEHN (lightning protection), and all other suppliers. Includes order management, delivery scheduling, quality verification, and warranty coordination.</w:t>
            </w:r>
          </w:p>
        </w:tc>
      </w:tr>
      <w:tr>
        <w:tc>
          <w:tcPr>
            <w:tcW w:type="dxa" w:w="4703"/>
          </w:tcPr>
          <w:p>
            <w:r/>
            <w:r>
              <w:rPr>
                <w:rFonts w:ascii="Calibri" w:hAnsi="Calibri"/>
                <w:b w:val="0"/>
                <w:i w:val="0"/>
                <w:color w:val="000000"/>
                <w:sz w:val="18"/>
              </w:rPr>
              <w:t>EPC Execution Planning</w:t>
            </w:r>
          </w:p>
        </w:tc>
        <w:tc>
          <w:tcPr>
            <w:tcW w:type="dxa" w:w="4703"/>
          </w:tcPr>
          <w:p>
            <w:r/>
            <w:r>
              <w:rPr>
                <w:rFonts w:ascii="Calibri" w:hAnsi="Calibri"/>
                <w:b w:val="0"/>
                <w:i w:val="0"/>
                <w:color w:val="000000"/>
                <w:sz w:val="18"/>
              </w:rPr>
              <w:t>Technical planning for site preparation, foundation design coordination, container placement, electrical interconnection, grid connection scheduling, and DSO coordination.</w:t>
            </w:r>
          </w:p>
        </w:tc>
      </w:tr>
      <w:tr>
        <w:tc>
          <w:tcPr>
            <w:tcW w:type="dxa" w:w="4703"/>
          </w:tcPr>
          <w:p>
            <w:r/>
            <w:r>
              <w:rPr>
                <w:rFonts w:ascii="Calibri" w:hAnsi="Calibri"/>
                <w:b w:val="0"/>
                <w:i w:val="0"/>
                <w:color w:val="000000"/>
                <w:sz w:val="18"/>
              </w:rPr>
              <w:t>Quality Assurance &amp; Compliance</w:t>
            </w:r>
          </w:p>
        </w:tc>
        <w:tc>
          <w:tcPr>
            <w:tcW w:type="dxa" w:w="4703"/>
          </w:tcPr>
          <w:p>
            <w:r/>
            <w:r>
              <w:rPr>
                <w:rFonts w:ascii="Calibri" w:hAnsi="Calibri"/>
                <w:b w:val="0"/>
                <w:i w:val="0"/>
                <w:color w:val="000000"/>
                <w:sz w:val="18"/>
              </w:rPr>
              <w:t>Oversight of installation quality standards, regulatory compliance (CERA, TSOC, DSO), health and safety, environmental compliance, and commissioning protocols.</w:t>
            </w:r>
          </w:p>
        </w:tc>
      </w:tr>
      <w:tr>
        <w:tc>
          <w:tcPr>
            <w:tcW w:type="dxa" w:w="4703"/>
          </w:tcPr>
          <w:p>
            <w:r/>
            <w:r>
              <w:rPr>
                <w:rFonts w:ascii="Calibri" w:hAnsi="Calibri"/>
                <w:b w:val="0"/>
                <w:i w:val="0"/>
                <w:color w:val="000000"/>
                <w:sz w:val="18"/>
              </w:rPr>
              <w:t>Commercial &amp; Financial Management</w:t>
            </w:r>
          </w:p>
        </w:tc>
        <w:tc>
          <w:tcPr>
            <w:tcW w:type="dxa" w:w="4703"/>
          </w:tcPr>
          <w:p>
            <w:r/>
            <w:r>
              <w:rPr>
                <w:rFonts w:ascii="Calibri" w:hAnsi="Calibri"/>
                <w:b w:val="0"/>
                <w:i w:val="0"/>
                <w:color w:val="000000"/>
                <w:sz w:val="18"/>
              </w:rPr>
              <w:t>Cost tracking, margin analysis, invoicing management, client payment collection, and financial reporting on project profitability. Includes pricing and proposal development for new opportunities.</w:t>
            </w:r>
          </w:p>
        </w:tc>
      </w:tr>
      <w:tr>
        <w:tc>
          <w:tcPr>
            <w:tcW w:type="dxa" w:w="4703"/>
          </w:tcPr>
          <w:p>
            <w:r/>
            <w:r>
              <w:rPr>
                <w:rFonts w:ascii="Calibri" w:hAnsi="Calibri"/>
                <w:b w:val="0"/>
                <w:i w:val="0"/>
                <w:color w:val="000000"/>
                <w:sz w:val="18"/>
              </w:rPr>
              <w:t>Business Development</w:t>
            </w:r>
          </w:p>
        </w:tc>
        <w:tc>
          <w:tcPr>
            <w:tcW w:type="dxa" w:w="4703"/>
          </w:tcPr>
          <w:p>
            <w:r/>
            <w:r>
              <w:rPr>
                <w:rFonts w:ascii="Calibri" w:hAnsi="Calibri"/>
                <w:b w:val="0"/>
                <w:i w:val="0"/>
                <w:color w:val="000000"/>
                <w:sz w:val="18"/>
              </w:rPr>
              <w:t>Identification and pursuit of new BESS opportunities in Cyprus and other markets, client prospecting, market analysis, and pipeline development for Future Business.</w:t>
            </w:r>
          </w:p>
        </w:tc>
      </w:tr>
      <w:tr>
        <w:tc>
          <w:tcPr>
            <w:tcW w:type="dxa" w:w="4703"/>
          </w:tcPr>
          <w:p>
            <w:r/>
            <w:r>
              <w:rPr>
                <w:rFonts w:ascii="Calibri" w:hAnsi="Calibri"/>
                <w:b w:val="0"/>
                <w:i w:val="0"/>
                <w:color w:val="000000"/>
                <w:sz w:val="18"/>
              </w:rPr>
              <w:t>Insurance &amp; Risk Management</w:t>
            </w:r>
          </w:p>
        </w:tc>
        <w:tc>
          <w:tcPr>
            <w:tcW w:type="dxa" w:w="4703"/>
          </w:tcPr>
          <w:p>
            <w:r/>
            <w:r>
              <w:rPr>
                <w:rFonts w:ascii="Calibri" w:hAnsi="Calibri"/>
                <w:b w:val="0"/>
                <w:i w:val="0"/>
                <w:color w:val="000000"/>
                <w:sz w:val="18"/>
              </w:rPr>
              <w:t>Procurement and management of project insurance (CAR/EAR, professional indemnity, product liability), risk assessment, and warranty management for the portfolio.</w:t>
            </w:r>
          </w:p>
        </w:tc>
      </w:tr>
    </w:tbl>
    <w:p/>
    <w:p>
      <w:pPr>
        <w:sectPr>
          <w:footerReference w:type="default" r:id="rId18"/>
          <w:pgSz w:w="12240" w:h="15840"/>
          <w:pgMar w:top="1134" w:right="1417" w:bottom="1247" w:left="1417" w:header="720" w:footer="720" w:gutter="0"/>
          <w:cols w:space="720"/>
          <w:docGrid w:linePitch="360"/>
          <w:pgNumType w:start="1"/>
        </w:sectPr>
      </w:pPr>
    </w:p>
    <w:p/>
    <w:p>
      <w:r>
        <w:rPr>
          <w:rFonts w:ascii="Calibri" w:hAnsi="Calibri"/>
          <w:b/>
          <w:i w:val="0"/>
          <w:color w:val="C9A432"/>
          <w:sz w:val="24"/>
        </w:rPr>
        <w:t>EXECUTION</w:t>
      </w:r>
    </w:p>
    <w:p/>
    <w:p>
      <w:r>
        <w:rPr>
          <w:rFonts w:ascii="Calibri" w:hAnsi="Calibri"/>
          <w:b w:val="0"/>
          <w:i w:val="0"/>
          <w:color w:val="000000"/>
          <w:sz w:val="20"/>
        </w:rPr>
        <w:t>This Agreement has been executed as a Deed on the date first written above.</w:t>
      </w:r>
    </w:p>
    <w:p/>
    <w:p>
      <w:r>
        <w:rPr>
          <w:rFonts w:ascii="Calibri" w:hAnsi="Calibri"/>
          <w:b/>
          <w:i w:val="0"/>
          <w:color w:val="000000"/>
          <w:sz w:val="20"/>
        </w:rPr>
        <w:t>Signed for and on behalf of LIGHTHIEF CYPRUS LTD (HE 477423)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Signed for and on behalf of MOI OSTROV LTD (HE 319483)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Witness:</w:t>
      </w:r>
    </w:p>
    <w:p>
      <w:r>
        <w:rPr>
          <w:rFonts w:ascii="Calibri" w:hAnsi="Calibri"/>
          <w:b w:val="0"/>
          <w:i w:val="0"/>
          <w:color w:val="000000"/>
          <w:sz w:val="20"/>
        </w:rPr>
        <w:t>Name: ______________________</w:t>
      </w:r>
    </w:p>
    <w:p>
      <w:r>
        <w:rPr>
          <w:rFonts w:ascii="Calibri" w:hAnsi="Calibri"/>
          <w:b w:val="0"/>
          <w:i w:val="0"/>
          <w:color w:val="000000"/>
          <w:sz w:val="20"/>
        </w:rPr>
        <w:t>Address: ______________________</w:t>
      </w:r>
    </w:p>
    <w:p>
      <w:r>
        <w:rPr>
          <w:rFonts w:ascii="Calibri" w:hAnsi="Calibri"/>
          <w:b w:val="0"/>
          <w:i w:val="0"/>
          <w:color w:val="000000"/>
          <w:sz w:val="20"/>
        </w:rPr>
        <w:t>Date: ______________________</w:t>
      </w:r>
    </w:p>
    <w:p>
      <w:pPr>
        <w:sectPr>
          <w:footerReference w:type="default" r:id="rId19"/>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A — SHAREHOLDER RESOLUTION ═══</w:t>
      </w:r>
    </w:p>
    <w:p>
      <w:pPr>
        <w:spacing w:before="200"/>
      </w:pPr>
      <w:r>
        <w:rPr>
          <w:rFonts w:ascii="Calibri" w:hAnsi="Calibri"/>
          <w:b/>
          <w:i w:val="0"/>
          <w:color w:val="1A365D"/>
          <w:sz w:val="22"/>
        </w:rPr>
        <w:t>Annex A — Written Resolution of the Sole Shareholder</w:t>
      </w:r>
    </w:p>
    <w:p>
      <w:pPr>
        <w:jc w:val="both"/>
      </w:pPr>
      <w:r>
        <w:rPr>
          <w:rFonts w:ascii="Calibri" w:hAnsi="Calibri"/>
          <w:b w:val="0"/>
          <w:i w:val="0"/>
          <w:color w:val="000000"/>
          <w:sz w:val="20"/>
        </w:rPr>
        <w:t>of Lighthief Cyprus Ltd (Company No. HE 477423)</w:t>
      </w:r>
    </w:p>
    <w:p>
      <w:pPr>
        <w:jc w:val="both"/>
      </w:pPr>
      <w:r>
        <w:rPr>
          <w:rFonts w:ascii="Calibri" w:hAnsi="Calibri"/>
          <w:b w:val="0"/>
          <w:i w:val="0"/>
          <w:color w:val="000000"/>
          <w:sz w:val="20"/>
        </w:rPr>
        <w:t>Passed in accordance with Section 135 of the Cyprus Companies Law, Cap. 113</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THE SOLE SHAREHOLDER of Lighthief Cyprus Ltd (the "Company"), being: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pPr>
              <w:jc w:val="left"/>
            </w:pPr>
            <w:r>
              <w:rPr>
                <w:b/>
                <w:color w:val="FFFFFF"/>
              </w:rPr>
            </w:r>
            <w:r>
              <w:rPr>
                <w:rFonts w:ascii="Calibri" w:hAnsi="Calibri"/>
                <w:b/>
                <w:i w:val="0"/>
                <w:color w:val="FFFFFF"/>
                <w:sz w:val="18"/>
              </w:rPr>
              <w:t>Shareholder</w:t>
            </w:r>
          </w:p>
        </w:tc>
        <w:tc>
          <w:tcPr>
            <w:tcW w:type="dxa" w:w="2351"/>
            <w:shd w:fill="1A365D" w:val="clear"/>
          </w:tcPr>
          <w:p>
            <w:pPr>
              <w:jc w:val="left"/>
            </w:pPr>
            <w:r>
              <w:rPr>
                <w:b/>
                <w:color w:val="FFFFFF"/>
              </w:rPr>
            </w:r>
            <w:r>
              <w:rPr>
                <w:rFonts w:ascii="Calibri" w:hAnsi="Calibri"/>
                <w:b/>
                <w:i w:val="0"/>
                <w:color w:val="FFFFFF"/>
                <w:sz w:val="18"/>
              </w:rPr>
              <w:t>Shares Held</w:t>
            </w:r>
          </w:p>
        </w:tc>
        <w:tc>
          <w:tcPr>
            <w:tcW w:type="dxa" w:w="2351"/>
            <w:shd w:fill="1A365D" w:val="clear"/>
          </w:tcPr>
          <w:p>
            <w:pPr>
              <w:jc w:val="left"/>
            </w:pPr>
            <w:r>
              <w:rPr>
                <w:b/>
                <w:color w:val="FFFFFF"/>
              </w:rPr>
            </w:r>
            <w:r>
              <w:rPr>
                <w:rFonts w:ascii="Calibri" w:hAnsi="Calibri"/>
                <w:b/>
                <w:i w:val="0"/>
                <w:color w:val="FFFFFF"/>
                <w:sz w:val="18"/>
              </w:rPr>
              <w:t>% Holding</w:t>
            </w:r>
          </w:p>
        </w:tc>
        <w:tc>
          <w:tcPr>
            <w:tcW w:type="dxa" w:w="2351"/>
            <w:shd w:fill="1A365D" w:val="clear"/>
          </w:tcPr>
          <w:p>
            <w:pPr>
              <w:jc w:val="left"/>
            </w:pPr>
            <w:r>
              <w:rPr>
                <w:b/>
                <w:color w:val="FFFFFF"/>
              </w:rPr>
            </w:r>
            <w:r>
              <w:rPr>
                <w:rFonts w:ascii="Calibri" w:hAnsi="Calibri"/>
                <w:b/>
                <w:i w:val="0"/>
                <w:color w:val="FFFFFF"/>
                <w:sz w:val="18"/>
              </w:rPr>
              <w:t>UBO</w:t>
            </w:r>
          </w:p>
        </w:tc>
      </w:tr>
      <w:tr>
        <w:tc>
          <w:tcPr>
            <w:tcW w:type="dxa" w:w="2351"/>
          </w:tcPr>
          <w:p>
            <w:r/>
            <w:r>
              <w:rPr>
                <w:rFonts w:ascii="Calibri" w:hAnsi="Calibri"/>
                <w:b w:val="0"/>
                <w:i w:val="0"/>
                <w:color w:val="000000"/>
                <w:sz w:val="18"/>
              </w:rPr>
              <w:t>Lighthief International Ltd</w:t>
            </w:r>
          </w:p>
        </w:tc>
        <w:tc>
          <w:tcPr>
            <w:tcW w:type="dxa" w:w="2351"/>
          </w:tcPr>
          <w:p>
            <w:r/>
            <w:r>
              <w:rPr>
                <w:rFonts w:ascii="Calibri" w:hAnsi="Calibri"/>
                <w:b w:val="0"/>
                <w:i w:val="0"/>
                <w:color w:val="000000"/>
                <w:sz w:val="18"/>
              </w:rPr>
              <w:t>100% of issued share capital</w:t>
            </w:r>
          </w:p>
        </w:tc>
        <w:tc>
          <w:tcPr>
            <w:tcW w:type="dxa" w:w="2351"/>
          </w:tcPr>
          <w:p>
            <w:pPr>
              <w:jc w:val="right"/>
            </w:pPr>
            <w:r/>
            <w:r>
              <w:rPr>
                <w:rFonts w:ascii="Calibri" w:hAnsi="Calibri"/>
                <w:b w:val="0"/>
                <w:i w:val="0"/>
                <w:color w:val="000000"/>
                <w:sz w:val="18"/>
              </w:rPr>
              <w:t>100%</w:t>
            </w:r>
          </w:p>
        </w:tc>
        <w:tc>
          <w:tcPr>
            <w:tcW w:type="dxa" w:w="2351"/>
          </w:tcPr>
          <w:p>
            <w:r/>
            <w:r>
              <w:rPr>
                <w:rFonts w:ascii="Calibri" w:hAnsi="Calibri"/>
                <w:b w:val="0"/>
                <w:i w:val="0"/>
                <w:color w:val="000000"/>
                <w:sz w:val="18"/>
              </w:rPr>
              <w:t>Dr. Arkadiusz Sybaris</w:t>
            </w:r>
          </w:p>
        </w:tc>
      </w:tr>
    </w:tbl>
    <w:p/>
    <w:p>
      <w:pPr>
        <w:jc w:val="both"/>
      </w:pPr>
      <w:r>
        <w:rPr>
          <w:rFonts w:ascii="Calibri" w:hAnsi="Calibri"/>
          <w:b w:val="0"/>
          <w:i w:val="0"/>
          <w:color w:val="000000"/>
          <w:sz w:val="20"/>
        </w:rPr>
        <w:t>HEREBY RESOLVES as follows:</w:t>
      </w:r>
    </w:p>
    <w:p>
      <w:pPr>
        <w:jc w:val="both"/>
      </w:pPr>
      <w:r>
        <w:rPr>
          <w:rFonts w:ascii="Calibri" w:hAnsi="Calibri"/>
          <w:b w:val="0"/>
          <w:i w:val="0"/>
          <w:color w:val="000000"/>
          <w:sz w:val="20"/>
        </w:rPr>
        <w:t>1. Approval of Consultancy Agreement: The Team Operational Consultancy Agreement dated ______________________ 2026 between the Company and Moi Ostrov Ltd (Company No. HE 319483), reference LCY-MOI-TOCA-2026-001 (the "Consultancy Agreement"), is hereby approved and ratified in its entirety, including both Part A (Origination Fee) and Part B (Team Operations Fee).</w:t>
      </w:r>
    </w:p>
    <w:p>
      <w:pPr>
        <w:jc w:val="both"/>
      </w:pPr>
      <w:r>
        <w:rPr>
          <w:rFonts w:ascii="Calibri" w:hAnsi="Calibri"/>
          <w:b w:val="0"/>
          <w:i w:val="0"/>
          <w:color w:val="000000"/>
          <w:sz w:val="20"/>
        </w:rPr>
        <w:t>2. Term and Protected Matter: The Shareholder acknowledges that the Consultancy Agreement has a Minimum Term of five (5) years and may be terminated or amended only as set out in Clause 5.3 of the Consultancy Agreement (including material-breach termination, twelve (12) months' notice after the Minimum Term, and amendment requiring consent of shareholders holding at least seventy-five percent (75%) of voting shares, or unanimous consent if fewer than three shareholders). The Shareholder resolves that the Consultancy Agreement shall be designated a "Protected Matter" in the Articles on those terms. Nothing in this Resolution limits statutory rights under the Companies Law, Cap. 113.</w:t>
      </w:r>
    </w:p>
    <w:p>
      <w:pPr>
        <w:jc w:val="both"/>
      </w:pPr>
      <w:r>
        <w:rPr>
          <w:rFonts w:ascii="Calibri" w:hAnsi="Calibri"/>
          <w:b w:val="0"/>
          <w:i w:val="0"/>
          <w:color w:val="000000"/>
          <w:sz w:val="20"/>
        </w:rPr>
        <w:t>3. Articles amendment: The Shareholder instructs the Director to amend the Company's Articles of Association to reflect the Protected Matter status and the provisions described in Clause 6.8 of the Consultancy Agreement (including the deed of acknowledgement requirement for new shareholders).</w:t>
      </w:r>
    </w:p>
    <w:p>
      <w:pPr>
        <w:jc w:val="both"/>
      </w:pPr>
      <w:r>
        <w:rPr>
          <w:rFonts w:ascii="Calibri" w:hAnsi="Calibri"/>
          <w:b w:val="0"/>
          <w:i w:val="0"/>
          <w:color w:val="000000"/>
          <w:sz w:val="20"/>
        </w:rPr>
        <w:t>4. Binding on Successors: The Shareholder agrees that the obligations of the Company under the Consultancy Agreement shall be binding on any future shareholder, transferee, acquirer, or successor of the Company's shares or business. The Shareholder shall procure that any transferee of its shares in the Company executes the deed of acknowledgement required by Clause 6.3 of the Consultancy Agreement as a condition of such transfer.</w:t>
      </w:r>
    </w:p>
    <w:p>
      <w:pPr>
        <w:jc w:val="both"/>
      </w:pPr>
      <w:r>
        <w:rPr>
          <w:rFonts w:ascii="Calibri" w:hAnsi="Calibri"/>
          <w:b w:val="0"/>
          <w:i w:val="0"/>
          <w:color w:val="000000"/>
          <w:sz w:val="20"/>
        </w:rPr>
        <w:t>5. Conflict of Interest Waiver: The Shareholder acknowledges the dual directorship of Alexander Papacosta (Cyprus ID: 1241318) as director of both the Company and Moi Ostrov Ltd, has considered the potential conflict of interest, and waives any objection to such conflict. The Shareholder confirms that the Consultancy Agreement is in the commercial interests of the Company given that: (a) the entire BESS project pipeline was originated and secured through Alexander Papacosta's business development activities; and (b) the Team Operations Fee provides the Company with essential operational services at a rate consistent with market norms for outsourced EPC project management.</w:t>
      </w:r>
    </w:p>
    <w:p>
      <w:pPr>
        <w:jc w:val="both"/>
      </w:pPr>
      <w:r>
        <w:rPr>
          <w:rFonts w:ascii="Calibri" w:hAnsi="Calibri"/>
          <w:b w:val="0"/>
          <w:i w:val="0"/>
          <w:color w:val="000000"/>
          <w:sz w:val="20"/>
        </w:rPr>
        <w:t>6. Protection of fees: The Shareholder undertakes that it shall not, and shall procure that the Company shall not, during the Minimum Term:</w:t>
      </w:r>
    </w:p>
    <w:p>
      <w:pPr>
        <w:jc w:val="both"/>
      </w:pPr>
      <w:r>
        <w:rPr>
          <w:rFonts w:ascii="Calibri" w:hAnsi="Calibri"/>
          <w:b w:val="0"/>
          <w:i w:val="0"/>
          <w:color w:val="000000"/>
          <w:sz w:val="20"/>
        </w:rPr>
        <w:t>(a) take any action that would terminate or vary the Consultancy Agreement otherwise than in accordance with Clause 5.3;</w:t>
      </w:r>
    </w:p>
    <w:p>
      <w:pPr>
        <w:jc w:val="both"/>
      </w:pPr>
      <w:r>
        <w:rPr>
          <w:rFonts w:ascii="Calibri" w:hAnsi="Calibri"/>
          <w:b w:val="0"/>
          <w:i w:val="0"/>
          <w:color w:val="000000"/>
          <w:sz w:val="20"/>
        </w:rPr>
        <w:t>(b) remove, interfere with, or diminish the Consultant's entitlement to fees properly accrued under the Consultancy Agreement;</w:t>
      </w:r>
    </w:p>
    <w:p>
      <w:pPr>
        <w:jc w:val="both"/>
      </w:pPr>
      <w:r>
        <w:rPr>
          <w:rFonts w:ascii="Calibri" w:hAnsi="Calibri"/>
          <w:b w:val="0"/>
          <w:i w:val="0"/>
          <w:color w:val="000000"/>
          <w:sz w:val="20"/>
        </w:rPr>
        <w:t>(c) declare discretionary dividends or make discretionary shareholder distributions attributable to revenue in respect of which a corresponding fee has accrued but remains unpaid, consistent with Clause 6.5;</w:t>
      </w:r>
    </w:p>
    <w:p>
      <w:pPr>
        <w:jc w:val="both"/>
      </w:pPr>
      <w:r>
        <w:rPr>
          <w:rFonts w:ascii="Calibri" w:hAnsi="Calibri"/>
          <w:b w:val="0"/>
          <w:i w:val="0"/>
          <w:color w:val="000000"/>
          <w:sz w:val="20"/>
        </w:rPr>
        <w:t>(d) dispose of the Company's assets or business in a manner that would frustrate payment of fees properly accrued under signed client contracts.</w:t>
      </w:r>
    </w:p>
    <w:p>
      <w:pPr>
        <w:jc w:val="both"/>
      </w:pPr>
      <w:r>
        <w:rPr>
          <w:rFonts w:ascii="Calibri" w:hAnsi="Calibri"/>
          <w:b w:val="0"/>
          <w:i w:val="0"/>
          <w:color w:val="000000"/>
          <w:sz w:val="20"/>
        </w:rPr>
        <w:t>7. Director Authorisation: Alexander Papacosta (Cyprus ID: 1241318) is hereby authorised to execute the Consultancy Agreement on behalf of the Company, notwithstanding his interest as director of Moi Ostrov Ltd.</w:t>
      </w:r>
    </w:p>
    <w:p>
      <w:pPr>
        <w:jc w:val="both"/>
      </w:pPr>
      <w:r>
        <w:rPr>
          <w:rFonts w:ascii="Calibri" w:hAnsi="Calibri"/>
          <w:b w:val="0"/>
          <w:i w:val="0"/>
          <w:color w:val="000000"/>
          <w:sz w:val="20"/>
        </w:rPr>
        <w:t>8. Filing: The Company Secretary is instructed to file a copy of this Resolution with the Company's statutory records and to note the Consultancy Agreement as a material obligation in the Company's books.</w:t>
      </w:r>
    </w:p>
    <w:p/>
    <w:p>
      <w:pPr>
        <w:jc w:val="both"/>
      </w:pPr>
      <w:r>
        <w:rPr>
          <w:rFonts w:ascii="Calibri" w:hAnsi="Calibri"/>
          <w:b w:val="0"/>
          <w:i w:val="0"/>
          <w:color w:val="000000"/>
          <w:sz w:val="20"/>
        </w:rPr>
        <w:t>Signed for and on behalf of the Sole Shareholder:</w:t>
      </w:r>
    </w:p>
    <w:p>
      <w:pPr>
        <w:jc w:val="both"/>
      </w:pPr>
      <w:r>
        <w:rPr>
          <w:rFonts w:ascii="Calibri" w:hAnsi="Calibri"/>
          <w:b w:val="0"/>
          <w:i w:val="0"/>
          <w:color w:val="000000"/>
          <w:sz w:val="20"/>
        </w:rPr>
        <w:br/>
        <w:t xml:space="preserve">      For and on behalf of</w:t>
        <w:br/>
        <w:t>LIGHTHIEF INTERNATIONAL LTD</w:t>
        <w:br/>
        <w:t>(Sole Shareholder of Lighthief Cyprus Ltd)</w:t>
        <w:br/>
        <w:t xml:space="preserve">    </w:t>
      </w:r>
    </w:p>
    <w:p>
      <w:pPr>
        <w:jc w:val="both"/>
      </w:pPr>
      <w:r>
        <w:rPr>
          <w:rFonts w:ascii="Calibri" w:hAnsi="Calibri"/>
          <w:b w:val="0"/>
          <w:i w:val="0"/>
          <w:color w:val="000000"/>
          <w:sz w:val="20"/>
        </w:rPr>
        <w:t>Authorised signatory:</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 Lighthief International Ltd</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UBO Declaration: The ultimate beneficial owner of Lighthief International Ltd is Dr. Arkadiusz Sybaris.</w:t>
        <w:br/>
        <w:t xml:space="preserve">  </w:t>
      </w:r>
    </w:p>
    <w:p>
      <w:pPr>
        <w:sectPr>
          <w:footerReference w:type="default" r:id="rId20"/>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B — UBO PERSONAL UNDERTAKING ═══</w:t>
      </w:r>
    </w:p>
    <w:p>
      <w:pPr>
        <w:spacing w:before="200"/>
      </w:pPr>
      <w:r>
        <w:rPr>
          <w:rFonts w:ascii="Calibri" w:hAnsi="Calibri"/>
          <w:b/>
          <w:i w:val="0"/>
          <w:color w:val="1A365D"/>
          <w:sz w:val="22"/>
        </w:rPr>
        <w:t>Annex B — Personal Undertaking of the Ultimate Beneficial Owner</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I, Dr. Arkadiusz Sybaris, being the ultimate beneficial owner of Lighthief International Ltd (which is the sole shareholder of Lighthief Cyprus Ltd, Company No. HE 477423), hereby provide this personal undertaking in connection with the Team Operational Consultancy Agreement dated ______________________ 2026, reference LCY-MOI-TOCA-2026-001, between Lighthief Cyprus Ltd and Moi Ostrov Ltd (the "Consultancy Agreement").</w:t>
      </w:r>
    </w:p>
    <w:p>
      <w:pPr>
        <w:jc w:val="both"/>
      </w:pPr>
      <w:r>
        <w:rPr>
          <w:rFonts w:ascii="Calibri" w:hAnsi="Calibri"/>
          <w:b w:val="0"/>
          <w:i w:val="0"/>
          <w:color w:val="000000"/>
          <w:sz w:val="20"/>
        </w:rPr>
        <w:t>I HEREBY UNDERTAKE AND AGREE as follows:</w:t>
      </w:r>
    </w:p>
    <w:p>
      <w:pPr>
        <w:jc w:val="both"/>
      </w:pPr>
      <w:r>
        <w:rPr>
          <w:rFonts w:ascii="Calibri" w:hAnsi="Calibri"/>
          <w:b w:val="0"/>
          <w:i w:val="0"/>
          <w:color w:val="000000"/>
          <w:sz w:val="20"/>
        </w:rPr>
        <w:t>1. Support during Minimum Term: During the Minimum Term, I shall exercise voting rights available to me (whether directly or through Lighthief International Ltd) in support of the Consultancy Agreement and against proposals that would modify, reduce, or terminate it otherwise than in accordance with Clause 5.3, subject always to my statutory duties and rights under Cap. 113.</w:t>
      </w:r>
    </w:p>
    <w:p>
      <w:pPr>
        <w:jc w:val="both"/>
      </w:pPr>
      <w:r>
        <w:rPr>
          <w:rFonts w:ascii="Calibri" w:hAnsi="Calibri"/>
          <w:b w:val="0"/>
          <w:i w:val="0"/>
          <w:color w:val="000000"/>
          <w:sz w:val="20"/>
        </w:rPr>
        <w:t>2. Non-Interference: I shall not, directly or indirectly, take any action or instruct any person to take any action that would: (a) impair payment of Origination Fees or Team Operations Fees properly accrued; (b) cause Lighthief Cyprus Ltd to breach payment obligations under the Consultancy Agreement; or (c) facilitate circumvention of Cyprus Protected Projects as described in Clause 12.</w:t>
      </w:r>
    </w:p>
    <w:p>
      <w:pPr>
        <w:jc w:val="both"/>
      </w:pPr>
      <w:r>
        <w:rPr>
          <w:rFonts w:ascii="Calibri" w:hAnsi="Calibri"/>
          <w:b w:val="0"/>
          <w:i w:val="0"/>
          <w:color w:val="000000"/>
          <w:sz w:val="20"/>
        </w:rPr>
        <w:t>3. Condition on Share Transfer: If I (or Lighthief International Ltd) transfer, sell, or dispose of any shares in Lighthief Cyprus Ltd, I shall ensure that the transferee: (a) receives a copy of the Consultancy Agreement; (b) executes the deed of acknowledgement required by Clause 6.3 of the Consultancy Agreement; and (c) provides a personal undertaking in substantially similar terms to this undertaking.</w:t>
      </w:r>
    </w:p>
    <w:p>
      <w:pPr>
        <w:jc w:val="both"/>
      </w:pPr>
      <w:r>
        <w:rPr>
          <w:rFonts w:ascii="Calibri" w:hAnsi="Calibri"/>
          <w:b w:val="0"/>
          <w:i w:val="0"/>
          <w:color w:val="000000"/>
          <w:sz w:val="20"/>
        </w:rPr>
        <w:t>4. Deemed Group Receipt: I shall procure that fees calculated on Deemed Group Receipts under Clause 12.3 are paid by the Company and shall use reasonable endeavours to ensure Group entities execute a deed of adherence (see Schedule 4 / separate form) before contracting Cyprus Protected Projects.</w:t>
      </w:r>
    </w:p>
    <w:p>
      <w:pPr>
        <w:jc w:val="both"/>
      </w:pPr>
      <w:r>
        <w:rPr>
          <w:rFonts w:ascii="Calibri" w:hAnsi="Calibri"/>
          <w:b w:val="0"/>
          <w:i w:val="0"/>
          <w:color w:val="000000"/>
          <w:sz w:val="20"/>
        </w:rPr>
        <w:t>5. Personal Liability: I acknowledge that this undertaking creates a personal obligation binding upon me individually, enforceable by Moi Ostrov Ltd directly against me, in addition to any rights Moi Ostrov Ltd may have against Lighthief Cyprus Ltd or Lighthief International Ltd under the Consultancy Agreement.</w:t>
      </w:r>
    </w:p>
    <w:p>
      <w:pPr>
        <w:jc w:val="both"/>
      </w:pPr>
      <w:r>
        <w:rPr>
          <w:rFonts w:ascii="Calibri" w:hAnsi="Calibri"/>
          <w:b w:val="0"/>
          <w:i w:val="0"/>
          <w:color w:val="000000"/>
          <w:sz w:val="20"/>
        </w:rPr>
        <w:t>6. Governing Law: This undertaking shall be governed by the laws of the Republic of Cyprus and subject to the dispute resolution provisions of the Consultancy Agreement.</w:t>
      </w:r>
    </w:p>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Lighthief International Ltd</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Witness:</w:t>
        <w:br/>
      </w:r>
    </w:p>
    <w:p>
      <w:pPr>
        <w:jc w:val="both"/>
      </w:pPr>
      <w:r>
        <w:rPr>
          <w:rFonts w:ascii="Calibri" w:hAnsi="Calibri"/>
          <w:b w:val="0"/>
          <w:i w:val="0"/>
          <w:color w:val="000000"/>
          <w:sz w:val="20"/>
        </w:rPr>
        <w:t>Name: ______________________</w:t>
      </w:r>
    </w:p>
    <w:p>
      <w:pPr>
        <w:jc w:val="both"/>
      </w:pPr>
      <w:r>
        <w:rPr>
          <w:rFonts w:ascii="Calibri" w:hAnsi="Calibri"/>
          <w:b w:val="0"/>
          <w:i w:val="0"/>
          <w:color w:val="000000"/>
          <w:sz w:val="20"/>
        </w:rPr>
        <w:t>Address: ______________________</w:t>
      </w:r>
    </w:p>
    <w:p>
      <w:pPr>
        <w:jc w:val="both"/>
      </w:pPr>
      <w:r>
        <w:rPr>
          <w:rFonts w:ascii="Calibri" w:hAnsi="Calibri"/>
          <w:b w:val="0"/>
          <w:i w:val="0"/>
          <w:color w:val="000000"/>
          <w:sz w:val="20"/>
        </w:rPr>
        <w:t>Date: ______________________</w:t>
      </w:r>
    </w:p>
    <w:p>
      <w:pPr>
        <w:sectPr>
          <w:footerReference w:type="default" r:id="rId21"/>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CONTRACT OF EMPLOYMENT — MANAGING DIRECTOR</w:t>
      </w:r>
    </w:p>
    <w:p/>
    <w:p>
      <w:pPr>
        <w:jc w:val="both"/>
      </w:pPr>
      <w:r>
        <w:rPr>
          <w:rFonts w:ascii="Calibri" w:hAnsi="Calibri"/>
          <w:b w:val="0"/>
          <w:i w:val="0"/>
          <w:color w:val="000000"/>
          <w:sz w:val="20"/>
        </w:rPr>
        <w:t>Status: TEMPLATE — Cyprus legal and payroll review required before signature</w:t>
      </w:r>
    </w:p>
    <w:p>
      <w:pPr>
        <w:jc w:val="both"/>
      </w:pPr>
      <w:r>
        <w:rPr>
          <w:rFonts w:ascii="Calibri" w:hAnsi="Calibri"/>
          <w:b w:val="0"/>
          <w:i w:val="0"/>
          <w:color w:val="000000"/>
          <w:sz w:val="20"/>
        </w:rPr>
        <w:t>Ref: LCY-EMP-AP-2026-001</w:t>
      </w:r>
    </w:p>
    <w:p>
      <w:pPr>
        <w:jc w:val="both"/>
      </w:pPr>
      <w:r>
        <w:rPr>
          <w:rFonts w:ascii="Calibri" w:hAnsi="Calibri"/>
          <w:b w:val="0"/>
          <w:i w:val="0"/>
          <w:color w:val="000000"/>
          <w:sz w:val="20"/>
        </w:rPr>
        <w:t>Parties: Lighthief Cyprus Ltd (“Employer” / “Company”) · Alexander Papacosta (“Employee”)</w:t>
      </w:r>
    </w:p>
    <w:p>
      <w:pPr>
        <w:jc w:val="both"/>
      </w:pPr>
      <w:r>
        <w:rPr>
          <w:rFonts w:ascii="Calibri" w:hAnsi="Calibri"/>
          <w:b w:val="0"/>
          <w:i w:val="0"/>
          <w:color w:val="000000"/>
          <w:sz w:val="20"/>
        </w:rPr>
        <w:t>Governing law: Republic of Cyprus · Termination Employment of Staff Law 24/1967 (as amended) and applicable regulations.</w:t>
      </w:r>
    </w:p>
    <w:p>
      <w:pPr>
        <w:spacing w:before="24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Employee has served as Managing Director of the Company since [___] and has performed full-time executive duties including pipeline origination, client management, EPC delivery oversight, and team leadership;</w:t>
      </w:r>
    </w:p>
    <w:p>
      <w:pPr>
        <w:jc w:val="both"/>
      </w:pPr>
      <w:r>
        <w:rPr>
          <w:rFonts w:ascii="Calibri" w:hAnsi="Calibri"/>
          <w:b w:val="0"/>
          <w:i w:val="0"/>
          <w:color w:val="000000"/>
          <w:sz w:val="20"/>
        </w:rPr>
        <w:t>(b) The Parties acknowledge that, from 1 July 2025 until the date of this Agreement, the Company paid the Employee €2,000 net per month as managing director remuneration, pending formalisation of written employment terms;</w:t>
      </w:r>
    </w:p>
    <w:p>
      <w:pPr>
        <w:jc w:val="both"/>
      </w:pPr>
      <w:r>
        <w:rPr>
          <w:rFonts w:ascii="Calibri" w:hAnsi="Calibri"/>
          <w:b w:val="0"/>
          <w:i w:val="0"/>
          <w:color w:val="000000"/>
          <w:sz w:val="20"/>
        </w:rPr>
        <w:t>(c) The Shareholder (Lighthief International Ltd) has approved this Agreement and ratified prior payments by written resolution dated [___] (Annex B);</w:t>
      </w:r>
    </w:p>
    <w:p>
      <w:pPr>
        <w:jc w:val="both"/>
      </w:pPr>
      <w:r>
        <w:rPr>
          <w:rFonts w:ascii="Calibri" w:hAnsi="Calibri"/>
          <w:b w:val="0"/>
          <w:i w:val="0"/>
          <w:color w:val="000000"/>
          <w:sz w:val="20"/>
        </w:rPr>
        <w:t>(d) The Parties wish to formalise employment terms separately from the Business Introducer / Consultancy Agreement between the Company and Moi Ostrov Ltd (ref LCY-MOI-TOCA-2026-001) and separately from any equity participation side letter between the Employee and the Founder;</w:t>
      </w:r>
    </w:p>
    <w:p>
      <w:pPr>
        <w:jc w:val="both"/>
      </w:pPr>
      <w:r>
        <w:rPr>
          <w:rFonts w:ascii="Calibri" w:hAnsi="Calibri"/>
          <w:b w:val="0"/>
          <w:i w:val="0"/>
          <w:color w:val="000000"/>
          <w:sz w:val="20"/>
        </w:rPr>
        <w:t>(e) Salary under this Agreement is exclusive of any introducer fee, commission, or equity participation payable to Moi Ostrov Ltd or the Employee under other instruments.</w:t>
      </w:r>
    </w:p>
    <w:p>
      <w:pPr>
        <w:spacing w:before="240"/>
      </w:pPr>
      <w:r>
        <w:rPr>
          <w:rFonts w:ascii="Calibri" w:hAnsi="Calibri"/>
          <w:b/>
          <w:i w:val="0"/>
          <w:color w:val="C9A432"/>
          <w:sz w:val="24"/>
        </w:rPr>
        <w:t>1. Appointment</w:t>
      </w:r>
    </w:p>
    <w:p>
      <w:pPr>
        <w:jc w:val="both"/>
      </w:pPr>
      <w:r>
        <w:rPr>
          <w:rFonts w:ascii="Calibri" w:hAnsi="Calibri"/>
          <w:b w:val="0"/>
          <w:i w:val="0"/>
          <w:color w:val="000000"/>
          <w:sz w:val="20"/>
        </w:rPr>
        <w:t>1.1 The Company employs the Employee as Managing Director with effect from 1 July 2025 (the “Commencement Date”).</w:t>
      </w:r>
    </w:p>
    <w:p>
      <w:pPr>
        <w:jc w:val="both"/>
      </w:pPr>
      <w:r>
        <w:rPr>
          <w:rFonts w:ascii="Calibri" w:hAnsi="Calibri"/>
          <w:b w:val="0"/>
          <w:i w:val="0"/>
          <w:color w:val="000000"/>
          <w:sz w:val="20"/>
        </w:rPr>
        <w:t>1.2 The Employee reports to the Board. Day-to-day duties include executive leadership of the Company’s Cyprus BESS EPC business, client relationships, project delivery oversight, team management, and such other duties as the Board may reasonably assign consistent with the role of Managing Director.</w:t>
      </w:r>
    </w:p>
    <w:p>
      <w:pPr>
        <w:spacing w:before="240"/>
      </w:pPr>
      <w:r>
        <w:rPr>
          <w:rFonts w:ascii="Calibri" w:hAnsi="Calibri"/>
          <w:b/>
          <w:i w:val="0"/>
          <w:color w:val="C9A432"/>
          <w:sz w:val="24"/>
        </w:rPr>
        <w:t>2. Remuneration</w:t>
      </w:r>
    </w:p>
    <w:p>
      <w:pPr>
        <w:jc w:val="both"/>
      </w:pPr>
      <w:r>
        <w:rPr>
          <w:rFonts w:ascii="Calibri" w:hAnsi="Calibri"/>
          <w:b/>
          <w:i w:val="0"/>
          <w:color w:val="000000"/>
          <w:sz w:val="20"/>
        </w:rPr>
        <w:t>2.1 Pre-EPC period (1 July 2025 — day before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Net monthly salary</w:t>
            </w:r>
          </w:p>
        </w:tc>
        <w:tc>
          <w:tcPr>
            <w:tcW w:type="dxa" w:w="4703"/>
          </w:tcPr>
          <w:p>
            <w:r/>
            <w:r>
              <w:rPr>
                <w:rFonts w:ascii="Calibri" w:hAnsi="Calibri"/>
                <w:b w:val="0"/>
                <w:i w:val="0"/>
                <w:color w:val="000000"/>
                <w:sz w:val="18"/>
              </w:rPr>
              <w:t>€2,000 per calendar month</w:t>
            </w:r>
          </w:p>
        </w:tc>
      </w:tr>
      <w:tr>
        <w:tc>
          <w:tcPr>
            <w:tcW w:type="dxa" w:w="4703"/>
          </w:tcPr>
          <w:p>
            <w:r/>
            <w:r>
              <w:rPr>
                <w:rFonts w:ascii="Calibri" w:hAnsi="Calibri"/>
                <w:b w:val="0"/>
                <w:i w:val="0"/>
                <w:color w:val="000000"/>
                <w:sz w:val="18"/>
              </w:rPr>
              <w:t>Payment date</w:t>
            </w:r>
          </w:p>
        </w:tc>
        <w:tc>
          <w:tcPr>
            <w:tcW w:type="dxa" w:w="4703"/>
          </w:tcPr>
          <w:p>
            <w:r/>
            <w:r>
              <w:rPr>
                <w:rFonts w:ascii="Calibri" w:hAnsi="Calibri"/>
                <w:b w:val="0"/>
                <w:i w:val="0"/>
                <w:color w:val="000000"/>
                <w:sz w:val="18"/>
              </w:rPr>
              <w:t>By the 28th of each month (or last banking day)</w:t>
            </w:r>
          </w:p>
        </w:tc>
      </w:tr>
      <w:tr>
        <w:tc>
          <w:tcPr>
            <w:tcW w:type="dxa" w:w="4703"/>
          </w:tcPr>
          <w:p>
            <w:r/>
            <w:r>
              <w:rPr>
                <w:rFonts w:ascii="Calibri" w:hAnsi="Calibri"/>
                <w:b w:val="0"/>
                <w:i w:val="0"/>
                <w:color w:val="000000"/>
                <w:sz w:val="18"/>
              </w:rPr>
              <w:t>Ratification</w:t>
            </w:r>
          </w:p>
        </w:tc>
        <w:tc>
          <w:tcPr>
            <w:tcW w:type="dxa" w:w="4703"/>
          </w:tcPr>
          <w:p>
            <w:r/>
            <w:r>
              <w:rPr>
                <w:rFonts w:ascii="Calibri" w:hAnsi="Calibri"/>
                <w:b w:val="0"/>
                <w:i w:val="0"/>
                <w:color w:val="000000"/>
                <w:sz w:val="18"/>
              </w:rPr>
              <w:t>Shareholder resolution ratifies payments made at this rate from 1 July 2025</w:t>
            </w:r>
          </w:p>
        </w:tc>
      </w:tr>
    </w:tbl>
    <w:p/>
    <w:p>
      <w:pPr>
        <w:jc w:val="both"/>
      </w:pPr>
      <w:r>
        <w:rPr>
          <w:rFonts w:ascii="Calibri" w:hAnsi="Calibri"/>
          <w:b w:val="0"/>
          <w:i w:val="0"/>
          <w:color w:val="000000"/>
          <w:sz w:val="20"/>
        </w:rPr>
        <w:t>The Employer shall operate PAYE and social insurance on the gross equivalent of €2,000 net as determined by the Company’s payroll adviser for each pay period. Payslips shall show gross, deductions, and net.</w:t>
      </w:r>
    </w:p>
    <w:p>
      <w:pPr>
        <w:jc w:val="both"/>
      </w:pPr>
      <w:r>
        <w:rPr>
          <w:rFonts w:ascii="Calibri" w:hAnsi="Calibri"/>
          <w:b w:val="0"/>
          <w:i w:val="0"/>
          <w:color w:val="000000"/>
          <w:sz w:val="20"/>
        </w:rPr>
        <w:t>2.1A Payroll reconciliation (before execution): Ratification of historic payments is not sufficient for tax compliance. Before this Agreement is executed, the Company’s payroll adviser shall provide a written reconciliation of all managing director remuneration from 1 July 2025 to the execution date (gross amounts, PAYE, social insurance, and any arrears). Any underpayment shall be remedied through corrected payroll filings and payments before Galascope EPC signing where practicable.</w:t>
      </w:r>
    </w:p>
    <w:p>
      <w:pPr>
        <w:jc w:val="both"/>
      </w:pPr>
      <w:r>
        <w:rPr>
          <w:rFonts w:ascii="Calibri" w:hAnsi="Calibri"/>
          <w:b/>
          <w:i w:val="0"/>
          <w:color w:val="000000"/>
          <w:sz w:val="20"/>
        </w:rPr>
        <w:t>2.2 From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Gross monthly salary</w:t>
            </w:r>
          </w:p>
        </w:tc>
        <w:tc>
          <w:tcPr>
            <w:tcW w:type="dxa" w:w="4703"/>
          </w:tcPr>
          <w:p>
            <w:r/>
            <w:r>
              <w:rPr>
                <w:rFonts w:ascii="Calibri" w:hAnsi="Calibri"/>
                <w:b w:val="0"/>
                <w:i w:val="0"/>
                <w:color w:val="000000"/>
                <w:sz w:val="18"/>
              </w:rPr>
              <w:t>€5,000 per calendar month</w:t>
            </w:r>
          </w:p>
        </w:tc>
      </w:tr>
      <w:tr>
        <w:tc>
          <w:tcPr>
            <w:tcW w:type="dxa" w:w="4703"/>
          </w:tcPr>
          <w:p>
            <w:r/>
            <w:r>
              <w:rPr>
                <w:rFonts w:ascii="Calibri" w:hAnsi="Calibri"/>
                <w:b w:val="0"/>
                <w:i w:val="0"/>
                <w:color w:val="000000"/>
                <w:sz w:val="18"/>
              </w:rPr>
              <w:t>Trigger</w:t>
            </w:r>
          </w:p>
        </w:tc>
        <w:tc>
          <w:tcPr>
            <w:tcW w:type="dxa" w:w="4703"/>
          </w:tcPr>
          <w:p>
            <w:r/>
            <w:r>
              <w:rPr>
                <w:rFonts w:ascii="Calibri" w:hAnsi="Calibri"/>
                <w:b w:val="0"/>
                <w:i w:val="0"/>
                <w:color w:val="000000"/>
                <w:sz w:val="18"/>
              </w:rPr>
              <w:t>Galascope EPC Effective Date — Galascope Ltd EPC (ref LCY-EPC-GAL-B1-2026 or successor) signed and stamped by both Lighthief Cyprus Ltd and Galascope Ltd</w:t>
            </w:r>
          </w:p>
        </w:tc>
      </w:tr>
      <w:tr>
        <w:tc>
          <w:tcPr>
            <w:tcW w:type="dxa" w:w="4703"/>
          </w:tcPr>
          <w:p>
            <w:r/>
            <w:r>
              <w:rPr>
                <w:rFonts w:ascii="Calibri" w:hAnsi="Calibri"/>
                <w:b w:val="0"/>
                <w:i w:val="0"/>
                <w:color w:val="000000"/>
                <w:sz w:val="18"/>
              </w:rPr>
              <w:t>First €5,000 month</w:t>
            </w:r>
          </w:p>
        </w:tc>
        <w:tc>
          <w:tcPr>
            <w:tcW w:type="dxa" w:w="4703"/>
          </w:tcPr>
          <w:p>
            <w:r/>
            <w:r>
              <w:rPr>
                <w:rFonts w:ascii="Calibri" w:hAnsi="Calibri"/>
                <w:b w:val="0"/>
                <w:i w:val="0"/>
                <w:color w:val="000000"/>
                <w:sz w:val="18"/>
              </w:rPr>
              <w:t>Pro-rata or full month from Effective Date — [as counsel advises]</w:t>
            </w:r>
          </w:p>
        </w:tc>
      </w:tr>
    </w:tbl>
    <w:p/>
    <w:p>
      <w:pPr>
        <w:jc w:val="both"/>
      </w:pPr>
      <w:r>
        <w:rPr>
          <w:rFonts w:ascii="Calibri" w:hAnsi="Calibri"/>
          <w:b w:val="0"/>
          <w:i w:val="0"/>
          <w:color w:val="000000"/>
          <w:sz w:val="20"/>
        </w:rPr>
        <w:t>2.3 No duplication. Salary is not commission, introducer fee, or success fee. No amount payable under the Moi Ostrov agreement or equity side letter shall reduce salary unless expressly agreed in writing.</w:t>
      </w:r>
    </w:p>
    <w:p>
      <w:pPr>
        <w:jc w:val="both"/>
      </w:pPr>
      <w:r>
        <w:rPr>
          <w:rFonts w:ascii="Calibri" w:hAnsi="Calibri"/>
          <w:b/>
          <w:i w:val="0"/>
          <w:color w:val="000000"/>
          <w:sz w:val="20"/>
        </w:rPr>
        <w:t>2.4 Benefits. [Statutory minimums only / specify medical, car, phone — as agreed]</w:t>
      </w:r>
    </w:p>
    <w:p>
      <w:pPr>
        <w:jc w:val="both"/>
      </w:pPr>
      <w:r>
        <w:rPr>
          <w:rFonts w:ascii="Calibri" w:hAnsi="Calibri"/>
          <w:b w:val="0"/>
          <w:i w:val="0"/>
          <w:color w:val="000000"/>
          <w:sz w:val="20"/>
        </w:rPr>
        <w:t>2.5 Expenses. Reasonable business expenses reimbursed on submission of receipts per Company policy.</w:t>
      </w:r>
    </w:p>
    <w:p>
      <w:pPr>
        <w:spacing w:before="240"/>
      </w:pPr>
      <w:r>
        <w:rPr>
          <w:rFonts w:ascii="Calibri" w:hAnsi="Calibri"/>
          <w:b/>
          <w:i w:val="0"/>
          <w:color w:val="C9A432"/>
          <w:sz w:val="24"/>
        </w:rPr>
        <w:t>3. Hours and place of work</w:t>
      </w:r>
    </w:p>
    <w:p>
      <w:pPr>
        <w:jc w:val="both"/>
      </w:pPr>
      <w:r>
        <w:rPr>
          <w:rFonts w:ascii="Calibri" w:hAnsi="Calibri"/>
          <w:b w:val="0"/>
          <w:i w:val="0"/>
          <w:color w:val="000000"/>
          <w:sz w:val="20"/>
        </w:rPr>
        <w:t>3.1 Full-time executive role. Hours as required for the proper performance of duties.</w:t>
      </w:r>
    </w:p>
    <w:p>
      <w:pPr>
        <w:jc w:val="both"/>
      </w:pPr>
      <w:r>
        <w:rPr>
          <w:rFonts w:ascii="Calibri" w:hAnsi="Calibri"/>
          <w:b w:val="0"/>
          <w:i w:val="0"/>
          <w:color w:val="000000"/>
          <w:sz w:val="20"/>
        </w:rPr>
        <w:t>3.2 Principal place of work: Company office, Limassol, Cyprus, and client/project sites as required.</w:t>
      </w:r>
    </w:p>
    <w:p>
      <w:pPr>
        <w:spacing w:before="240"/>
      </w:pPr>
      <w:r>
        <w:rPr>
          <w:rFonts w:ascii="Calibri" w:hAnsi="Calibri"/>
          <w:b/>
          <w:i w:val="0"/>
          <w:color w:val="C9A432"/>
          <w:sz w:val="24"/>
        </w:rPr>
        <w:t>4. Holiday, sick leave, and statutory entitlements</w:t>
      </w:r>
    </w:p>
    <w:p>
      <w:pPr>
        <w:jc w:val="both"/>
      </w:pPr>
      <w:r>
        <w:rPr>
          <w:rFonts w:ascii="Calibri" w:hAnsi="Calibri"/>
          <w:b w:val="0"/>
          <w:i w:val="0"/>
          <w:color w:val="000000"/>
          <w:sz w:val="20"/>
        </w:rPr>
        <w:t>As per Cyprus law and Company policy — [counsel to insert minimum statutory entitlements].</w:t>
      </w:r>
    </w:p>
    <w:p>
      <w:pPr>
        <w:spacing w:before="240"/>
      </w:pPr>
      <w:r>
        <w:rPr>
          <w:rFonts w:ascii="Calibri" w:hAnsi="Calibri"/>
          <w:b/>
          <w:i w:val="0"/>
          <w:color w:val="C9A432"/>
          <w:sz w:val="24"/>
        </w:rPr>
        <w:t>5. Confidentiality and intellectual property</w:t>
      </w:r>
    </w:p>
    <w:p>
      <w:pPr>
        <w:jc w:val="both"/>
      </w:pPr>
      <w:r>
        <w:rPr>
          <w:rFonts w:ascii="Calibri" w:hAnsi="Calibri"/>
          <w:b w:val="0"/>
          <w:i w:val="0"/>
          <w:color w:val="000000"/>
          <w:sz w:val="20"/>
        </w:rPr>
        <w:t>5.1 Employee shall keep confidential all Company, client, and commercial information.</w:t>
      </w:r>
    </w:p>
    <w:p>
      <w:pPr>
        <w:jc w:val="both"/>
      </w:pPr>
      <w:r>
        <w:rPr>
          <w:rFonts w:ascii="Calibri" w:hAnsi="Calibri"/>
          <w:b w:val="0"/>
          <w:i w:val="0"/>
          <w:color w:val="000000"/>
          <w:sz w:val="20"/>
        </w:rPr>
        <w:t>5.2 All work product, client relationships developed in role, pipeline data, proposals, and deliverables belong to the Company.</w:t>
      </w:r>
    </w:p>
    <w:p>
      <w:pPr>
        <w:spacing w:before="240"/>
      </w:pPr>
      <w:r>
        <w:rPr>
          <w:rFonts w:ascii="Calibri" w:hAnsi="Calibri"/>
          <w:b/>
          <w:i w:val="0"/>
          <w:color w:val="C9A432"/>
          <w:sz w:val="24"/>
        </w:rPr>
        <w:t>6. Termination</w:t>
      </w:r>
    </w:p>
    <w:p>
      <w:pPr>
        <w:jc w:val="both"/>
      </w:pPr>
      <w:r>
        <w:rPr>
          <w:rFonts w:ascii="Calibri" w:hAnsi="Calibri"/>
          <w:b w:val="0"/>
          <w:i w:val="0"/>
          <w:color w:val="000000"/>
          <w:sz w:val="20"/>
        </w:rPr>
        <w:t>6.1 After any probation period [___], either Party may terminate on [three (3) months’] written notice unless summary dismissal applies under law.</w:t>
      </w:r>
    </w:p>
    <w:p>
      <w:pPr>
        <w:jc w:val="both"/>
      </w:pPr>
      <w:r>
        <w:rPr>
          <w:rFonts w:ascii="Calibri" w:hAnsi="Calibri"/>
          <w:b w:val="0"/>
          <w:i w:val="0"/>
          <w:color w:val="000000"/>
          <w:sz w:val="20"/>
        </w:rPr>
        <w:t>6.2 Good Reason (for cross-reference with equity side letter): material reduction in salary without consent; material breach by Company of this Agreement; material diminution of duties inconsistent with MD role — [counsel to expand].</w:t>
      </w:r>
    </w:p>
    <w:p>
      <w:pPr>
        <w:jc w:val="both"/>
      </w:pPr>
      <w:r>
        <w:rPr>
          <w:rFonts w:ascii="Calibri" w:hAnsi="Calibri"/>
          <w:b w:val="0"/>
          <w:i w:val="0"/>
          <w:color w:val="000000"/>
          <w:sz w:val="20"/>
        </w:rPr>
        <w:t>6.3 On termination, accrued salary and statutory entitlements are payable. Introducer fees on signed contracts survive per Moi Ostrov agreement.</w:t>
      </w:r>
    </w:p>
    <w:p>
      <w:pPr>
        <w:spacing w:before="240"/>
      </w:pPr>
      <w:r>
        <w:rPr>
          <w:rFonts w:ascii="Calibri" w:hAnsi="Calibri"/>
          <w:b/>
          <w:i w:val="0"/>
          <w:color w:val="C9A432"/>
          <w:sz w:val="24"/>
        </w:rPr>
        <w:t>7. Conflict of interest and related-party approval</w:t>
      </w:r>
    </w:p>
    <w:p>
      <w:pPr>
        <w:jc w:val="both"/>
      </w:pPr>
      <w:r>
        <w:rPr>
          <w:rFonts w:ascii="Calibri" w:hAnsi="Calibri"/>
          <w:b w:val="0"/>
          <w:i w:val="0"/>
          <w:color w:val="000000"/>
          <w:sz w:val="20"/>
        </w:rPr>
        <w:t>7.1 The Employee discloses his directorship of Moi Ostrov Ltd and any other interests per Section 191, Cap. 113.</w:t>
      </w:r>
    </w:p>
    <w:p>
      <w:pPr>
        <w:jc w:val="both"/>
      </w:pPr>
      <w:r>
        <w:rPr>
          <w:rFonts w:ascii="Calibri" w:hAnsi="Calibri"/>
          <w:b w:val="0"/>
          <w:i w:val="0"/>
          <w:color w:val="000000"/>
          <w:sz w:val="20"/>
        </w:rPr>
        <w:t>7.2 This Agreement was approved by the Shareholder as a related-party transaction. The Employee shall not participate in board deliberations on his own remuneration except to provide information.</w:t>
      </w:r>
    </w:p>
    <w:p>
      <w:pPr>
        <w:spacing w:before="240"/>
      </w:pPr>
      <w:r>
        <w:rPr>
          <w:rFonts w:ascii="Calibri" w:hAnsi="Calibri"/>
          <w:b/>
          <w:i w:val="0"/>
          <w:color w:val="C9A432"/>
          <w:sz w:val="24"/>
        </w:rPr>
        <w:t>8. General</w:t>
      </w:r>
    </w:p>
    <w:p>
      <w:pPr>
        <w:jc w:val="both"/>
      </w:pPr>
      <w:r>
        <w:rPr>
          <w:rFonts w:ascii="Calibri" w:hAnsi="Calibri"/>
          <w:b w:val="0"/>
          <w:i w:val="0"/>
          <w:color w:val="000000"/>
          <w:sz w:val="20"/>
        </w:rPr>
        <w:t>8.1 Entire agreement for employment terms. Other instruments (Moi Ostrov, side letter, Option A loan) are separate.</w:t>
      </w:r>
    </w:p>
    <w:p>
      <w:pPr>
        <w:jc w:val="both"/>
      </w:pPr>
      <w:r>
        <w:rPr>
          <w:rFonts w:ascii="Calibri" w:hAnsi="Calibri"/>
          <w:b w:val="0"/>
          <w:i w:val="0"/>
          <w:color w:val="000000"/>
          <w:sz w:val="20"/>
        </w:rPr>
        <w:t>8.2 Amendments in writing signed by both Parties and, if counsel requires, Shareholder consent.</w:t>
      </w:r>
    </w:p>
    <w:p>
      <w:pPr>
        <w:jc w:val="both"/>
      </w:pPr>
      <w:r>
        <w:rPr>
          <w:rFonts w:ascii="Calibri" w:hAnsi="Calibri"/>
          <w:b w:val="0"/>
          <w:i w:val="0"/>
          <w:color w:val="000000"/>
          <w:sz w:val="20"/>
        </w:rPr>
        <w:t>8.3 Notices: office@lighthief.com (Company); al@moiostrov.com (Employee).</w:t>
      </w:r>
    </w:p>
    <w:p>
      <w:pPr>
        <w:jc w:val="both"/>
      </w:pPr>
      <w:r>
        <w:rPr>
          <w:rFonts w:ascii="Calibri" w:hAnsi="Calibri"/>
          <w:b w:val="0"/>
          <w:i w:val="0"/>
          <w:color w:val="000000"/>
          <w:sz w:val="20"/>
        </w:rPr>
        <w:t>8.4 Director and secretary protections. The Employee serves as a director and company secretary of the Company in addition to this employment. The Company’s obligations under the Director &amp; Officer Protections deed (LCY-DIR-IND-2026-001), including D&amp;O insurance and Cap. 113 indemnity, apply to the Employee in those capacities. Termination of employment does not automatically terminate office; protections survive cessation of each role as stated in that deed.</w:t>
      </w:r>
    </w:p>
    <w:p>
      <w:pPr>
        <w:jc w:val="both"/>
      </w:pPr>
      <w:r>
        <w:rPr>
          <w:rFonts w:ascii="Calibri" w:hAnsi="Calibri"/>
          <w:b w:val="0"/>
          <w:i w:val="0"/>
          <w:color w:val="000000"/>
          <w:sz w:val="20"/>
        </w:rPr>
        <w:t>8.5 Employee duties under this Agreement are distinct from fiduciary duties as director. The Employee shall comply with Section 191, Cap. 113, and recuse from board decisions on his own remuneration except to provide information.</w:t>
      </w:r>
    </w:p>
    <w:p>
      <w:pPr>
        <w:spacing w:before="240"/>
      </w:pPr>
      <w:r>
        <w:rPr>
          <w:rFonts w:ascii="Calibri" w:hAnsi="Calibri"/>
          <w:b/>
          <w:i w:val="0"/>
          <w:color w:val="C9A432"/>
          <w:sz w:val="24"/>
        </w:rPr>
        <w:t>9.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Employer — Lighthief Cyprus Ltd (HE 477423)</w:t>
            </w:r>
          </w:p>
        </w:tc>
        <w:tc>
          <w:tcPr>
            <w:tcW w:type="dxa" w:w="3135"/>
          </w:tcPr>
          <w:p>
            <w:r/>
            <w:r>
              <w:rPr>
                <w:rFonts w:ascii="Calibri" w:hAnsi="Calibri"/>
                <w:b w:val="0"/>
                <w:i w:val="0"/>
                <w:color w:val="000000"/>
                <w:sz w:val="18"/>
              </w:rPr>
              <w:t>Alexander Papacosta, Director *(authorised by Shareholder resolution)*</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Employee</w:t>
            </w:r>
          </w:p>
        </w:tc>
        <w:tc>
          <w:tcPr>
            <w:tcW w:type="dxa" w:w="3135"/>
          </w:tcPr>
          <w:p>
            <w:r/>
            <w:r>
              <w:rPr>
                <w:rFonts w:ascii="Calibri" w:hAnsi="Calibri"/>
                <w:b w:val="0"/>
                <w:i w:val="0"/>
                <w:color w:val="000000"/>
                <w:sz w:val="18"/>
              </w:rPr>
              <w:t>Alexander Papacosta (Cyprus ID: 1241318)</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Annex A: Job description summary (optional)</w:t>
      </w:r>
    </w:p>
    <w:p>
      <w:pPr>
        <w:jc w:val="both"/>
      </w:pPr>
      <w:r>
        <w:rPr>
          <w:rFonts w:ascii="Calibri" w:hAnsi="Calibri"/>
          <w:b w:val="0"/>
          <w:i w:val="0"/>
          <w:color w:val="000000"/>
          <w:sz w:val="20"/>
        </w:rPr>
        <w:t>Annex B: Shareholder written resolution approving and ratifying this Agreement (LCY-SHR-EMP-2026-001)</w:t>
      </w:r>
    </w:p>
    <w:p>
      <w:pPr>
        <w:jc w:val="both"/>
      </w:pPr>
      <w:r>
        <w:rPr>
          <w:rFonts w:ascii="Calibri" w:hAnsi="Calibri"/>
          <w:b w:val="0"/>
          <w:i w:val="0"/>
          <w:color w:val="000000"/>
          <w:sz w:val="20"/>
        </w:rPr>
        <w:t>End of draft — not legal advice. Payroll adviser must confirm gross equivalents for €2,000 net periods.</w:t>
      </w:r>
    </w:p>
    <w:p/>
    <w:p>
      <w:r>
        <w:rPr>
          <w:rFonts w:ascii="Calibri" w:hAnsi="Calibri"/>
          <w:b/>
          <w:i w:val="0"/>
          <w:color w:val="C9A432"/>
          <w:sz w:val="24"/>
        </w:rPr>
        <w:t>SIGNATURES</w:t>
      </w:r>
    </w:p>
    <w:p/>
    <w:p>
      <w:r>
        <w:rPr>
          <w:rFonts w:ascii="Calibri" w:hAnsi="Calibri"/>
          <w:b/>
          <w:i w:val="0"/>
          <w:color w:val="000000"/>
          <w:sz w:val="20"/>
        </w:rPr>
        <w:t>Employer — Lighthief Cyprus Ltd (authorised by shareholder resolution)</w:t>
      </w:r>
    </w:p>
    <w:p>
      <w:r>
        <w:rPr>
          <w:rFonts w:ascii="Calibri" w:hAnsi="Calibri"/>
          <w:b w:val="0"/>
          <w:i w:val="0"/>
          <w:color w:val="000000"/>
          <w:sz w:val="20"/>
        </w:rPr>
        <w:t>Signature: ______________________   Date: ______________________</w:t>
      </w:r>
    </w:p>
    <w:p/>
    <w:p>
      <w:r>
        <w:rPr>
          <w:rFonts w:ascii="Calibri" w:hAnsi="Calibri"/>
          <w:b/>
          <w:i w:val="0"/>
          <w:color w:val="000000"/>
          <w:sz w:val="20"/>
        </w:rPr>
        <w:t>Employee — Alexander Papacosta (Cyprus ID: 1241318)</w:t>
      </w:r>
    </w:p>
    <w:p>
      <w:r>
        <w:rPr>
          <w:rFonts w:ascii="Calibri" w:hAnsi="Calibri"/>
          <w:b w:val="0"/>
          <w:i w:val="0"/>
          <w:color w:val="000000"/>
          <w:sz w:val="20"/>
        </w:rPr>
        <w:t>Signature: ______________________   Date: ______________________</w:t>
      </w:r>
    </w:p>
    <w:p>
      <w:pPr>
        <w:sectPr>
          <w:footerReference w:type="default" r:id="rId22"/>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APPROVAL OF MD EMPLOYMENT</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LCY-SHR-EMP-2026-001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jc w:val="both"/>
      </w:pPr>
      <w:r>
        <w:rPr>
          <w:rFonts w:ascii="Calibri" w:hAnsi="Calibri"/>
          <w:b w:val="0"/>
          <w:i w:val="0"/>
          <w:color w:val="000000"/>
          <w:sz w:val="20"/>
        </w:rPr>
        <w:t>UBO: Dr. Arkadiusz Sybaris</w:t>
      </w:r>
    </w:p>
    <w:p>
      <w:pPr>
        <w:jc w:val="both"/>
      </w:pPr>
      <w:r>
        <w:rPr>
          <w:rFonts w:ascii="Calibri" w:hAnsi="Calibri"/>
          <w:b w:val="0"/>
          <w:i w:val="0"/>
          <w:color w:val="000000"/>
          <w:sz w:val="20"/>
        </w:rPr>
        <w:t>Passed in accordance with Section 135, Cyprus Companies Law, Cap. 113.</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of Lighthief Cyprus Ltd (the “Company”) hereby resolves:</w:t>
      </w:r>
    </w:p>
    <w:p>
      <w:pPr>
        <w:jc w:val="both"/>
      </w:pPr>
      <w:r>
        <w:rPr>
          <w:rFonts w:ascii="Calibri" w:hAnsi="Calibri"/>
          <w:b w:val="0"/>
          <w:i w:val="0"/>
          <w:color w:val="000000"/>
          <w:sz w:val="20"/>
        </w:rPr>
        <w:t>1. Approval of employment. The Contract of Employment between the Company and Alexander Papacosta (Cyprus ID: 1241318) as Managing Director, reference LCY-EMP-AP-2026-001 (the “Employment Agreement”), is approved and ratified in its entirety.</w:t>
      </w:r>
    </w:p>
    <w:p>
      <w:pPr>
        <w:jc w:val="both"/>
      </w:pPr>
      <w:r>
        <w:rPr>
          <w:rFonts w:ascii="Calibri" w:hAnsi="Calibri"/>
          <w:b w:val="0"/>
          <w:i w:val="0"/>
          <w:color w:val="000000"/>
          <w:sz w:val="20"/>
        </w:rPr>
        <w:t>2. Remuneration terms. The Shareholder approves: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Period</w:t>
            </w:r>
          </w:p>
        </w:tc>
        <w:tc>
          <w:tcPr>
            <w:tcW w:type="dxa" w:w="4703"/>
            <w:shd w:fill="1A365D" w:val="clear"/>
          </w:tcPr>
          <w:p>
            <w:r/>
            <w:r>
              <w:rPr>
                <w:rFonts w:ascii="Calibri" w:hAnsi="Calibri"/>
                <w:b/>
                <w:i w:val="0"/>
                <w:color w:val="FFFFFF"/>
                <w:sz w:val="18"/>
              </w:rPr>
              <w:t>Remuneration</w:t>
            </w:r>
          </w:p>
        </w:tc>
      </w:tr>
      <w:tr>
        <w:tc>
          <w:tcPr>
            <w:tcW w:type="dxa" w:w="4703"/>
          </w:tcPr>
          <w:p>
            <w:r/>
            <w:r>
              <w:rPr>
                <w:rFonts w:ascii="Calibri" w:hAnsi="Calibri"/>
                <w:b w:val="0"/>
                <w:i w:val="0"/>
                <w:color w:val="000000"/>
                <w:sz w:val="18"/>
              </w:rPr>
              <w:t>From 1 July 2025 until the day before Galascope EPC Effective Date</w:t>
            </w:r>
          </w:p>
        </w:tc>
        <w:tc>
          <w:tcPr>
            <w:tcW w:type="dxa" w:w="4703"/>
          </w:tcPr>
          <w:p>
            <w:r/>
            <w:r>
              <w:rPr>
                <w:rFonts w:ascii="Calibri" w:hAnsi="Calibri"/>
                <w:b w:val="0"/>
                <w:i w:val="0"/>
                <w:color w:val="000000"/>
                <w:sz w:val="18"/>
              </w:rPr>
              <w:t>€2,000 net per month (with PAYE/NIS on gross equivalent per payroll adviser)</w:t>
            </w:r>
          </w:p>
        </w:tc>
      </w:tr>
      <w:tr>
        <w:tc>
          <w:tcPr>
            <w:tcW w:type="dxa" w:w="4703"/>
          </w:tcPr>
          <w:p>
            <w:r/>
            <w:r>
              <w:rPr>
                <w:rFonts w:ascii="Calibri" w:hAnsi="Calibri"/>
                <w:b w:val="0"/>
                <w:i w:val="0"/>
                <w:color w:val="000000"/>
                <w:sz w:val="18"/>
              </w:rPr>
              <w:t>From Galascope EPC Effective Date</w:t>
            </w:r>
          </w:p>
        </w:tc>
        <w:tc>
          <w:tcPr>
            <w:tcW w:type="dxa" w:w="4703"/>
          </w:tcPr>
          <w:p>
            <w:r/>
            <w:r>
              <w:rPr>
                <w:rFonts w:ascii="Calibri" w:hAnsi="Calibri"/>
                <w:b w:val="0"/>
                <w:i w:val="0"/>
                <w:color w:val="000000"/>
                <w:sz w:val="18"/>
              </w:rPr>
              <w:t>€5,000 gross per month</w:t>
            </w:r>
          </w:p>
        </w:tc>
      </w:tr>
    </w:tbl>
    <w:p/>
    <w:p>
      <w:pPr>
        <w:jc w:val="both"/>
      </w:pPr>
      <w:r>
        <w:rPr>
          <w:rFonts w:ascii="Calibri" w:hAnsi="Calibri"/>
          <w:b w:val="0"/>
          <w:i w:val="0"/>
          <w:color w:val="000000"/>
          <w:sz w:val="20"/>
        </w:rPr>
        <w:t>Galascope EPC Effective Date means the date on which the Galascope Ltd BESS EPC contract (LCY-EPC-GAL-B1-2026 or successor) is signed and stamped by both the Company and Galascope Ltd.</w:t>
      </w:r>
    </w:p>
    <w:p>
      <w:pPr>
        <w:jc w:val="both"/>
      </w:pPr>
      <w:r>
        <w:rPr>
          <w:rFonts w:ascii="Calibri" w:hAnsi="Calibri"/>
          <w:b w:val="0"/>
          <w:i w:val="0"/>
          <w:color w:val="000000"/>
          <w:sz w:val="20"/>
        </w:rPr>
        <w:t>3. Ratification and payroll reconciliation. The Shareholder ratifies managing director remuneration paid at €2,000 net per month for the period 1 July 2025 to the date of this Resolution. Ratification alone does not satisfy tax or social-insurance obligations. The Director shall cause the Company’s payroll adviser to reconcile historic PAYE and NIS for that period and remediate any underpayment before execution of the Employment Agreement where practicable.</w:t>
      </w:r>
    </w:p>
    <w:p>
      <w:pPr>
        <w:jc w:val="both"/>
      </w:pPr>
      <w:r>
        <w:rPr>
          <w:rFonts w:ascii="Calibri" w:hAnsi="Calibri"/>
          <w:b w:val="0"/>
          <w:i w:val="0"/>
          <w:color w:val="000000"/>
          <w:sz w:val="20"/>
        </w:rPr>
        <w:t>4. Related-party / conflict waiver. The Shareholder acknowledges that Alexander Papacosta is a director of the Company and will be party to the Employment Agreement as Employee. The Shareholder has considered the conflict of interest and waives objection, confirming the terms are in the Company’s commercial interests given the Employee’s executive role in building and delivering the Cyprus BESS platform.</w:t>
      </w:r>
    </w:p>
    <w:p>
      <w:pPr>
        <w:jc w:val="both"/>
      </w:pPr>
      <w:r>
        <w:rPr>
          <w:rFonts w:ascii="Calibri" w:hAnsi="Calibri"/>
          <w:b w:val="0"/>
          <w:i w:val="0"/>
          <w:color w:val="000000"/>
          <w:sz w:val="20"/>
        </w:rPr>
        <w:t>5. Authority to sign. Alexander Papacosta is authorised to execute the Employment Agreement on behalf of the Company notwithstanding his interest as Employee, provided he executes separately in that capacity.</w:t>
      </w:r>
    </w:p>
    <w:p>
      <w:pPr>
        <w:jc w:val="both"/>
      </w:pPr>
      <w:r>
        <w:rPr>
          <w:rFonts w:ascii="Calibri" w:hAnsi="Calibri"/>
          <w:b w:val="0"/>
          <w:i w:val="0"/>
          <w:color w:val="000000"/>
          <w:sz w:val="20"/>
        </w:rPr>
        <w:t>6. Separate from introducer fee. The Shareholder acknowledges that introducer / consultancy fees under the Moi Ostrov agreement (LCY-MOI-TOCA-2026-001) and any equity side letter are separate from employment salary and shall not be set off against salary without written consent.</w:t>
      </w:r>
    </w:p>
    <w:p>
      <w:pPr>
        <w:jc w:val="both"/>
      </w:pPr>
      <w:r>
        <w:rPr>
          <w:rFonts w:ascii="Calibri" w:hAnsi="Calibri"/>
          <w:b w:val="0"/>
          <w:i w:val="0"/>
          <w:color w:val="000000"/>
          <w:sz w:val="20"/>
        </w:rPr>
        <w:t>7. Filing. The Company Secretary shall file this Resolution with the statutory books.</w:t>
      </w:r>
    </w:p>
    <w:p>
      <w:pPr>
        <w:spacing w:before="240"/>
      </w:pPr>
      <w:r>
        <w:rPr>
          <w:rFonts w:ascii="Calibri" w:hAnsi="Calibri"/>
          <w:b/>
          <w:i w:val="0"/>
          <w:color w:val="C9A432"/>
          <w:sz w:val="24"/>
        </w:rPr>
        <w:t>Signature — Sole Shareholder</w:t>
      </w:r>
    </w:p>
    <w:p>
      <w:pPr>
        <w:jc w:val="both"/>
      </w:pPr>
      <w:r>
        <w:rPr>
          <w:rFonts w:ascii="Calibri" w:hAnsi="Calibri"/>
          <w:b w:val="0"/>
          <w:i w:val="0"/>
          <w:color w:val="000000"/>
          <w:sz w:val="20"/>
        </w:rPr>
        <w:t>For and on behalf of LIGHTHIEF INTERNATIONAL LTD</w:t>
      </w:r>
    </w:p>
    <w:p>
      <w:pPr>
        <w:jc w:val="both"/>
      </w:pPr>
      <w:r>
        <w:rPr>
          <w:rFonts w:ascii="Calibri" w:hAnsi="Calibri"/>
          <w:b w:val="0"/>
          <w:i w:val="0"/>
          <w:color w:val="000000"/>
          <w:sz w:val="20"/>
        </w:rPr>
        <w:t>(Sole shareholder of Lighthief Cyprus Ltd)</w:t>
      </w:r>
    </w:p>
    <w:p>
      <w:pPr>
        <w:jc w:val="both"/>
      </w:pPr>
      <w:r>
        <w:rPr>
          <w:rFonts w:ascii="Calibri" w:hAnsi="Calibri"/>
          <w:b w:val="0"/>
          <w:i w:val="0"/>
          <w:color w:val="000000"/>
          <w:sz w:val="20"/>
        </w:rPr>
        <w:t>&amp;nbsp;</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required; not the Employee signing for shareholder.</w:t>
      </w:r>
    </w:p>
    <w:p>
      <w:pPr>
        <w:sectPr>
          <w:footerReference w:type="default" r:id="rId23"/>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MD EQUITY PARTICIPATION SIDE LETTER (HEADS + CLAUSE WORDING)</w:t>
      </w:r>
    </w:p>
    <w:p/>
    <w:p>
      <w:pPr>
        <w:jc w:val="both"/>
      </w:pPr>
      <w:r>
        <w:rPr>
          <w:rFonts w:ascii="Calibri" w:hAnsi="Calibri"/>
          <w:b w:val="0"/>
          <w:i w:val="0"/>
          <w:color w:val="000000"/>
          <w:sz w:val="20"/>
        </w:rPr>
        <w:t>Status: TEMPLATE — Cyprus legal review required before signature</w:t>
      </w:r>
    </w:p>
    <w:p>
      <w:pPr>
        <w:jc w:val="both"/>
      </w:pPr>
      <w:r>
        <w:rPr>
          <w:rFonts w:ascii="Calibri" w:hAnsi="Calibri"/>
          <w:b w:val="0"/>
          <w:i w:val="0"/>
          <w:color w:val="000000"/>
          <w:sz w:val="20"/>
        </w:rPr>
        <w:t>Ref: LCY-MD-EQ-2026-001</w:t>
      </w:r>
    </w:p>
    <w:p>
      <w:pPr>
        <w:jc w:val="both"/>
      </w:pPr>
      <w:r>
        <w:rPr>
          <w:rFonts w:ascii="Calibri" w:hAnsi="Calibri"/>
          <w:b w:val="0"/>
          <w:i w:val="0"/>
          <w:color w:val="000000"/>
          <w:sz w:val="20"/>
        </w:rPr>
        <w:t>Parties: Dr. Arkadiusz Sybaris / Lighthief International Ltd (“Founder”) · Lighthief Cyprus Ltd (“Company”) · Alexander Papacosta (“MD”)</w:t>
      </w:r>
    </w:p>
    <w:p>
      <w:pPr>
        <w:jc w:val="both"/>
      </w:pPr>
      <w:r>
        <w:rPr>
          <w:rFonts w:ascii="Calibri" w:hAnsi="Calibri"/>
          <w:b w:val="0"/>
          <w:i w:val="0"/>
          <w:color w:val="000000"/>
          <w:sz w:val="20"/>
        </w:rPr>
        <w:t>Purpose: Convert founder’s May 2026 verbal package into one coherent instrument:</w:t>
      </w:r>
    </w:p>
    <w:p>
      <w:pPr>
        <w:jc w:val="both"/>
      </w:pPr>
      <w:r>
        <w:rPr>
          <w:rFonts w:ascii="Calibri" w:hAnsi="Calibri"/>
          <w:b w:val="0"/>
          <w:i w:val="0"/>
          <w:color w:val="000000"/>
          <w:sz w:val="20"/>
        </w:rPr>
        <w:t>1. EPC Milestone Equity — 10% on Galascope EPC signing + 10% on Esperia EPC signing (up to 20% total on the delivery path).</w:t>
      </w:r>
    </w:p>
    <w:p>
      <w:pPr>
        <w:jc w:val="both"/>
      </w:pPr>
      <w:r>
        <w:rPr>
          <w:rFonts w:ascii="Calibri" w:hAnsi="Calibri"/>
          <w:b w:val="0"/>
          <w:i w:val="0"/>
          <w:color w:val="000000"/>
          <w:sz w:val="20"/>
        </w:rPr>
        <w:t>2. Share Sale Participation Fee — 30% of gross cash on each third-party Qualifying Equity Closing (Founder payor preferred).</w:t>
      </w:r>
    </w:p>
    <w:p>
      <w:pPr>
        <w:jc w:val="both"/>
      </w:pPr>
      <w:r>
        <w:rPr>
          <w:rFonts w:ascii="Calibri" w:hAnsi="Calibri"/>
          <w:b w:val="0"/>
          <w:i w:val="0"/>
          <w:color w:val="000000"/>
          <w:sz w:val="20"/>
        </w:rPr>
        <w:t>3. Investor-path equity cap — if a third-party investor closes, MD’s aggregate equity is capped at 15% fully diluted (EPC grants already issued count toward the cap).</w:t>
      </w:r>
    </w:p>
    <w:p>
      <w:pPr>
        <w:jc w:val="both"/>
      </w:pPr>
      <w:r>
        <w:rPr>
          <w:rFonts w:ascii="Calibri" w:hAnsi="Calibri"/>
          <w:b w:val="0"/>
          <w:i w:val="0"/>
          <w:color w:val="000000"/>
          <w:sz w:val="20"/>
        </w:rPr>
        <w:t>4. Three-year dividend lock from first EPC equity grant or first Qualifying Equity Closing — whichever is earlier.</w:t>
      </w:r>
    </w:p>
    <w:p>
      <w:pPr>
        <w:jc w:val="both"/>
      </w:pPr>
      <w:r>
        <w:rPr>
          <w:rFonts w:ascii="Calibri" w:hAnsi="Calibri"/>
          <w:b w:val="0"/>
          <w:i w:val="0"/>
          <w:color w:val="000000"/>
          <w:sz w:val="20"/>
        </w:rPr>
        <w:t>Separate from: Moi Ostrov commission deed (30% Net Margin on EPC operations). Different economic bases.</w:t>
      </w:r>
    </w:p>
    <w:p>
      <w:pPr>
        <w:spacing w:before="240"/>
      </w:pPr>
      <w:r>
        <w:rPr>
          <w:rFonts w:ascii="Calibri" w:hAnsi="Calibri"/>
          <w:b/>
          <w:i w:val="0"/>
          <w:color w:val="C9A432"/>
          <w:sz w:val="24"/>
        </w:rPr>
        <w:t>Recitals (counsel to adapt — contribution narrative)</w:t>
      </w:r>
    </w:p>
    <w:p>
      <w:pPr>
        <w:jc w:val="both"/>
      </w:pPr>
      <w:r>
        <w:rPr>
          <w:rFonts w:ascii="Calibri" w:hAnsi="Calibri"/>
          <w:b w:val="0"/>
          <w:i w:val="0"/>
          <w:color w:val="000000"/>
          <w:sz w:val="20"/>
        </w:rPr>
        <w:t>WHEREAS:</w:t>
      </w:r>
    </w:p>
    <w:p>
      <w:pPr>
        <w:jc w:val="both"/>
      </w:pPr>
      <w:r>
        <w:rPr>
          <w:rFonts w:ascii="Calibri" w:hAnsi="Calibri"/>
          <w:b w:val="0"/>
          <w:i w:val="0"/>
          <w:color w:val="000000"/>
          <w:sz w:val="20"/>
        </w:rPr>
        <w:t>(a) The MD has originated and manages the Company’s Cyprus BESS pipeline (including Galascope, Esperia, and the wider portfolio), such that execution of major EPC contracts is predominantly attributable to MD-led origination and delivery;</w:t>
      </w:r>
    </w:p>
    <w:p>
      <w:pPr>
        <w:jc w:val="both"/>
      </w:pPr>
      <w:r>
        <w:rPr>
          <w:rFonts w:ascii="Calibri" w:hAnsi="Calibri"/>
          <w:b w:val="0"/>
          <w:i w:val="0"/>
          <w:color w:val="000000"/>
          <w:sz w:val="20"/>
        </w:rPr>
        <w:t>(b) The Founder, through Lighthief International Ltd, has provided initial shareholder support and holds 100% of the Company prior to any MD equity grants or Qualifying Equity Closing;</w:t>
      </w:r>
    </w:p>
    <w:p>
      <w:pPr>
        <w:jc w:val="both"/>
      </w:pPr>
      <w:r>
        <w:rPr>
          <w:rFonts w:ascii="Calibri" w:hAnsi="Calibri"/>
          <w:b w:val="0"/>
          <w:i w:val="0"/>
          <w:color w:val="000000"/>
          <w:sz w:val="20"/>
        </w:rPr>
        <w:t>(c) The Founder has indicated that, on signing key EPC contracts, the MD shall receive at least 10% equity alignment per major client execution, and the Parties wish to record 10% on Galascope EPC and 10% on Esperia EPC, subject to the Investor Path Cap in Clause 4;</w:t>
      </w:r>
    </w:p>
    <w:p>
      <w:pPr>
        <w:jc w:val="both"/>
      </w:pPr>
      <w:r>
        <w:rPr>
          <w:rFonts w:ascii="Calibri" w:hAnsi="Calibri"/>
          <w:b w:val="0"/>
          <w:i w:val="0"/>
          <w:color w:val="000000"/>
          <w:sz w:val="20"/>
        </w:rPr>
        <w:t>(d) The Parties may also admit a Third Party Investor; in that case MD shall receive 30% of Gross Subscription Amount as a participation fee, while MD equity shall not exceed 15% in aggregate;</w:t>
      </w:r>
    </w:p>
    <w:p>
      <w:pPr>
        <w:jc w:val="both"/>
      </w:pPr>
      <w:r>
        <w:rPr>
          <w:rFonts w:ascii="Calibri" w:hAnsi="Calibri"/>
          <w:b w:val="0"/>
          <w:i w:val="0"/>
          <w:color w:val="000000"/>
          <w:sz w:val="20"/>
        </w:rPr>
        <w:t>(e) This Side Letter is entered into alongside the Moi Ostrov Consultancy Agreement, which governs operating margin only.</w:t>
      </w:r>
    </w:p>
    <w:p>
      <w:pPr>
        <w:spacing w:before="240"/>
      </w:pPr>
      <w:r>
        <w:rPr>
          <w:rFonts w:ascii="Calibri" w:hAnsi="Calibri"/>
          <w:b/>
          <w:i w:val="0"/>
          <w:color w:val="C9A432"/>
          <w:sz w:val="24"/>
        </w:rPr>
        <w:t>1. Definitions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Term</w:t>
            </w:r>
          </w:p>
        </w:tc>
        <w:tc>
          <w:tcPr>
            <w:tcW w:type="dxa" w:w="4703"/>
            <w:shd w:fill="1A365D" w:val="clear"/>
          </w:tcPr>
          <w:p>
            <w:r/>
            <w:r>
              <w:rPr>
                <w:rFonts w:ascii="Calibri" w:hAnsi="Calibri"/>
                <w:b/>
                <w:i w:val="0"/>
                <w:color w:val="FFFFFF"/>
                <w:sz w:val="18"/>
              </w:rPr>
              <w:t>Meaning</w:t>
            </w:r>
          </w:p>
        </w:tc>
      </w:tr>
      <w:tr>
        <w:tc>
          <w:tcPr>
            <w:tcW w:type="dxa" w:w="4703"/>
          </w:tcPr>
          <w:p>
            <w:r/>
            <w:r>
              <w:rPr>
                <w:rFonts w:ascii="Calibri" w:hAnsi="Calibri"/>
                <w:b w:val="0"/>
                <w:i w:val="0"/>
                <w:color w:val="000000"/>
                <w:sz w:val="18"/>
              </w:rPr>
              <w:t>Galascope EPC Effective Date</w:t>
            </w:r>
          </w:p>
        </w:tc>
        <w:tc>
          <w:tcPr>
            <w:tcW w:type="dxa" w:w="4703"/>
          </w:tcPr>
          <w:p>
            <w:r/>
            <w:r>
              <w:rPr>
                <w:rFonts w:ascii="Calibri" w:hAnsi="Calibri"/>
                <w:b w:val="0"/>
                <w:i w:val="0"/>
                <w:color w:val="000000"/>
                <w:sz w:val="18"/>
              </w:rPr>
              <w:t>The date on which the Galascope Ltd BESS EPC contract (ref LCY-EPC-GAL-B1-2026 or successor) is signed and stamped by both the Company and Galascope Ltd.</w:t>
            </w:r>
          </w:p>
        </w:tc>
      </w:tr>
      <w:tr>
        <w:tc>
          <w:tcPr>
            <w:tcW w:type="dxa" w:w="4703"/>
          </w:tcPr>
          <w:p>
            <w:r/>
            <w:r>
              <w:rPr>
                <w:rFonts w:ascii="Calibri" w:hAnsi="Calibri"/>
                <w:b w:val="0"/>
                <w:i w:val="0"/>
                <w:color w:val="000000"/>
                <w:sz w:val="18"/>
              </w:rPr>
              <w:t>Esperia EPC Effective Date</w:t>
            </w:r>
          </w:p>
        </w:tc>
        <w:tc>
          <w:tcPr>
            <w:tcW w:type="dxa" w:w="4703"/>
          </w:tcPr>
          <w:p>
            <w:r/>
            <w:r>
              <w:rPr>
                <w:rFonts w:ascii="Calibri" w:hAnsi="Calibri"/>
                <w:b w:val="0"/>
                <w:i w:val="0"/>
                <w:color w:val="000000"/>
                <w:sz w:val="18"/>
              </w:rPr>
              <w:t>The date on which the Esperia Energy / pipeline BESS EPC contract between the Company and Esperia Energy (or designated Esperia SPV) (ref LCY-EPC-ESP-2026 or successor) is signed and stamped by both the Company and the Esperia counterparty.</w:t>
            </w:r>
          </w:p>
        </w:tc>
      </w:tr>
      <w:tr>
        <w:tc>
          <w:tcPr>
            <w:tcW w:type="dxa" w:w="4703"/>
          </w:tcPr>
          <w:p>
            <w:r/>
            <w:r>
              <w:rPr>
                <w:rFonts w:ascii="Calibri" w:hAnsi="Calibri"/>
                <w:b w:val="0"/>
                <w:i w:val="0"/>
                <w:color w:val="000000"/>
                <w:sz w:val="18"/>
              </w:rPr>
              <w:t>EPC Milestone Grant A</w:t>
            </w:r>
          </w:p>
        </w:tc>
        <w:tc>
          <w:tcPr>
            <w:tcW w:type="dxa" w:w="4703"/>
          </w:tcPr>
          <w:p>
            <w:r/>
            <w:r>
              <w:rPr>
                <w:rFonts w:ascii="Calibri" w:hAnsi="Calibri"/>
                <w:b w:val="0"/>
                <w:i w:val="0"/>
                <w:color w:val="000000"/>
                <w:sz w:val="18"/>
              </w:rPr>
              <w:t>Allotment or transfer of ordinary shares equal to 10% of fully diluted share capital to MD (or MD Nominee) within 30 days after Galascope EPC Effective Date.</w:t>
            </w:r>
          </w:p>
        </w:tc>
      </w:tr>
      <w:tr>
        <w:tc>
          <w:tcPr>
            <w:tcW w:type="dxa" w:w="4703"/>
          </w:tcPr>
          <w:p>
            <w:r/>
            <w:r>
              <w:rPr>
                <w:rFonts w:ascii="Calibri" w:hAnsi="Calibri"/>
                <w:b w:val="0"/>
                <w:i w:val="0"/>
                <w:color w:val="000000"/>
                <w:sz w:val="18"/>
              </w:rPr>
              <w:t>EPC Milestone Grant B</w:t>
            </w:r>
          </w:p>
        </w:tc>
        <w:tc>
          <w:tcPr>
            <w:tcW w:type="dxa" w:w="4703"/>
          </w:tcPr>
          <w:p>
            <w:r/>
            <w:r>
              <w:rPr>
                <w:rFonts w:ascii="Calibri" w:hAnsi="Calibri"/>
                <w:b w:val="0"/>
                <w:i w:val="0"/>
                <w:color w:val="000000"/>
                <w:sz w:val="18"/>
              </w:rPr>
              <w:t>Allotment or transfer of ordinary shares equal to 10% of fully diluted share capital to MD (or MD Nominee) within 30 days after Esperia EPC Effective Date, subject to Clause 4.</w:t>
            </w:r>
          </w:p>
        </w:tc>
      </w:tr>
      <w:tr>
        <w:tc>
          <w:tcPr>
            <w:tcW w:type="dxa" w:w="4703"/>
          </w:tcPr>
          <w:p>
            <w:r/>
            <w:r>
              <w:rPr>
                <w:rFonts w:ascii="Calibri" w:hAnsi="Calibri"/>
                <w:b w:val="0"/>
                <w:i w:val="0"/>
                <w:color w:val="000000"/>
                <w:sz w:val="18"/>
              </w:rPr>
              <w:t>Maximum EPC Path Equity</w:t>
            </w:r>
          </w:p>
        </w:tc>
        <w:tc>
          <w:tcPr>
            <w:tcW w:type="dxa" w:w="4703"/>
          </w:tcPr>
          <w:p>
            <w:r/>
            <w:r>
              <w:rPr>
                <w:rFonts w:ascii="Calibri" w:hAnsi="Calibri"/>
                <w:b w:val="0"/>
                <w:i w:val="0"/>
                <w:color w:val="000000"/>
                <w:sz w:val="18"/>
              </w:rPr>
              <w:t>20% — the sum of EPC Milestone Grant A and B if both EPCs execute and no Investor Path Cap applies.</w:t>
            </w:r>
          </w:p>
        </w:tc>
      </w:tr>
      <w:tr>
        <w:tc>
          <w:tcPr>
            <w:tcW w:type="dxa" w:w="4703"/>
          </w:tcPr>
          <w:p>
            <w:r/>
            <w:r>
              <w:rPr>
                <w:rFonts w:ascii="Calibri" w:hAnsi="Calibri"/>
                <w:b w:val="0"/>
                <w:i w:val="0"/>
                <w:color w:val="000000"/>
                <w:sz w:val="18"/>
              </w:rPr>
              <w:t>Qualifying Equity Closing</w:t>
            </w:r>
          </w:p>
        </w:tc>
        <w:tc>
          <w:tcPr>
            <w:tcW w:type="dxa" w:w="4703"/>
          </w:tcPr>
          <w:p>
            <w:r/>
            <w:r>
              <w:rPr>
                <w:rFonts w:ascii="Calibri" w:hAnsi="Calibri"/>
                <w:b w:val="0"/>
                <w:i w:val="0"/>
                <w:color w:val="000000"/>
                <w:sz w:val="18"/>
              </w:rPr>
              <w:t>Completion of a bona fide subscription or transfer of ordinary shares to a Third Party Investor (not MD, not Founder, not any Group company) against payment of cash subscription moneys to the Company, pursuant to executed subscription / SHA documents.</w:t>
            </w:r>
          </w:p>
        </w:tc>
      </w:tr>
      <w:tr>
        <w:tc>
          <w:tcPr>
            <w:tcW w:type="dxa" w:w="4703"/>
          </w:tcPr>
          <w:p>
            <w:r/>
            <w:r>
              <w:rPr>
                <w:rFonts w:ascii="Calibri" w:hAnsi="Calibri"/>
                <w:b w:val="0"/>
                <w:i w:val="0"/>
                <w:color w:val="000000"/>
                <w:sz w:val="18"/>
              </w:rPr>
              <w:t>Gross Subscription Amount</w:t>
            </w:r>
          </w:p>
        </w:tc>
        <w:tc>
          <w:tcPr>
            <w:tcW w:type="dxa" w:w="4703"/>
          </w:tcPr>
          <w:p>
            <w:r/>
            <w:r>
              <w:rPr>
                <w:rFonts w:ascii="Calibri" w:hAnsi="Calibri"/>
                <w:b w:val="0"/>
                <w:i w:val="0"/>
                <w:color w:val="000000"/>
                <w:sz w:val="18"/>
              </w:rPr>
              <w:t>Total cash received by the Company from the Third Party Investor in respect of that Qualifying Equity Closing (excluding expense reimbursements).</w:t>
            </w:r>
          </w:p>
        </w:tc>
      </w:tr>
      <w:tr>
        <w:tc>
          <w:tcPr>
            <w:tcW w:type="dxa" w:w="4703"/>
          </w:tcPr>
          <w:p>
            <w:r/>
            <w:r>
              <w:rPr>
                <w:rFonts w:ascii="Calibri" w:hAnsi="Calibri"/>
                <w:b w:val="0"/>
                <w:i w:val="0"/>
                <w:color w:val="000000"/>
                <w:sz w:val="18"/>
              </w:rPr>
              <w:t>Share Sale Participation Fee</w:t>
            </w:r>
          </w:p>
        </w:tc>
        <w:tc>
          <w:tcPr>
            <w:tcW w:type="dxa" w:w="4703"/>
          </w:tcPr>
          <w:p>
            <w:r/>
            <w:r>
              <w:rPr>
                <w:rFonts w:ascii="Calibri" w:hAnsi="Calibri"/>
                <w:b w:val="0"/>
                <w:i w:val="0"/>
                <w:color w:val="000000"/>
                <w:sz w:val="18"/>
              </w:rPr>
              <w:t>30% of the Gross Subscription Amount for each Qualifying Equity Closing.</w:t>
            </w:r>
          </w:p>
        </w:tc>
      </w:tr>
      <w:tr>
        <w:tc>
          <w:tcPr>
            <w:tcW w:type="dxa" w:w="4703"/>
          </w:tcPr>
          <w:p>
            <w:r/>
            <w:r>
              <w:rPr>
                <w:rFonts w:ascii="Calibri" w:hAnsi="Calibri"/>
                <w:b w:val="0"/>
                <w:i w:val="0"/>
                <w:color w:val="000000"/>
                <w:sz w:val="18"/>
              </w:rPr>
              <w:t>Investor Path Cap</w:t>
            </w:r>
          </w:p>
        </w:tc>
        <w:tc>
          <w:tcPr>
            <w:tcW w:type="dxa" w:w="4703"/>
          </w:tcPr>
          <w:p>
            <w:r/>
            <w:r>
              <w:rPr>
                <w:rFonts w:ascii="Calibri" w:hAnsi="Calibri"/>
                <w:b w:val="0"/>
                <w:i w:val="0"/>
                <w:color w:val="000000"/>
                <w:sz w:val="18"/>
              </w:rPr>
              <w:t>15% — maximum aggregate MD equity (fully diluted) at any time after the first Qualifying Equity Closing.</w:t>
            </w:r>
          </w:p>
        </w:tc>
      </w:tr>
      <w:tr>
        <w:tc>
          <w:tcPr>
            <w:tcW w:type="dxa" w:w="4703"/>
          </w:tcPr>
          <w:p>
            <w:r/>
            <w:r>
              <w:rPr>
                <w:rFonts w:ascii="Calibri" w:hAnsi="Calibri"/>
                <w:b w:val="0"/>
                <w:i w:val="0"/>
                <w:color w:val="000000"/>
                <w:sz w:val="18"/>
              </w:rPr>
              <w:t>MD Equity Percentage</w:t>
            </w:r>
          </w:p>
        </w:tc>
        <w:tc>
          <w:tcPr>
            <w:tcW w:type="dxa" w:w="4703"/>
          </w:tcPr>
          <w:p>
            <w:r/>
            <w:r>
              <w:rPr>
                <w:rFonts w:ascii="Calibri" w:hAnsi="Calibri"/>
                <w:b w:val="0"/>
                <w:i w:val="0"/>
                <w:color w:val="000000"/>
                <w:sz w:val="18"/>
              </w:rPr>
              <w:t>MD’s (and MD Nominee’s) combined holding as a percentage of fully diluted ordinary share capital.</w:t>
            </w:r>
          </w:p>
        </w:tc>
      </w:tr>
      <w:tr>
        <w:tc>
          <w:tcPr>
            <w:tcW w:type="dxa" w:w="4703"/>
          </w:tcPr>
          <w:p>
            <w:r/>
            <w:r>
              <w:rPr>
                <w:rFonts w:ascii="Calibri" w:hAnsi="Calibri"/>
                <w:b w:val="0"/>
                <w:i w:val="0"/>
                <w:color w:val="000000"/>
                <w:sz w:val="18"/>
              </w:rPr>
              <w:t>Group</w:t>
            </w:r>
          </w:p>
        </w:tc>
        <w:tc>
          <w:tcPr>
            <w:tcW w:type="dxa" w:w="4703"/>
          </w:tcPr>
          <w:p>
            <w:r/>
            <w:r>
              <w:rPr>
                <w:rFonts w:ascii="Calibri" w:hAnsi="Calibri"/>
                <w:b w:val="0"/>
                <w:i w:val="0"/>
                <w:color w:val="000000"/>
                <w:sz w:val="18"/>
              </w:rPr>
              <w:t>Lighthief International Ltd and any entity Sybaris Controls (&gt;50% vote or UBO).</w:t>
            </w:r>
          </w:p>
        </w:tc>
      </w:tr>
    </w:tbl>
    <w:p/>
    <w:p>
      <w:pPr>
        <w:spacing w:before="240"/>
      </w:pPr>
      <w:r>
        <w:rPr>
          <w:rFonts w:ascii="Calibri" w:hAnsi="Calibri"/>
          <w:b/>
          <w:i w:val="0"/>
          <w:color w:val="C9A432"/>
          <w:sz w:val="24"/>
        </w:rPr>
        <w:t>2. EPC Milestone Equity (10% + 10%)</w:t>
      </w:r>
    </w:p>
    <w:p>
      <w:pPr>
        <w:jc w:val="both"/>
      </w:pPr>
      <w:r>
        <w:rPr>
          <w:rFonts w:ascii="Calibri" w:hAnsi="Calibri"/>
          <w:b w:val="0"/>
          <w:i w:val="0"/>
          <w:color w:val="000000"/>
          <w:sz w:val="20"/>
        </w:rPr>
        <w:t>2.1 Galascope — 10%. On Galascope EPC Effective Date, Founder shall cause EPC Milestone Grant A ( 10% ) to be issued or transferred to MD (or MD Nominee) within 30 calendar days.</w:t>
      </w:r>
    </w:p>
    <w:p>
      <w:pPr>
        <w:jc w:val="both"/>
      </w:pPr>
      <w:r>
        <w:rPr>
          <w:rFonts w:ascii="Calibri" w:hAnsi="Calibri"/>
          <w:b w:val="0"/>
          <w:i w:val="0"/>
          <w:color w:val="000000"/>
          <w:sz w:val="20"/>
        </w:rPr>
        <w:t>2.2 Esperia — 10%. On Esperia EPC Effective Date, Founder shall cause EPC Milestone Grant B ( 10% ) to be issued or transferred to MD within 30 calendar days, unless Clause 4 prevents the full second tranche.</w:t>
      </w:r>
    </w:p>
    <w:p>
      <w:pPr>
        <w:jc w:val="both"/>
      </w:pPr>
      <w:r>
        <w:rPr>
          <w:rFonts w:ascii="Calibri" w:hAnsi="Calibri"/>
          <w:b w:val="0"/>
          <w:i w:val="0"/>
          <w:color w:val="000000"/>
          <w:sz w:val="20"/>
        </w:rPr>
        <w:t>2.3 Consideration. Nominal / nil subscription or set-off against documented MD amounts — as tax counsel advises.</w:t>
      </w:r>
    </w:p>
    <w:p>
      <w:pPr>
        <w:jc w:val="both"/>
      </w:pPr>
      <w:r>
        <w:rPr>
          <w:rFonts w:ascii="Calibri" w:hAnsi="Calibri"/>
          <w:b w:val="0"/>
          <w:i w:val="0"/>
          <w:color w:val="000000"/>
          <w:sz w:val="20"/>
        </w:rPr>
        <w:t>2.4 Grantor. Lighthief International Ltd (transfer) or Company (capital increase) — counsel to choose.</w:t>
      </w:r>
    </w:p>
    <w:p>
      <w:pPr>
        <w:jc w:val="both"/>
      </w:pPr>
      <w:r>
        <w:rPr>
          <w:rFonts w:ascii="Calibri" w:hAnsi="Calibri"/>
          <w:b w:val="0"/>
          <w:i w:val="0"/>
          <w:color w:val="000000"/>
          <w:sz w:val="20"/>
        </w:rPr>
        <w:t>2.5 No cash fee on EPC grants. EPC milestone equity is not subject to Share Sale Participation Fee.</w:t>
      </w:r>
    </w:p>
    <w:p>
      <w:pPr>
        <w:jc w:val="both"/>
      </w:pPr>
      <w:r>
        <w:rPr>
          <w:rFonts w:ascii="Calibri" w:hAnsi="Calibri"/>
          <w:b w:val="0"/>
          <w:i w:val="0"/>
          <w:color w:val="000000"/>
          <w:sz w:val="20"/>
        </w:rPr>
        <w:t>2.6 Employment cross-ref. Galascope EPC Effective Date also triggers €5,000 gross monthly salary under LCY-EMP-AP-2026-001.</w:t>
      </w:r>
    </w:p>
    <w:p>
      <w:pPr>
        <w:jc w:val="both"/>
      </w:pPr>
      <w:r>
        <w:rPr>
          <w:rFonts w:ascii="Calibri" w:hAnsi="Calibri"/>
          <w:b w:val="0"/>
          <w:i w:val="0"/>
          <w:color w:val="000000"/>
          <w:sz w:val="20"/>
        </w:rPr>
        <w:t>2.7 Order of operations. Esperia EPC may execute before or after Galascope EPC; each tranche is independent except for the Investor Path Cap in Clause 4.</w:t>
      </w:r>
    </w:p>
    <w:p>
      <w:pPr>
        <w:spacing w:before="240"/>
      </w:pPr>
      <w:r>
        <w:rPr>
          <w:rFonts w:ascii="Calibri" w:hAnsi="Calibri"/>
          <w:b/>
          <w:i w:val="0"/>
          <w:color w:val="C9A432"/>
          <w:sz w:val="24"/>
        </w:rPr>
        <w:t>3. Share Sale Participation Fee (30% — investor cash)</w:t>
      </w:r>
    </w:p>
    <w:p>
      <w:pPr>
        <w:jc w:val="both"/>
      </w:pPr>
      <w:r>
        <w:rPr>
          <w:rFonts w:ascii="Calibri" w:hAnsi="Calibri"/>
          <w:b w:val="0"/>
          <w:i w:val="0"/>
          <w:color w:val="000000"/>
          <w:sz w:val="20"/>
        </w:rPr>
        <w:t>3.1 Amount. On each Qualifying Equity Closing, Founder shall pay (or cause to be paid) to MD (or MD Nominee) the Share Sale Participation Fee equal to 30% of the Gross Subscription Amount.</w:t>
      </w:r>
    </w:p>
    <w:p>
      <w:pPr>
        <w:jc w:val="both"/>
      </w:pPr>
      <w:r>
        <w:rPr>
          <w:rFonts w:ascii="Calibri" w:hAnsi="Calibri"/>
          <w:b w:val="0"/>
          <w:i w:val="0"/>
          <w:color w:val="000000"/>
          <w:sz w:val="20"/>
        </w:rPr>
        <w:t>3.2 Timing. Within 14 calendar days after the Company’s receipt of the Gross Subscription Amount.</w:t>
      </w:r>
    </w:p>
    <w:p>
      <w:pPr>
        <w:jc w:val="both"/>
      </w:pPr>
      <w:r>
        <w:rPr>
          <w:rFonts w:ascii="Calibri" w:hAnsi="Calibri"/>
          <w:b w:val="0"/>
          <w:i w:val="0"/>
          <w:color w:val="000000"/>
          <w:sz w:val="20"/>
        </w:rPr>
        <w:t>3.3 Payor. Primary obligor is Founder / Lighthief International Ltd, not Company project working capital. If payment is routed via the Company, it must be pre-disclosed in the investor term sheet.</w:t>
      </w:r>
    </w:p>
    <w:p>
      <w:pPr>
        <w:jc w:val="both"/>
      </w:pPr>
      <w:r>
        <w:rPr>
          <w:rFonts w:ascii="Calibri" w:hAnsi="Calibri"/>
          <w:b w:val="0"/>
          <w:i w:val="0"/>
          <w:color w:val="000000"/>
          <w:sz w:val="20"/>
        </w:rPr>
        <w:t>3.4 No duplication. Fee applies only to Gross Subscription Amount — not Net Margin, EPC revenue, or client milestones (Moi Ostrov deed governs margin).</w:t>
      </w:r>
    </w:p>
    <w:p>
      <w:pPr>
        <w:jc w:val="both"/>
      </w:pPr>
      <w:r>
        <w:rPr>
          <w:rFonts w:ascii="Calibri" w:hAnsi="Calibri"/>
          <w:b w:val="0"/>
          <w:i w:val="0"/>
          <w:color w:val="000000"/>
          <w:sz w:val="20"/>
        </w:rPr>
        <w:t>3.5 Partial tranches. Each tranche is a separate closing (e.g. €500,000 for 12.5% → €150,000 fee).</w:t>
      </w:r>
    </w:p>
    <w:p>
      <w:pPr>
        <w:jc w:val="both"/>
      </w:pPr>
      <w:r>
        <w:rPr>
          <w:rFonts w:ascii="Calibri" w:hAnsi="Calibri"/>
          <w:b w:val="0"/>
          <w:i w:val="0"/>
          <w:color w:val="000000"/>
          <w:sz w:val="20"/>
        </w:rPr>
        <w:t>3.6 Survival. Applies while MD is Managing Director, or within 12 months after Good Reason cessation.</w:t>
      </w:r>
    </w:p>
    <w:p>
      <w:pPr>
        <w:spacing w:before="240"/>
      </w:pPr>
      <w:r>
        <w:rPr>
          <w:rFonts w:ascii="Calibri" w:hAnsi="Calibri"/>
          <w:b/>
          <w:i w:val="0"/>
          <w:color w:val="C9A432"/>
          <w:sz w:val="24"/>
        </w:rPr>
        <w:t>4. Investor Path Cap (15% total equity)</w:t>
      </w:r>
    </w:p>
    <w:p>
      <w:pPr>
        <w:jc w:val="both"/>
      </w:pPr>
      <w:r>
        <w:rPr>
          <w:rFonts w:ascii="Calibri" w:hAnsi="Calibri"/>
          <w:b w:val="0"/>
          <w:i w:val="0"/>
          <w:color w:val="000000"/>
          <w:sz w:val="20"/>
        </w:rPr>
        <w:t>4.1 Cap. If any Qualifying Equity Closing occurs, MD Equity Percentage shall not exceed 15% at any time thereafter.</w:t>
      </w:r>
    </w:p>
    <w:p>
      <w:pPr>
        <w:jc w:val="both"/>
      </w:pPr>
      <w:r>
        <w:rPr>
          <w:rFonts w:ascii="Calibri" w:hAnsi="Calibri"/>
          <w:b w:val="0"/>
          <w:i w:val="0"/>
          <w:color w:val="000000"/>
          <w:sz w:val="20"/>
        </w:rPr>
        <w:t>4.2 EPC grants count toward cap. Any shares already issued under Clause 2 (EPC Milestone Grant A and/or B) count fully toward the 15% cap.</w:t>
      </w:r>
    </w:p>
    <w:p>
      <w:pPr>
        <w:jc w:val="both"/>
      </w:pPr>
      <w:r>
        <w:rPr>
          <w:rFonts w:ascii="Calibri" w:hAnsi="Calibri"/>
          <w:b/>
          <w:i w:val="0"/>
          <w:color w:val="000000"/>
          <w:sz w:val="20"/>
        </w:rPr>
        <w:t>4.3 Second EPC tranche when investor precedes or overlaps Esperia signing.</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MD equity already held</w:t>
            </w:r>
          </w:p>
        </w:tc>
        <w:tc>
          <w:tcPr>
            <w:tcW w:type="dxa" w:w="3135"/>
            <w:shd w:fill="1A365D" w:val="clear"/>
          </w:tcPr>
          <w:p>
            <w:r/>
            <w:r>
              <w:rPr>
                <w:rFonts w:ascii="Calibri" w:hAnsi="Calibri"/>
                <w:b/>
                <w:i w:val="0"/>
                <w:color w:val="FFFFFF"/>
                <w:sz w:val="18"/>
              </w:rPr>
              <w:t>Investor closed?</w:t>
            </w:r>
          </w:p>
        </w:tc>
        <w:tc>
          <w:tcPr>
            <w:tcW w:type="dxa" w:w="3135"/>
            <w:shd w:fill="1A365D" w:val="clear"/>
          </w:tcPr>
          <w:p>
            <w:r/>
            <w:r>
              <w:rPr>
                <w:rFonts w:ascii="Calibri" w:hAnsi="Calibri"/>
                <w:b/>
                <w:i w:val="0"/>
                <w:color w:val="FFFFFF"/>
                <w:sz w:val="18"/>
              </w:rPr>
              <w:t>Maximum additional equity to MD</w:t>
            </w:r>
          </w:p>
        </w:tc>
      </w:tr>
      <w:tr>
        <w:tc>
          <w:tcPr>
            <w:tcW w:type="dxa" w:w="3135"/>
          </w:tcPr>
          <w:p>
            <w:r/>
            <w:r>
              <w:rPr>
                <w:rFonts w:ascii="Calibri" w:hAnsi="Calibri"/>
                <w:b w:val="0"/>
                <w:i w:val="0"/>
                <w:color w:val="000000"/>
                <w:sz w:val="18"/>
              </w:rPr>
              <w:t>0%</w:t>
            </w:r>
          </w:p>
        </w:tc>
        <w:tc>
          <w:tcPr>
            <w:tcW w:type="dxa" w:w="3135"/>
          </w:tcPr>
          <w:p>
            <w:r/>
            <w:r>
              <w:rPr>
                <w:rFonts w:ascii="Calibri" w:hAnsi="Calibri"/>
                <w:b w:val="0"/>
                <w:i w:val="0"/>
                <w:color w:val="000000"/>
                <w:sz w:val="18"/>
              </w:rPr>
              <w:t>Yes (before any EPC grant)</w:t>
            </w:r>
          </w:p>
        </w:tc>
        <w:tc>
          <w:tcPr>
            <w:tcW w:type="dxa" w:w="3135"/>
          </w:tcPr>
          <w:p>
            <w:r/>
            <w:r>
              <w:rPr>
                <w:rFonts w:ascii="Calibri" w:hAnsi="Calibri"/>
                <w:b w:val="0"/>
                <w:i w:val="0"/>
                <w:color w:val="000000"/>
                <w:sz w:val="18"/>
              </w:rPr>
              <w:t>Up to 15% total (structure as counsel advises — may combine EPC + investor mechanics)</w:t>
            </w:r>
          </w:p>
        </w:tc>
      </w:tr>
      <w:tr>
        <w:tc>
          <w:tcPr>
            <w:tcW w:type="dxa" w:w="3135"/>
          </w:tcPr>
          <w:p>
            <w:r/>
            <w:r>
              <w:rPr>
                <w:rFonts w:ascii="Calibri" w:hAnsi="Calibri"/>
                <w:b w:val="0"/>
                <w:i w:val="0"/>
                <w:color w:val="000000"/>
                <w:sz w:val="18"/>
              </w:rPr>
              <w:t>10% (Galascope only)</w:t>
            </w:r>
          </w:p>
        </w:tc>
        <w:tc>
          <w:tcPr>
            <w:tcW w:type="dxa" w:w="3135"/>
          </w:tcPr>
          <w:p>
            <w:r/>
            <w:r>
              <w:rPr>
                <w:rFonts w:ascii="Calibri" w:hAnsi="Calibri"/>
                <w:b w:val="0"/>
                <w:i w:val="0"/>
                <w:color w:val="000000"/>
                <w:sz w:val="18"/>
              </w:rPr>
              <w:t>Yes</w:t>
            </w:r>
          </w:p>
        </w:tc>
        <w:tc>
          <w:tcPr>
            <w:tcW w:type="dxa" w:w="3135"/>
          </w:tcPr>
          <w:p>
            <w:r/>
            <w:r>
              <w:rPr>
                <w:rFonts w:ascii="Calibri" w:hAnsi="Calibri"/>
                <w:b w:val="0"/>
                <w:i w:val="0"/>
                <w:color w:val="000000"/>
                <w:sz w:val="18"/>
              </w:rPr>
              <w:t>Up to 5% further equity only (not full second 10% if that would exceed 15%)</w:t>
            </w:r>
          </w:p>
        </w:tc>
      </w:tr>
      <w:tr>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No</w:t>
            </w:r>
          </w:p>
        </w:tc>
        <w:tc>
          <w:tcPr>
            <w:tcW w:type="dxa" w:w="3135"/>
          </w:tcPr>
          <w:p>
            <w:r/>
            <w:r>
              <w:rPr>
                <w:rFonts w:ascii="Calibri" w:hAnsi="Calibri"/>
                <w:b w:val="0"/>
                <w:i w:val="0"/>
                <w:color w:val="000000"/>
                <w:sz w:val="18"/>
              </w:rPr>
              <w:t>Entitled to full EPC Milestone Grant B (10%) → 20% total</w:t>
            </w:r>
          </w:p>
        </w:tc>
      </w:tr>
      <w:tr>
        <w:tc>
          <w:tcPr>
            <w:tcW w:type="dxa" w:w="3135"/>
          </w:tcPr>
          <w:p>
            <w:r/>
            <w:r>
              <w:rPr>
                <w:rFonts w:ascii="Calibri" w:hAnsi="Calibri"/>
                <w:b w:val="0"/>
                <w:i w:val="0"/>
                <w:color w:val="000000"/>
                <w:sz w:val="18"/>
              </w:rPr>
              <w:t>20% (both EPCs)</w:t>
            </w:r>
          </w:p>
        </w:tc>
        <w:tc>
          <w:tcPr>
            <w:tcW w:type="dxa" w:w="3135"/>
          </w:tcPr>
          <w:p>
            <w:r/>
            <w:r>
              <w:rPr>
                <w:rFonts w:ascii="Calibri" w:hAnsi="Calibri"/>
                <w:b w:val="0"/>
                <w:i w:val="0"/>
                <w:color w:val="000000"/>
                <w:sz w:val="18"/>
              </w:rPr>
              <w:t>Yes later</w:t>
            </w:r>
          </w:p>
        </w:tc>
        <w:tc>
          <w:tcPr>
            <w:tcW w:type="dxa" w:w="3135"/>
          </w:tcPr>
          <w:p>
            <w:r/>
            <w:r>
              <w:rPr>
                <w:rFonts w:ascii="Calibri" w:hAnsi="Calibri"/>
                <w:b w:val="0"/>
                <w:i w:val="0"/>
                <w:color w:val="000000"/>
                <w:sz w:val="18"/>
              </w:rPr>
              <w:t>No further equity to MD; fee only on subscription cash</w:t>
            </w:r>
          </w:p>
        </w:tc>
      </w:tr>
    </w:tbl>
    <w:p/>
    <w:p>
      <w:pPr>
        <w:jc w:val="both"/>
      </w:pPr>
      <w:r>
        <w:rPr>
          <w:rFonts w:ascii="Calibri" w:hAnsi="Calibri"/>
          <w:b w:val="0"/>
          <w:i w:val="0"/>
          <w:color w:val="000000"/>
          <w:sz w:val="20"/>
        </w:rPr>
        <w:t>4.4 No “25% minus sold” pool. The Parties replace any prior discussion of a 25% equity pool or unsold-pool fallback with this EPC milestone + investor cap structure.</w:t>
      </w:r>
    </w:p>
    <w:p>
      <w:pPr>
        <w:jc w:val="both"/>
      </w:pPr>
      <w:r>
        <w:rPr>
          <w:rFonts w:ascii="Calibri" w:hAnsi="Calibri"/>
          <w:b w:val="0"/>
          <w:i w:val="0"/>
          <w:color w:val="000000"/>
          <w:sz w:val="20"/>
        </w:rPr>
        <w:t>4.5 Fee not reduced by cap. Share Sale Participation Fee is unaffected by the Investor Path Cap (cash on subscription remains 30%).</w:t>
      </w:r>
    </w:p>
    <w:p>
      <w:pPr>
        <w:spacing w:before="240"/>
      </w:pPr>
      <w:r>
        <w:rPr>
          <w:rFonts w:ascii="Calibri" w:hAnsi="Calibri"/>
          <w:b/>
          <w:i w:val="0"/>
          <w:color w:val="C9A432"/>
          <w:sz w:val="24"/>
        </w:rPr>
        <w:t>5. Worked examples (founder proposal)</w:t>
      </w:r>
    </w:p>
    <w:p>
      <w:r>
        <w:rPr>
          <w:rFonts w:ascii="Calibri" w:hAnsi="Calibri"/>
          <w:b/>
          <w:i w:val="0"/>
          <w:color w:val="1A365D"/>
          <w:sz w:val="22"/>
        </w:rPr>
        <w:t>Path A — EPC only (no third-party investor)</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Milestone</w:t>
            </w:r>
          </w:p>
        </w:tc>
        <w:tc>
          <w:tcPr>
            <w:tcW w:type="dxa" w:w="3135"/>
            <w:shd w:fill="1A365D" w:val="clear"/>
          </w:tcPr>
          <w:p>
            <w:r/>
            <w:r>
              <w:rPr>
                <w:rFonts w:ascii="Calibri" w:hAnsi="Calibri"/>
                <w:b/>
                <w:i w:val="0"/>
                <w:color w:val="FFFFFF"/>
                <w:sz w:val="18"/>
              </w:rPr>
              <w:t>MD equity (cumulative)</w:t>
            </w:r>
          </w:p>
        </w:tc>
        <w:tc>
          <w:tcPr>
            <w:tcW w:type="dxa" w:w="3135"/>
            <w:shd w:fill="1A365D" w:val="clear"/>
          </w:tcPr>
          <w:p>
            <w:r/>
            <w:r>
              <w:rPr>
                <w:rFonts w:ascii="Calibri" w:hAnsi="Calibri"/>
                <w:b/>
                <w:i w:val="0"/>
                <w:color w:val="FFFFFF"/>
                <w:sz w:val="18"/>
              </w:rPr>
              <w:t>MD cash</w:t>
            </w:r>
          </w:p>
        </w:tc>
      </w:tr>
      <w:tr>
        <w:tc>
          <w:tcPr>
            <w:tcW w:type="dxa" w:w="3135"/>
          </w:tcPr>
          <w:p>
            <w:r/>
            <w:r>
              <w:rPr>
                <w:rFonts w:ascii="Calibri" w:hAnsi="Calibri"/>
                <w:b w:val="0"/>
                <w:i w:val="0"/>
                <w:color w:val="000000"/>
                <w:sz w:val="18"/>
              </w:rPr>
              <w:t>Galascope EPC signed</w:t>
            </w:r>
          </w:p>
        </w:tc>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Esperia EPC signed</w:t>
            </w:r>
          </w:p>
        </w:tc>
        <w:tc>
          <w:tcPr>
            <w:tcW w:type="dxa" w:w="3135"/>
          </w:tcPr>
          <w:p>
            <w:r/>
            <w:r>
              <w:rPr>
                <w:rFonts w:ascii="Calibri" w:hAnsi="Calibri"/>
                <w:b w:val="0"/>
                <w:i w:val="0"/>
                <w:color w:val="000000"/>
                <w:sz w:val="18"/>
              </w:rPr>
              <w:t>20%</w:t>
            </w:r>
          </w:p>
        </w:tc>
        <w:tc>
          <w:tcPr>
            <w:tcW w:type="dxa" w:w="3135"/>
          </w:tcPr>
          <w:p>
            <w:r/>
            <w:r>
              <w:rPr>
                <w:rFonts w:ascii="Calibri" w:hAnsi="Calibri"/>
                <w:b w:val="0"/>
                <w:i w:val="0"/>
                <w:color w:val="000000"/>
                <w:sz w:val="18"/>
              </w:rPr>
              <w:t>—</w:t>
            </w:r>
          </w:p>
        </w:tc>
      </w:tr>
    </w:tbl>
    <w:p/>
    <w:p>
      <w:r>
        <w:rPr>
          <w:rFonts w:ascii="Calibri" w:hAnsi="Calibri"/>
          <w:b/>
          <w:i w:val="0"/>
          <w:color w:val="1A365D"/>
          <w:sz w:val="22"/>
        </w:rPr>
        <w:t>Path B — Investor from “our side” (Qualifying Equity Closing)</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Scenario</w:t>
            </w:r>
          </w:p>
        </w:tc>
        <w:tc>
          <w:tcPr>
            <w:tcW w:type="dxa" w:w="3135"/>
            <w:shd w:fill="1A365D" w:val="clear"/>
          </w:tcPr>
          <w:p>
            <w:r/>
            <w:r>
              <w:rPr>
                <w:rFonts w:ascii="Calibri" w:hAnsi="Calibri"/>
                <w:b/>
                <w:i w:val="0"/>
                <w:color w:val="FFFFFF"/>
                <w:sz w:val="18"/>
              </w:rPr>
              <w:t>MD equity (max)</w:t>
            </w:r>
          </w:p>
        </w:tc>
        <w:tc>
          <w:tcPr>
            <w:tcW w:type="dxa" w:w="3135"/>
            <w:shd w:fill="1A365D" w:val="clear"/>
          </w:tcPr>
          <w:p>
            <w:r/>
            <w:r>
              <w:rPr>
                <w:rFonts w:ascii="Calibri" w:hAnsi="Calibri"/>
                <w:b/>
                <w:i w:val="0"/>
                <w:color w:val="FFFFFF"/>
                <w:sz w:val="18"/>
              </w:rPr>
              <w:t>MD cash (30% fee)</w:t>
            </w:r>
          </w:p>
        </w:tc>
      </w:tr>
      <w:tr>
        <w:tc>
          <w:tcPr>
            <w:tcW w:type="dxa" w:w="3135"/>
          </w:tcPr>
          <w:p>
            <w:r/>
            <w:r>
              <w:rPr>
                <w:rFonts w:ascii="Calibri" w:hAnsi="Calibri"/>
                <w:b w:val="0"/>
                <w:i w:val="0"/>
                <w:color w:val="000000"/>
                <w:sz w:val="18"/>
              </w:rPr>
              <w:t>Investor €500k / 12.5% before any EPC</w:t>
            </w:r>
          </w:p>
        </w:tc>
        <w:tc>
          <w:tcPr>
            <w:tcW w:type="dxa" w:w="3135"/>
          </w:tcPr>
          <w:p>
            <w:r/>
            <w:r>
              <w:rPr>
                <w:rFonts w:ascii="Calibri" w:hAnsi="Calibri"/>
                <w:b w:val="0"/>
                <w:i w:val="0"/>
                <w:color w:val="000000"/>
                <w:sz w:val="18"/>
              </w:rPr>
              <w:t>≤15% (counsel structures grant)</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Galascope signed (10%), then investor 12.5%</w:t>
            </w:r>
          </w:p>
        </w:tc>
        <w:tc>
          <w:tcPr>
            <w:tcW w:type="dxa" w:w="3135"/>
          </w:tcPr>
          <w:p>
            <w:r/>
            <w:r>
              <w:rPr>
                <w:rFonts w:ascii="Calibri" w:hAnsi="Calibri"/>
                <w:b w:val="0"/>
                <w:i w:val="0"/>
                <w:color w:val="000000"/>
                <w:sz w:val="18"/>
              </w:rPr>
              <w:t>≤15% (+5% only, not +10% Esperia)</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Both EPCs signed (20%), then investor</w:t>
            </w:r>
          </w:p>
        </w:tc>
        <w:tc>
          <w:tcPr>
            <w:tcW w:type="dxa" w:w="3135"/>
          </w:tcPr>
          <w:p>
            <w:r/>
            <w:r>
              <w:rPr>
                <w:rFonts w:ascii="Calibri" w:hAnsi="Calibri"/>
                <w:b w:val="0"/>
                <w:i w:val="0"/>
                <w:color w:val="000000"/>
                <w:sz w:val="18"/>
              </w:rPr>
              <w:t>20% frozen — *counsel: pre-close investor or waive second tranche*</w:t>
            </w:r>
          </w:p>
        </w:tc>
        <w:tc>
          <w:tcPr>
            <w:tcW w:type="dxa" w:w="3135"/>
          </w:tcPr>
          <w:p>
            <w:r/>
            <w:r>
              <w:rPr>
                <w:rFonts w:ascii="Calibri" w:hAnsi="Calibri"/>
                <w:b w:val="0"/>
                <w:i w:val="0"/>
                <w:color w:val="000000"/>
                <w:sz w:val="18"/>
              </w:rPr>
              <w:t>Fee on cash only</w:t>
            </w:r>
          </w:p>
        </w:tc>
      </w:tr>
      <w:tr>
        <w:tc>
          <w:tcPr>
            <w:tcW w:type="dxa" w:w="3135"/>
          </w:tcPr>
          <w:p>
            <w:r/>
            <w:r>
              <w:rPr>
                <w:rFonts w:ascii="Calibri" w:hAnsi="Calibri"/>
                <w:b w:val="0"/>
                <w:i w:val="0"/>
                <w:color w:val="000000"/>
                <w:sz w:val="18"/>
              </w:rPr>
              <w:t>Investor €1M / 25% with only Galascope EPC</w:t>
            </w:r>
          </w:p>
        </w:tc>
        <w:tc>
          <w:tcPr>
            <w:tcW w:type="dxa" w:w="3135"/>
          </w:tcPr>
          <w:p>
            <w:r/>
            <w:r>
              <w:rPr>
                <w:rFonts w:ascii="Calibri" w:hAnsi="Calibri"/>
                <w:b w:val="0"/>
                <w:i w:val="0"/>
                <w:color w:val="000000"/>
                <w:sz w:val="18"/>
              </w:rPr>
              <w:t>15% cap applies</w:t>
            </w:r>
          </w:p>
        </w:tc>
        <w:tc>
          <w:tcPr>
            <w:tcW w:type="dxa" w:w="3135"/>
          </w:tcPr>
          <w:p>
            <w:r/>
            <w:r>
              <w:rPr>
                <w:rFonts w:ascii="Calibri" w:hAnsi="Calibri"/>
                <w:b w:val="0"/>
                <w:i w:val="0"/>
                <w:color w:val="000000"/>
                <w:sz w:val="18"/>
              </w:rPr>
              <w:t>€300,000</w:t>
            </w:r>
          </w:p>
        </w:tc>
      </w:tr>
    </w:tbl>
    <w:p/>
    <w:p>
      <w:pPr>
        <w:jc w:val="both"/>
      </w:pPr>
      <w:r>
        <w:rPr>
          <w:rFonts w:ascii="Calibri" w:hAnsi="Calibri"/>
          <w:b w:val="0"/>
          <w:i w:val="0"/>
          <w:color w:val="000000"/>
          <w:sz w:val="20"/>
        </w:rPr>
        <w:t>Counsel to confirm whether investor closing before Esperia EPC waives EPC Milestone Grant B or reduces it to the residual under the 15% cap.</w:t>
      </w:r>
    </w:p>
    <w:p>
      <w:pPr>
        <w:spacing w:before="240"/>
      </w:pPr>
      <w:r>
        <w:rPr>
          <w:rFonts w:ascii="Calibri" w:hAnsi="Calibri"/>
          <w:b/>
          <w:i w:val="0"/>
          <w:color w:val="C9A432"/>
          <w:sz w:val="24"/>
        </w:rPr>
        <w:t>6. Dividend restriction (3 years)</w:t>
      </w:r>
    </w:p>
    <w:p>
      <w:pPr>
        <w:jc w:val="both"/>
      </w:pPr>
      <w:r>
        <w:rPr>
          <w:rFonts w:ascii="Calibri" w:hAnsi="Calibri"/>
          <w:b w:val="0"/>
          <w:i w:val="0"/>
          <w:color w:val="000000"/>
          <w:sz w:val="20"/>
        </w:rPr>
        <w:t>6.1 From the earlier of (i) first EPC Milestone Grant A or (ii) first Qualifying Equity Closing, until the third anniversary, no dividends or shareholder distributions except:</w:t>
      </w:r>
    </w:p>
    <w:p>
      <w:pPr>
        <w:jc w:val="both"/>
      </w:pPr>
      <w:r>
        <w:rPr>
          <w:rFonts w:ascii="Calibri" w:hAnsi="Calibri"/>
          <w:b w:val="0"/>
          <w:i w:val="0"/>
          <w:color w:val="000000"/>
          <w:sz w:val="20"/>
        </w:rPr>
        <w:t>(a) Moi Ostrov fees; (b) payroll; (c) project delivery costs; (d) documented shareholder loan repayments per Annex C; (e) amounts required by law.</w:t>
      </w:r>
    </w:p>
    <w:p>
      <w:pPr>
        <w:jc w:val="both"/>
      </w:pPr>
      <w:r>
        <w:rPr>
          <w:rFonts w:ascii="Calibri" w:hAnsi="Calibri"/>
          <w:b w:val="0"/>
          <w:i w:val="0"/>
          <w:color w:val="000000"/>
          <w:sz w:val="20"/>
        </w:rPr>
        <w:t>6.2 Founder shall vote shares accordingly.</w:t>
      </w:r>
    </w:p>
    <w:p>
      <w:pPr>
        <w:spacing w:before="240"/>
      </w:pPr>
      <w:r>
        <w:rPr>
          <w:rFonts w:ascii="Calibri" w:hAnsi="Calibri"/>
          <w:b/>
          <w:i w:val="0"/>
          <w:color w:val="C9A432"/>
          <w:sz w:val="24"/>
        </w:rPr>
        <w:t>7. Conditions &amp; protections</w:t>
      </w:r>
    </w:p>
    <w:p>
      <w:pPr>
        <w:jc w:val="both"/>
      </w:pPr>
      <w:r>
        <w:rPr>
          <w:rFonts w:ascii="Calibri" w:hAnsi="Calibri"/>
          <w:b w:val="0"/>
          <w:i w:val="0"/>
          <w:color w:val="000000"/>
          <w:sz w:val="20"/>
        </w:rPr>
        <w:t>7.1 MD engagement. MD must be Managing Director at each grant/closing (except Good Reason leaver).</w:t>
      </w:r>
    </w:p>
    <w:p>
      <w:pPr>
        <w:jc w:val="both"/>
      </w:pPr>
      <w:r>
        <w:rPr>
          <w:rFonts w:ascii="Calibri" w:hAnsi="Calibri"/>
          <w:b w:val="0"/>
          <w:i w:val="0"/>
          <w:color w:val="000000"/>
          <w:sz w:val="20"/>
        </w:rPr>
        <w:t>7.2 Founder undertakings. No circumvention via Group entities or off-LCY contracting (consistent with Consultancy Agreement Clause 12).</w:t>
      </w:r>
    </w:p>
    <w:p>
      <w:pPr>
        <w:jc w:val="both"/>
      </w:pPr>
      <w:r>
        <w:rPr>
          <w:rFonts w:ascii="Calibri" w:hAnsi="Calibri"/>
          <w:b w:val="0"/>
          <w:i w:val="0"/>
          <w:color w:val="000000"/>
          <w:sz w:val="20"/>
        </w:rPr>
        <w:t>7.3 Investor disclosure. Disclose Side Letter to Third Party Investor under NDA before closing; disclose participation fee in term sheet if Company pays.</w:t>
      </w:r>
    </w:p>
    <w:p>
      <w:pPr>
        <w:jc w:val="both"/>
      </w:pPr>
      <w:r>
        <w:rPr>
          <w:rFonts w:ascii="Calibri" w:hAnsi="Calibri"/>
          <w:b w:val="0"/>
          <w:i w:val="0"/>
          <w:color w:val="000000"/>
          <w:sz w:val="20"/>
        </w:rPr>
        <w:t>7.4 Protected Matter. Amendment requires unanimous Founder + MD written consent — mirror Consultancy Agreement in Articles.</w:t>
      </w:r>
    </w:p>
    <w:p>
      <w:pPr>
        <w:jc w:val="both"/>
      </w:pPr>
      <w:r>
        <w:rPr>
          <w:rFonts w:ascii="Calibri" w:hAnsi="Calibri"/>
          <w:b w:val="0"/>
          <w:i w:val="0"/>
          <w:color w:val="000000"/>
          <w:sz w:val="20"/>
        </w:rPr>
        <w:t>7.5 Anti-dilution (MD shares only). MD equity shall not be diluted by founder-only issuances without MD consent until a bona fide third-party round.</w:t>
      </w:r>
    </w:p>
    <w:p>
      <w:pPr>
        <w:spacing w:before="240"/>
      </w:pPr>
      <w:r>
        <w:rPr>
          <w:rFonts w:ascii="Calibri" w:hAnsi="Calibri"/>
          <w:b/>
          <w:i w:val="0"/>
          <w:color w:val="C9A432"/>
          <w:sz w:val="24"/>
        </w:rPr>
        <w:t>8. Relationship to other documents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Document</w:t>
            </w:r>
          </w:p>
        </w:tc>
        <w:tc>
          <w:tcPr>
            <w:tcW w:type="dxa" w:w="4703"/>
            <w:shd w:fill="1A365D" w:val="clear"/>
          </w:tcPr>
          <w:p>
            <w:r/>
            <w:r>
              <w:rPr>
                <w:rFonts w:ascii="Calibri" w:hAnsi="Calibri"/>
                <w:b/>
                <w:i w:val="0"/>
                <w:color w:val="FFFFFF"/>
                <w:sz w:val="18"/>
              </w:rPr>
              <w:t>Relationship</w:t>
            </w:r>
          </w:p>
        </w:tc>
      </w:tr>
      <w:tr>
        <w:tc>
          <w:tcPr>
            <w:tcW w:type="dxa" w:w="4703"/>
          </w:tcPr>
          <w:p>
            <w:r/>
            <w:r>
              <w:rPr>
                <w:rFonts w:ascii="Calibri" w:hAnsi="Calibri"/>
                <w:b w:val="0"/>
                <w:i w:val="0"/>
                <w:color w:val="000000"/>
                <w:sz w:val="18"/>
              </w:rPr>
              <w:t>Moi Ostrov Consultancy Agreement</w:t>
            </w:r>
          </w:p>
        </w:tc>
        <w:tc>
          <w:tcPr>
            <w:tcW w:type="dxa" w:w="4703"/>
          </w:tcPr>
          <w:p>
            <w:r/>
            <w:r>
              <w:rPr>
                <w:rFonts w:ascii="Calibri" w:hAnsi="Calibri"/>
                <w:b w:val="0"/>
                <w:i w:val="0"/>
                <w:color w:val="000000"/>
                <w:sz w:val="18"/>
              </w:rPr>
              <w:t>Operating — 30% Net Margin</w:t>
            </w:r>
          </w:p>
        </w:tc>
      </w:tr>
      <w:tr>
        <w:tc>
          <w:tcPr>
            <w:tcW w:type="dxa" w:w="4703"/>
          </w:tcPr>
          <w:p>
            <w:r/>
            <w:r>
              <w:rPr>
                <w:rFonts w:ascii="Calibri" w:hAnsi="Calibri"/>
                <w:b w:val="0"/>
                <w:i w:val="0"/>
                <w:color w:val="000000"/>
                <w:sz w:val="18"/>
              </w:rPr>
              <w:t>This Side Letter</w:t>
            </w:r>
          </w:p>
        </w:tc>
        <w:tc>
          <w:tcPr>
            <w:tcW w:type="dxa" w:w="4703"/>
          </w:tcPr>
          <w:p>
            <w:r/>
            <w:r>
              <w:rPr>
                <w:rFonts w:ascii="Calibri" w:hAnsi="Calibri"/>
                <w:b w:val="0"/>
                <w:i w:val="0"/>
                <w:color w:val="000000"/>
                <w:sz w:val="18"/>
              </w:rPr>
              <w:t>Capital — EPC 10%+10% (max 20%) OR investor fee + 15% equity cap</w:t>
            </w:r>
          </w:p>
        </w:tc>
      </w:tr>
      <w:tr>
        <w:tc>
          <w:tcPr>
            <w:tcW w:type="dxa" w:w="4703"/>
          </w:tcPr>
          <w:p>
            <w:r/>
            <w:r>
              <w:rPr>
                <w:rFonts w:ascii="Calibri" w:hAnsi="Calibri"/>
                <w:b w:val="0"/>
                <w:i w:val="0"/>
                <w:color w:val="000000"/>
                <w:sz w:val="18"/>
              </w:rPr>
              <w:t>Employment agreement</w:t>
            </w:r>
          </w:p>
        </w:tc>
        <w:tc>
          <w:tcPr>
            <w:tcW w:type="dxa" w:w="4703"/>
          </w:tcPr>
          <w:p>
            <w:r/>
            <w:r>
              <w:rPr>
                <w:rFonts w:ascii="Calibri" w:hAnsi="Calibri"/>
                <w:b w:val="0"/>
                <w:i w:val="0"/>
                <w:color w:val="000000"/>
                <w:sz w:val="18"/>
              </w:rPr>
              <w:t>Galascope EPC → €5k gross salary</w:t>
            </w:r>
          </w:p>
        </w:tc>
      </w:tr>
      <w:tr>
        <w:tc>
          <w:tcPr>
            <w:tcW w:type="dxa" w:w="4703"/>
          </w:tcPr>
          <w:p>
            <w:r/>
            <w:r>
              <w:rPr>
                <w:rFonts w:ascii="Calibri" w:hAnsi="Calibri"/>
                <w:b w:val="0"/>
                <w:i w:val="0"/>
                <w:color w:val="000000"/>
                <w:sz w:val="18"/>
              </w:rPr>
              <w:t>Option A runway</w:t>
            </w:r>
          </w:p>
        </w:tc>
        <w:tc>
          <w:tcPr>
            <w:tcW w:type="dxa" w:w="4703"/>
          </w:tcPr>
          <w:p>
            <w:r/>
            <w:r>
              <w:rPr>
                <w:rFonts w:ascii="Calibri" w:hAnsi="Calibri"/>
                <w:b w:val="0"/>
                <w:i w:val="0"/>
                <w:color w:val="000000"/>
                <w:sz w:val="18"/>
              </w:rPr>
              <w:t>Independent — loan / runway</w:t>
            </w:r>
          </w:p>
        </w:tc>
      </w:tr>
    </w:tbl>
    <w:p/>
    <w:p>
      <w:pPr>
        <w:spacing w:before="240"/>
      </w:pPr>
      <w:r>
        <w:rPr>
          <w:rFonts w:ascii="Calibri" w:hAnsi="Calibri"/>
          <w:b/>
          <w:i w:val="0"/>
          <w:color w:val="C9A432"/>
          <w:sz w:val="24"/>
        </w:rPr>
        <w:t>9. Illustrative cap table outcomes</w:t>
      </w:r>
    </w:p>
    <w:p>
      <w:pPr>
        <w:jc w:val="both"/>
      </w:pPr>
      <w:r>
        <w:rPr>
          <w:rFonts w:ascii="Calibri" w:hAnsi="Calibri"/>
          <w:b/>
          <w:i w:val="0"/>
          <w:color w:val="000000"/>
          <w:sz w:val="20"/>
        </w:rPr>
        <w:t>After Galascope EPC only:</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90%</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10%</w:t>
            </w:r>
          </w:p>
        </w:tc>
      </w:tr>
    </w:tbl>
    <w:p/>
    <w:p>
      <w:pPr>
        <w:jc w:val="both"/>
      </w:pPr>
      <w:r>
        <w:rPr>
          <w:rFonts w:ascii="Calibri" w:hAnsi="Calibri"/>
          <w:b/>
          <w:i w:val="0"/>
          <w:color w:val="000000"/>
          <w:sz w:val="20"/>
        </w:rPr>
        <w:t>After Galascope + Esperia EPC (no investor):</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80%</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20%</w:t>
            </w:r>
          </w:p>
        </w:tc>
      </w:tr>
    </w:tbl>
    <w:p/>
    <w:p>
      <w:pPr>
        <w:jc w:val="both"/>
      </w:pPr>
      <w:r>
        <w:rPr>
          <w:rFonts w:ascii="Calibri" w:hAnsi="Calibri"/>
          <w:b/>
          <w:i w:val="0"/>
          <w:color w:val="000000"/>
          <w:sz w:val="20"/>
        </w:rPr>
        <w:t>After Galascope (10%) + investor 12.5% + cap applied:</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72.5%</w:t>
            </w:r>
          </w:p>
        </w:tc>
      </w:tr>
      <w:tr>
        <w:tc>
          <w:tcPr>
            <w:tcW w:type="dxa" w:w="4703"/>
          </w:tcPr>
          <w:p>
            <w:r/>
            <w:r>
              <w:rPr>
                <w:rFonts w:ascii="Calibri" w:hAnsi="Calibri"/>
                <w:b w:val="0"/>
                <w:i w:val="0"/>
                <w:color w:val="000000"/>
                <w:sz w:val="18"/>
              </w:rPr>
              <w:t>Third Party Investor</w:t>
            </w:r>
          </w:p>
        </w:tc>
        <w:tc>
          <w:tcPr>
            <w:tcW w:type="dxa" w:w="4703"/>
          </w:tcPr>
          <w:p>
            <w:r/>
            <w:r>
              <w:rPr>
                <w:rFonts w:ascii="Calibri" w:hAnsi="Calibri"/>
                <w:b w:val="0"/>
                <w:i w:val="0"/>
                <w:color w:val="000000"/>
                <w:sz w:val="18"/>
              </w:rPr>
              <w:t>12.5%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15% (not 20%)</w:t>
            </w:r>
          </w:p>
        </w:tc>
      </w:tr>
      <w:tr>
        <w:tc>
          <w:tcPr>
            <w:tcW w:type="dxa" w:w="4703"/>
          </w:tcPr>
          <w:p>
            <w:r/>
            <w:r>
              <w:rPr>
                <w:rFonts w:ascii="Calibri" w:hAnsi="Calibri"/>
                <w:b w:val="0"/>
                <w:i w:val="0"/>
                <w:color w:val="000000"/>
                <w:sz w:val="18"/>
              </w:rPr>
              <w:t>*Founder pays MD*</w:t>
            </w:r>
          </w:p>
        </w:tc>
        <w:tc>
          <w:tcPr>
            <w:tcW w:type="dxa" w:w="4703"/>
          </w:tcPr>
          <w:p>
            <w:r/>
            <w:r>
              <w:rPr>
                <w:rFonts w:ascii="Calibri" w:hAnsi="Calibri"/>
                <w:b w:val="0"/>
                <w:i w:val="0"/>
                <w:color w:val="000000"/>
                <w:sz w:val="18"/>
              </w:rPr>
              <w:t>*€150k participation fee*</w:t>
            </w:r>
          </w:p>
        </w:tc>
      </w:tr>
    </w:tbl>
    <w:p/>
    <w:p>
      <w:pPr>
        <w:spacing w:before="240"/>
      </w:pPr>
      <w:r>
        <w:rPr>
          <w:rFonts w:ascii="Calibri" w:hAnsi="Calibri"/>
          <w:b/>
          <w:i w:val="0"/>
          <w:color w:val="C9A432"/>
          <w:sz w:val="24"/>
        </w:rPr>
        <w:t>10. Signature block</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Party</w:t>
            </w:r>
          </w:p>
        </w:tc>
        <w:tc>
          <w:tcPr>
            <w:tcW w:type="dxa" w:w="4703"/>
            <w:shd w:fill="1A365D" w:val="clear"/>
          </w:tcPr>
          <w:p>
            <w:r/>
            <w:r>
              <w:rPr>
                <w:rFonts w:ascii="Calibri" w:hAnsi="Calibri"/>
                <w:b/>
                <w:i w:val="0"/>
                <w:color w:val="FFFFFF"/>
                <w:sz w:val="18"/>
              </w:rPr>
              <w:t>Signatory</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Dr. Arkadiusz Sybaris for and on behalf of Lighthief International Ltd</w:t>
            </w:r>
          </w:p>
        </w:tc>
      </w:tr>
      <w:tr>
        <w:tc>
          <w:tcPr>
            <w:tcW w:type="dxa" w:w="4703"/>
          </w:tcPr>
          <w:p>
            <w:r/>
            <w:r>
              <w:rPr>
                <w:rFonts w:ascii="Calibri" w:hAnsi="Calibri"/>
                <w:b w:val="0"/>
                <w:i w:val="0"/>
                <w:color w:val="000000"/>
                <w:sz w:val="18"/>
              </w:rPr>
              <w:t>Company</w:t>
            </w:r>
          </w:p>
        </w:tc>
        <w:tc>
          <w:tcPr>
            <w:tcW w:type="dxa" w:w="4703"/>
          </w:tcPr>
          <w:p>
            <w:r/>
            <w:r>
              <w:rPr>
                <w:rFonts w:ascii="Calibri" w:hAnsi="Calibri"/>
                <w:b w:val="0"/>
                <w:i w:val="0"/>
                <w:color w:val="000000"/>
                <w:sz w:val="18"/>
              </w:rPr>
              <w:t>Alexander Papacosta, Director (acknowledges terms)</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Alexander Papacosta</w:t>
            </w:r>
          </w:p>
        </w:tc>
      </w:tr>
    </w:tbl>
    <w:p/>
    <w:p>
      <w:pPr>
        <w:jc w:val="both"/>
      </w:pPr>
      <w:r>
        <w:rPr>
          <w:rFonts w:ascii="Calibri" w:hAnsi="Calibri"/>
          <w:b w:val="0"/>
          <w:i w:val="0"/>
          <w:color w:val="000000"/>
          <w:sz w:val="20"/>
        </w:rPr>
        <w:t>Annex A: EPC contract references (Galascope / Esperia)</w:t>
      </w:r>
    </w:p>
    <w:p>
      <w:pPr>
        <w:jc w:val="both"/>
      </w:pPr>
      <w:r>
        <w:rPr>
          <w:rFonts w:ascii="Calibri" w:hAnsi="Calibri"/>
          <w:b w:val="0"/>
          <w:i w:val="0"/>
          <w:color w:val="000000"/>
          <w:sz w:val="20"/>
        </w:rPr>
        <w:t>Annex B: Good Reason (cross-ref employment)</w:t>
      </w:r>
    </w:p>
    <w:p>
      <w:pPr>
        <w:jc w:val="both"/>
      </w:pPr>
      <w:r>
        <w:rPr>
          <w:rFonts w:ascii="Calibri" w:hAnsi="Calibri"/>
          <w:b w:val="0"/>
          <w:i w:val="0"/>
          <w:color w:val="000000"/>
          <w:sz w:val="20"/>
        </w:rPr>
        <w:t>Annex C: Shareholder loan schedule (if any)</w:t>
      </w:r>
    </w:p>
    <w:p>
      <w:pPr>
        <w:jc w:val="both"/>
      </w:pPr>
      <w:r>
        <w:rPr>
          <w:rFonts w:ascii="Calibri" w:hAnsi="Calibri"/>
          <w:b w:val="0"/>
          <w:i w:val="0"/>
          <w:color w:val="000000"/>
          <w:sz w:val="20"/>
        </w:rPr>
        <w:t>End of draft — reflects founder verbal May 2026: 10% per major EPC sign, 15% cap if investor path. Not legal advice.</w:t>
      </w:r>
    </w:p>
    <w:p/>
    <w:p>
      <w:r>
        <w:rPr>
          <w:rFonts w:ascii="Calibri" w:hAnsi="Calibri"/>
          <w:b/>
          <w:i w:val="0"/>
          <w:color w:val="C9A432"/>
          <w:sz w:val="24"/>
        </w:rPr>
        <w:t>SIGNATURES</w:t>
      </w:r>
    </w:p>
    <w:p/>
    <w:p>
      <w:r>
        <w:rPr>
          <w:rFonts w:ascii="Calibri" w:hAnsi="Calibri"/>
          <w:b/>
          <w:i w:val="0"/>
          <w:color w:val="000000"/>
          <w:sz w:val="20"/>
        </w:rPr>
        <w:t>Founder: Dr. Arkadiusz Sybaris for Lighthief International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Company: Lighthief Cyprus Ltd — Director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Alexander Papacosta</w:t>
      </w:r>
    </w:p>
    <w:p>
      <w:r>
        <w:rPr>
          <w:rFonts w:ascii="Calibri" w:hAnsi="Calibri"/>
          <w:b w:val="0"/>
          <w:i w:val="0"/>
          <w:color w:val="000000"/>
          <w:sz w:val="20"/>
        </w:rPr>
        <w:t>Signature: ______________________   Date: ______________________</w:t>
      </w:r>
    </w:p>
    <w:p>
      <w:pPr>
        <w:sectPr>
          <w:footerReference w:type="default" r:id="rId24"/>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OPTION A: FOUNDER RUNWAY &amp; MD ECONOMICS (HEADS OF TERMS)</w:t>
      </w:r>
    </w:p>
    <w:p/>
    <w:p>
      <w:pPr>
        <w:jc w:val="both"/>
      </w:pPr>
      <w:r>
        <w:rPr>
          <w:rFonts w:ascii="Calibri" w:hAnsi="Calibri"/>
          <w:b w:val="0"/>
          <w:i w:val="0"/>
          <w:color w:val="000000"/>
          <w:sz w:val="20"/>
        </w:rPr>
        <w:t>Status: TEMPLATE — requires Cyprus legal review before signature</w:t>
      </w:r>
    </w:p>
    <w:p>
      <w:pPr>
        <w:jc w:val="both"/>
      </w:pPr>
      <w:r>
        <w:rPr>
          <w:rFonts w:ascii="Calibri" w:hAnsi="Calibri"/>
          <w:b w:val="0"/>
          <w:i w:val="0"/>
          <w:color w:val="000000"/>
          <w:sz w:val="20"/>
        </w:rPr>
        <w:t>Parties (fill in): Lighthief Cyprus Ltd (“Company”) · [Founder full legal name] (“Founder”) · Alexander Papacosta (“MD”) in capacity as [Managing Director / employee — as advised]</w:t>
      </w:r>
    </w:p>
    <w:p>
      <w:pPr>
        <w:jc w:val="both"/>
      </w:pPr>
      <w:r>
        <w:rPr>
          <w:rFonts w:ascii="Calibri" w:hAnsi="Calibri"/>
          <w:b w:val="0"/>
          <w:i w:val="0"/>
          <w:color w:val="000000"/>
          <w:sz w:val="20"/>
        </w:rPr>
        <w:t>Purpose: Record binding or pre-contractual commitments so the Company can execute the client contract without relying on informal founder support. Counsel may convert this into a loan agreement, shareholder resolution, side letter, or amended SHA.</w:t>
      </w:r>
    </w:p>
    <w:p>
      <w:pPr>
        <w:spacing w:before="240"/>
      </w:pPr>
      <w:r>
        <w:rPr>
          <w:rFonts w:ascii="Calibri" w:hAnsi="Calibri"/>
          <w:b/>
          <w:i w:val="0"/>
          <w:color w:val="C9A432"/>
          <w:sz w:val="24"/>
        </w:rPr>
        <w:t>Recitals (to be adapted by counsel)</w:t>
      </w:r>
    </w:p>
    <w:p>
      <w:pPr>
        <w:pStyle w:val="ListBullet"/>
      </w:pPr>
      <w:r>
        <w:rPr>
          <w:rFonts w:ascii="Calibri" w:hAnsi="Calibri"/>
          <w:b w:val="0"/>
          <w:i w:val="0"/>
          <w:color w:val="000000"/>
          <w:sz w:val="20"/>
        </w:rPr>
        <w:t>The Company intends to enter into [describe client contract / LOI reference] (“Client Contract”).</w:t>
      </w:r>
    </w:p>
    <w:p>
      <w:pPr>
        <w:pStyle w:val="ListBullet"/>
      </w:pPr>
      <w:r>
        <w:rPr>
          <w:rFonts w:ascii="Calibri" w:hAnsi="Calibri"/>
          <w:b w:val="0"/>
          <w:i w:val="0"/>
          <w:color w:val="000000"/>
          <w:sz w:val="20"/>
        </w:rPr>
        <w:t>The MD has built sales pipeline and requires certainty on company liquidity and MD compensation to support execution.</w:t>
      </w:r>
    </w:p>
    <w:p>
      <w:pPr>
        <w:pStyle w:val="ListBullet"/>
      </w:pPr>
      <w:r>
        <w:rPr>
          <w:rFonts w:ascii="Calibri" w:hAnsi="Calibri"/>
          <w:b w:val="0"/>
          <w:i w:val="0"/>
          <w:color w:val="000000"/>
          <w:sz w:val="20"/>
        </w:rPr>
        <w:t>The Founder is willing to provide Option A support as set out below.</w:t>
      </w:r>
    </w:p>
    <w:p>
      <w:pPr>
        <w:spacing w:before="240"/>
      </w:pPr>
      <w:r>
        <w:rPr>
          <w:rFonts w:ascii="Calibri" w:hAnsi="Calibri"/>
          <w:b/>
          <w:i w:val="0"/>
          <w:color w:val="C9A432"/>
          <w:sz w:val="24"/>
        </w:rPr>
        <w:t>1. Founder liquidity support (choose one sub-structure; counsel to draft)</w:t>
      </w:r>
    </w:p>
    <w:p>
      <w:pPr>
        <w:jc w:val="both"/>
      </w:pPr>
      <w:r>
        <w:rPr>
          <w:rFonts w:ascii="Calibri" w:hAnsi="Calibri"/>
          <w:b/>
          <w:i w:val="0"/>
          <w:color w:val="000000"/>
          <w:sz w:val="20"/>
        </w:rPr>
        <w:t>1A. Shareholder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Currency</w:t>
            </w:r>
          </w:p>
        </w:tc>
        <w:tc>
          <w:tcPr>
            <w:tcW w:type="dxa" w:w="4703"/>
          </w:tcPr>
          <w:p>
            <w:r/>
            <w:r>
              <w:rPr>
                <w:rFonts w:ascii="Calibri" w:hAnsi="Calibri"/>
                <w:b w:val="0"/>
                <w:i w:val="0"/>
                <w:color w:val="000000"/>
                <w:sz w:val="18"/>
              </w:rPr>
              <w:t>EUR</w:t>
            </w:r>
          </w:p>
        </w:tc>
      </w:tr>
      <w:tr>
        <w:tc>
          <w:tcPr>
            <w:tcW w:type="dxa" w:w="4703"/>
          </w:tcPr>
          <w:p>
            <w:r/>
            <w:r>
              <w:rPr>
                <w:rFonts w:ascii="Calibri" w:hAnsi="Calibri"/>
                <w:b w:val="0"/>
                <w:i w:val="0"/>
                <w:color w:val="000000"/>
                <w:sz w:val="18"/>
              </w:rPr>
              <w:t>Purpose</w:t>
            </w:r>
          </w:p>
        </w:tc>
        <w:tc>
          <w:tcPr>
            <w:tcW w:type="dxa" w:w="4703"/>
          </w:tcPr>
          <w:p>
            <w:r/>
            <w:r>
              <w:rPr>
                <w:rFonts w:ascii="Calibri" w:hAnsi="Calibri"/>
                <w:b w:val="0"/>
                <w:i w:val="0"/>
                <w:color w:val="000000"/>
                <w:sz w:val="18"/>
              </w:rPr>
              <w:t>Working capital: payroll, premises, [VAT bridge / other — specify]</w:t>
            </w:r>
          </w:p>
        </w:tc>
      </w:tr>
      <w:tr>
        <w:tc>
          <w:tcPr>
            <w:tcW w:type="dxa" w:w="4703"/>
          </w:tcPr>
          <w:p>
            <w:r/>
            <w:r>
              <w:rPr>
                <w:rFonts w:ascii="Calibri" w:hAnsi="Calibri"/>
                <w:b w:val="0"/>
                <w:i w:val="0"/>
                <w:color w:val="000000"/>
                <w:sz w:val="18"/>
              </w:rPr>
              <w:t>Interest</w:t>
            </w:r>
          </w:p>
        </w:tc>
        <w:tc>
          <w:tcPr>
            <w:tcW w:type="dxa" w:w="4703"/>
          </w:tcPr>
          <w:p>
            <w:r/>
            <w:r>
              <w:rPr>
                <w:rFonts w:ascii="Calibri" w:hAnsi="Calibri"/>
                <w:b w:val="0"/>
                <w:i w:val="0"/>
                <w:color w:val="000000"/>
                <w:sz w:val="18"/>
              </w:rPr>
              <w:t>[None / fixed / floating — as legally permitted]</w:t>
            </w:r>
          </w:p>
        </w:tc>
      </w:tr>
      <w:tr>
        <w:tc>
          <w:tcPr>
            <w:tcW w:type="dxa" w:w="4703"/>
          </w:tcPr>
          <w:p>
            <w:r/>
            <w:r>
              <w:rPr>
                <w:rFonts w:ascii="Calibri" w:hAnsi="Calibri"/>
                <w:b w:val="0"/>
                <w:i w:val="0"/>
                <w:color w:val="000000"/>
                <w:sz w:val="18"/>
              </w:rPr>
              <w:t>Repayment</w:t>
            </w:r>
          </w:p>
        </w:tc>
        <w:tc>
          <w:tcPr>
            <w:tcW w:type="dxa" w:w="4703"/>
          </w:tcPr>
          <w:p>
            <w:r/>
            <w:r>
              <w:rPr>
                <w:rFonts w:ascii="Calibri" w:hAnsi="Calibri"/>
                <w:b w:val="0"/>
                <w:i w:val="0"/>
                <w:color w:val="000000"/>
                <w:sz w:val="18"/>
              </w:rPr>
              <w:t>[From Client Contract milestones / from distributable profits / schedule]</w:t>
            </w:r>
          </w:p>
        </w:tc>
      </w:tr>
      <w:tr>
        <w:tc>
          <w:tcPr>
            <w:tcW w:type="dxa" w:w="4703"/>
          </w:tcPr>
          <w:p>
            <w:r/>
            <w:r>
              <w:rPr>
                <w:rFonts w:ascii="Calibri" w:hAnsi="Calibri"/>
                <w:b w:val="0"/>
                <w:i w:val="0"/>
                <w:color w:val="000000"/>
                <w:sz w:val="18"/>
              </w:rPr>
              <w:t>Subordination</w:t>
            </w:r>
          </w:p>
        </w:tc>
        <w:tc>
          <w:tcPr>
            <w:tcW w:type="dxa" w:w="4703"/>
          </w:tcPr>
          <w:p>
            <w:r/>
            <w:r>
              <w:rPr>
                <w:rFonts w:ascii="Calibri" w:hAnsi="Calibri"/>
                <w:b w:val="0"/>
                <w:i w:val="0"/>
                <w:color w:val="000000"/>
                <w:sz w:val="18"/>
              </w:rPr>
              <w:t>[Subordinated to third-party lenders / pari passu — specify]</w:t>
            </w:r>
          </w:p>
        </w:tc>
      </w:tr>
      <w:tr>
        <w:tc>
          <w:tcPr>
            <w:tcW w:type="dxa" w:w="4703"/>
          </w:tcPr>
          <w:p>
            <w:r/>
            <w:r>
              <w:rPr>
                <w:rFonts w:ascii="Calibri" w:hAnsi="Calibri"/>
                <w:b w:val="0"/>
                <w:i w:val="0"/>
                <w:color w:val="000000"/>
                <w:sz w:val="18"/>
              </w:rPr>
              <w:t>Drawdown</w:t>
            </w:r>
          </w:p>
        </w:tc>
        <w:tc>
          <w:tcPr>
            <w:tcW w:type="dxa" w:w="4703"/>
          </w:tcPr>
          <w:p>
            <w:r/>
            <w:r>
              <w:rPr>
                <w:rFonts w:ascii="Calibri" w:hAnsi="Calibri"/>
                <w:b w:val="0"/>
                <w:i w:val="0"/>
                <w:color w:val="000000"/>
                <w:sz w:val="18"/>
              </w:rPr>
              <w:t>By [date] / upon Client Contract signature</w:t>
            </w:r>
          </w:p>
        </w:tc>
      </w:tr>
      <w:tr>
        <w:tc>
          <w:tcPr>
            <w:tcW w:type="dxa" w:w="4703"/>
          </w:tcPr>
          <w:p>
            <w:r/>
            <w:r>
              <w:rPr>
                <w:rFonts w:ascii="Calibri" w:hAnsi="Calibri"/>
                <w:b w:val="0"/>
                <w:i w:val="0"/>
                <w:color w:val="000000"/>
                <w:sz w:val="18"/>
              </w:rPr>
              <w:t>Condition</w:t>
            </w:r>
          </w:p>
        </w:tc>
        <w:tc>
          <w:tcPr>
            <w:tcW w:type="dxa" w:w="4703"/>
          </w:tcPr>
          <w:p>
            <w:r/>
            <w:r>
              <w:rPr>
                <w:rFonts w:ascii="Calibri" w:hAnsi="Calibri"/>
                <w:b w:val="0"/>
                <w:i w:val="0"/>
                <w:color w:val="000000"/>
                <w:sz w:val="18"/>
              </w:rPr>
              <w:t>[Optional] Drawdown available only if Client Contract signed by [date]</w:t>
            </w:r>
          </w:p>
        </w:tc>
      </w:tr>
    </w:tbl>
    <w:p/>
    <w:p>
      <w:pPr>
        <w:jc w:val="both"/>
      </w:pPr>
      <w:r>
        <w:rPr>
          <w:rFonts w:ascii="Calibri" w:hAnsi="Calibri"/>
          <w:b w:val="0"/>
          <w:i w:val="0"/>
          <w:color w:val="000000"/>
          <w:sz w:val="20"/>
        </w:rPr>
        <w:t>1B. Paid-in capital / equity injection (alternative to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Form</w:t>
            </w:r>
          </w:p>
        </w:tc>
        <w:tc>
          <w:tcPr>
            <w:tcW w:type="dxa" w:w="4703"/>
          </w:tcPr>
          <w:p>
            <w:r/>
            <w:r>
              <w:rPr>
                <w:rFonts w:ascii="Calibri" w:hAnsi="Calibri"/>
                <w:b w:val="0"/>
                <w:i w:val="0"/>
                <w:color w:val="000000"/>
                <w:sz w:val="18"/>
              </w:rPr>
              <w:t>Cash subscription / capital increase</w:t>
            </w:r>
          </w:p>
        </w:tc>
      </w:tr>
      <w:tr>
        <w:tc>
          <w:tcPr>
            <w:tcW w:type="dxa" w:w="4703"/>
          </w:tcPr>
          <w:p>
            <w:r/>
            <w:r>
              <w:rPr>
                <w:rFonts w:ascii="Calibri" w:hAnsi="Calibri"/>
                <w:b w:val="0"/>
                <w:i w:val="0"/>
                <w:color w:val="000000"/>
                <w:sz w:val="18"/>
              </w:rPr>
              <w:t>Valuation / shares</w:t>
            </w:r>
          </w:p>
        </w:tc>
        <w:tc>
          <w:tcPr>
            <w:tcW w:type="dxa" w:w="4703"/>
          </w:tcPr>
          <w:p>
            <w:r/>
            <w:r>
              <w:rPr>
                <w:rFonts w:ascii="Calibri" w:hAnsi="Calibri"/>
                <w:b w:val="0"/>
                <w:i w:val="0"/>
                <w:color w:val="000000"/>
                <w:sz w:val="18"/>
              </w:rPr>
              <w:t>[Per counsel and existing SHA]</w:t>
            </w:r>
          </w:p>
        </w:tc>
      </w:tr>
    </w:tbl>
    <w:p/>
    <w:p>
      <w:pPr>
        <w:spacing w:before="240"/>
      </w:pPr>
      <w:r>
        <w:rPr>
          <w:rFonts w:ascii="Calibri" w:hAnsi="Calibri"/>
          <w:b/>
          <w:i w:val="0"/>
          <w:color w:val="C9A432"/>
          <w:sz w:val="24"/>
        </w:rPr>
        <w:t>2. Premises &amp; in-kind (if relevant)</w:t>
      </w:r>
    </w:p>
    <w:p>
      <w:pPr>
        <w:pStyle w:val="ListBullet"/>
      </w:pPr>
      <w:r>
        <w:rPr>
          <w:rFonts w:ascii="Calibri" w:hAnsi="Calibri"/>
          <w:b w:val="0"/>
          <w:i w:val="0"/>
          <w:color w:val="000000"/>
          <w:sz w:val="20"/>
        </w:rPr>
        <w:t>Office and/or warehouse: If Founder provides premises, either (a) arm’s-length lease at €[6,700] / month or (b) documented contribution in kind with value and board approval — as counsel advises.</w:t>
      </w:r>
    </w:p>
    <w:p>
      <w:pPr>
        <w:pStyle w:val="ListBullet"/>
      </w:pPr>
      <w:r>
        <w:rPr>
          <w:rFonts w:ascii="Calibri" w:hAnsi="Calibri"/>
          <w:b w:val="0"/>
          <w:i w:val="0"/>
          <w:color w:val="000000"/>
          <w:sz w:val="20"/>
        </w:rPr>
        <w:t>Vehicle: Same — lease or documented benefit; tax treatment per accountant.</w:t>
      </w:r>
    </w:p>
    <w:p>
      <w:pPr>
        <w:spacing w:before="240"/>
      </w:pPr>
      <w:r>
        <w:rPr>
          <w:rFonts w:ascii="Calibri" w:hAnsi="Calibri"/>
          <w:b/>
          <w:i w:val="0"/>
          <w:color w:val="C9A432"/>
          <w:sz w:val="24"/>
        </w:rPr>
        <w:t>3. MD compensation (Founder acknowledges)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Element</w:t>
            </w:r>
          </w:p>
        </w:tc>
        <w:tc>
          <w:tcPr>
            <w:tcW w:type="dxa" w:w="4703"/>
            <w:shd w:fill="1A365D" w:val="clear"/>
          </w:tcPr>
          <w:p>
            <w:r/>
            <w:r>
              <w:rPr>
                <w:rFonts w:ascii="Calibri" w:hAnsi="Calibri"/>
                <w:b/>
                <w:i w:val="0"/>
                <w:color w:val="FFFFFF"/>
                <w:sz w:val="18"/>
              </w:rPr>
              <w:t>Mechanism</w:t>
            </w:r>
          </w:p>
        </w:tc>
      </w:tr>
      <w:tr>
        <w:tc>
          <w:tcPr>
            <w:tcW w:type="dxa" w:w="4703"/>
          </w:tcPr>
          <w:p>
            <w:r/>
            <w:r>
              <w:rPr>
                <w:rFonts w:ascii="Calibri" w:hAnsi="Calibri"/>
                <w:b w:val="0"/>
                <w:i w:val="0"/>
                <w:color w:val="000000"/>
                <w:sz w:val="18"/>
              </w:rPr>
              <w:t>Employment salary (pre-EPC)</w:t>
            </w:r>
          </w:p>
        </w:tc>
        <w:tc>
          <w:tcPr>
            <w:tcW w:type="dxa" w:w="4703"/>
          </w:tcPr>
          <w:p>
            <w:r/>
            <w:r>
              <w:rPr>
                <w:rFonts w:ascii="Calibri" w:hAnsi="Calibri"/>
                <w:b w:val="0"/>
                <w:i w:val="0"/>
                <w:color w:val="000000"/>
                <w:sz w:val="18"/>
              </w:rPr>
              <w:t>€2,000 net/month from 1 July 2025 — formalised in LCY-EMP-AP-2026-001; shareholder ratification LCY-SHR-EMP-2026-001</w:t>
            </w:r>
          </w:p>
        </w:tc>
      </w:tr>
      <w:tr>
        <w:tc>
          <w:tcPr>
            <w:tcW w:type="dxa" w:w="4703"/>
          </w:tcPr>
          <w:p>
            <w:r/>
            <w:r>
              <w:rPr>
                <w:rFonts w:ascii="Calibri" w:hAnsi="Calibri"/>
                <w:b w:val="0"/>
                <w:i w:val="0"/>
                <w:color w:val="000000"/>
                <w:sz w:val="18"/>
              </w:rPr>
              <w:t>Employment salary (from EPC sign)</w:t>
            </w:r>
          </w:p>
        </w:tc>
        <w:tc>
          <w:tcPr>
            <w:tcW w:type="dxa" w:w="4703"/>
          </w:tcPr>
          <w:p>
            <w:r/>
            <w:r>
              <w:rPr>
                <w:rFonts w:ascii="Calibri" w:hAnsi="Calibri"/>
                <w:b w:val="0"/>
                <w:i w:val="0"/>
                <w:color w:val="000000"/>
                <w:sz w:val="18"/>
              </w:rPr>
              <w:t>€5,000 gross/month from Galascope EPC Effective Date (signed &amp; stamped both parties)</w:t>
            </w:r>
          </w:p>
        </w:tc>
      </w:tr>
      <w:tr>
        <w:tc>
          <w:tcPr>
            <w:tcW w:type="dxa" w:w="4703"/>
          </w:tcPr>
          <w:p>
            <w:r/>
            <w:r>
              <w:rPr>
                <w:rFonts w:ascii="Calibri" w:hAnsi="Calibri"/>
                <w:b w:val="0"/>
                <w:i w:val="0"/>
                <w:color w:val="000000"/>
                <w:sz w:val="18"/>
              </w:rPr>
              <w:t>Introducer / commission</w:t>
            </w:r>
          </w:p>
        </w:tc>
        <w:tc>
          <w:tcPr>
            <w:tcW w:type="dxa" w:w="4703"/>
          </w:tcPr>
          <w:p>
            <w:r/>
            <w:r>
              <w:rPr>
                <w:rFonts w:ascii="Calibri" w:hAnsi="Calibri"/>
                <w:b w:val="0"/>
                <w:i w:val="0"/>
                <w:color w:val="000000"/>
                <w:sz w:val="18"/>
              </w:rPr>
              <w:t>Per Moi Ostrov agreement (LCY-MOI-TOCA-2026-001) only — no duplicate commission in this document</w:t>
            </w:r>
          </w:p>
        </w:tc>
      </w:tr>
      <w:tr>
        <w:tc>
          <w:tcPr>
            <w:tcW w:type="dxa" w:w="4703"/>
          </w:tcPr>
          <w:p>
            <w:r/>
            <w:r>
              <w:rPr>
                <w:rFonts w:ascii="Calibri" w:hAnsi="Calibri"/>
                <w:b w:val="0"/>
                <w:i w:val="0"/>
                <w:color w:val="000000"/>
                <w:sz w:val="18"/>
              </w:rPr>
              <w:t>Accrued / informal periods</w:t>
            </w:r>
          </w:p>
        </w:tc>
        <w:tc>
          <w:tcPr>
            <w:tcW w:type="dxa" w:w="4703"/>
          </w:tcPr>
          <w:p>
            <w:r/>
            <w:r>
              <w:rPr>
                <w:rFonts w:ascii="Calibri" w:hAnsi="Calibri"/>
                <w:b w:val="0"/>
                <w:i w:val="0"/>
                <w:color w:val="000000"/>
                <w:sz w:val="18"/>
              </w:rPr>
              <w:t>Ratified in shareholder employment resolution; payroll adviser to confirm gross equivalents for net periods</w:t>
            </w:r>
          </w:p>
        </w:tc>
      </w:tr>
      <w:tr>
        <w:tc>
          <w:tcPr>
            <w:tcW w:type="dxa" w:w="4703"/>
          </w:tcPr>
          <w:p>
            <w:r/>
            <w:r>
              <w:rPr>
                <w:rFonts w:ascii="Calibri" w:hAnsi="Calibri"/>
                <w:b w:val="0"/>
                <w:i w:val="0"/>
                <w:color w:val="000000"/>
                <w:sz w:val="18"/>
              </w:rPr>
              <w:t>Deferral</w:t>
            </w:r>
          </w:p>
        </w:tc>
        <w:tc>
          <w:tcPr>
            <w:tcW w:type="dxa" w:w="4703"/>
          </w:tcPr>
          <w:p>
            <w:r/>
            <w:r>
              <w:rPr>
                <w:rFonts w:ascii="Calibri" w:hAnsi="Calibri"/>
                <w:b w:val="0"/>
                <w:i w:val="0"/>
                <w:color w:val="000000"/>
                <w:sz w:val="18"/>
              </w:rPr>
              <w:t>Any deferral of salary documented as accrued liability in Company books</w:t>
            </w:r>
          </w:p>
        </w:tc>
      </w:tr>
    </w:tbl>
    <w:p/>
    <w:p>
      <w:pPr>
        <w:spacing w:before="240"/>
      </w:pPr>
      <w:r>
        <w:rPr>
          <w:rFonts w:ascii="Calibri" w:hAnsi="Calibri"/>
          <w:b/>
          <w:i w:val="0"/>
          <w:color w:val="C9A432"/>
          <w:sz w:val="24"/>
        </w:rPr>
        <w:t>4. Governance</w:t>
      </w:r>
    </w:p>
    <w:p>
      <w:pPr>
        <w:pStyle w:val="ListBullet"/>
      </w:pPr>
      <w:r>
        <w:rPr>
          <w:rFonts w:ascii="Calibri" w:hAnsi="Calibri"/>
          <w:b w:val="0"/>
          <w:i w:val="0"/>
          <w:color w:val="000000"/>
          <w:sz w:val="20"/>
        </w:rPr>
        <w:t>Board reporting: [Monthly] liquidity report to board / Founder during Client Contract execution phase.</w:t>
      </w:r>
    </w:p>
    <w:p>
      <w:pPr>
        <w:pStyle w:val="ListBullet"/>
      </w:pPr>
      <w:r>
        <w:rPr>
          <w:rFonts w:ascii="Calibri" w:hAnsi="Calibri"/>
          <w:b w:val="0"/>
          <w:i w:val="0"/>
          <w:color w:val="000000"/>
          <w:sz w:val="20"/>
        </w:rPr>
        <w:t>Reserved matters: [List: additional borrowings, guarantees above €X, new share issues — per counsel]</w:t>
      </w:r>
    </w:p>
    <w:p>
      <w:pPr>
        <w:spacing w:before="240"/>
      </w:pPr>
      <w:r>
        <w:rPr>
          <w:rFonts w:ascii="Calibri" w:hAnsi="Calibri"/>
          <w:b/>
          <w:i w:val="0"/>
          <w:color w:val="C9A432"/>
          <w:sz w:val="24"/>
        </w:rPr>
        <w:t>5. Condition precedent (optional — counsel to draft)</w:t>
      </w:r>
    </w:p>
    <w:p>
      <w:pPr>
        <w:jc w:val="both"/>
      </w:pPr>
      <w:r>
        <w:rPr>
          <w:rFonts w:ascii="Calibri" w:hAnsi="Calibri"/>
          <w:b w:val="0"/>
          <w:i w:val="0"/>
          <w:color w:val="000000"/>
          <w:sz w:val="20"/>
        </w:rPr>
        <w:t>Example:* Founder’s obligation to advance the loan / capital is conditional upon [Client Contract executed by [date] / MD remaining MD / other].</w:t>
      </w:r>
    </w:p>
    <w:p>
      <w:pPr>
        <w:jc w:val="both"/>
      </w:pPr>
      <w:r>
        <w:rPr>
          <w:rFonts w:ascii="Calibri" w:hAnsi="Calibri"/>
          <w:b w:val="0"/>
          <w:i w:val="0"/>
          <w:color w:val="000000"/>
          <w:sz w:val="20"/>
        </w:rPr>
        <w:t>Alternative:* Commitments are unconditional but MD’s recommendation to sign Client Contract is subject to separate board resolution.</w:t>
      </w:r>
    </w:p>
    <w:p>
      <w:pPr>
        <w:spacing w:before="240"/>
      </w:pPr>
      <w:r>
        <w:rPr>
          <w:rFonts w:ascii="Calibri" w:hAnsi="Calibri"/>
          <w:b/>
          <w:i w:val="0"/>
          <w:color w:val="C9A432"/>
          <w:sz w:val="24"/>
        </w:rPr>
        <w:t>6. Representations &amp; boilerplate (counsel to insert)</w:t>
      </w:r>
    </w:p>
    <w:p>
      <w:pPr>
        <w:pStyle w:val="ListBullet"/>
      </w:pPr>
      <w:r>
        <w:rPr>
          <w:rFonts w:ascii="Calibri" w:hAnsi="Calibri"/>
          <w:b w:val="0"/>
          <w:i w:val="0"/>
          <w:color w:val="000000"/>
          <w:sz w:val="20"/>
        </w:rPr>
        <w:t>Authority to bind Company; Founder capacity; no conflict with existing SHA; governing law Republic of Cyprus; jurisdiction [Cyprus courts / arbitration]; confidentiality; entire agreement; counterparts.</w:t>
      </w:r>
    </w:p>
    <w:p>
      <w:pPr>
        <w:spacing w:before="240"/>
      </w:pPr>
      <w:r>
        <w:rPr>
          <w:rFonts w:ascii="Calibri" w:hAnsi="Calibri"/>
          <w:b/>
          <w:i w:val="0"/>
          <w:color w:val="C9A432"/>
          <w:sz w:val="24"/>
        </w:rPr>
        <w:t>7. Cross-reference — equity participation</w:t>
      </w:r>
    </w:p>
    <w:p>
      <w:pPr>
        <w:jc w:val="both"/>
      </w:pPr>
      <w:r>
        <w:rPr>
          <w:rFonts w:ascii="Calibri" w:hAnsi="Calibri"/>
          <w:b w:val="0"/>
          <w:i w:val="0"/>
          <w:color w:val="000000"/>
          <w:sz w:val="20"/>
        </w:rPr>
        <w:t>The MD equity participation package (EPC 10% + 10%, investor 15% equity cap, 30% share sale fee, dividend lock) is set out in `DRAFT-EQUITY-PARTICIPATION-SIDE-LETTER.md` (ref LCY-MD-EQ-2026-001). Option A runway terms are independent.</w:t>
      </w:r>
    </w:p>
    <w:p>
      <w:pPr>
        <w:spacing w:before="240"/>
      </w:pPr>
      <w:r>
        <w:rPr>
          <w:rFonts w:ascii="Calibri" w:hAnsi="Calibri"/>
          <w:b/>
          <w:i w:val="0"/>
          <w:color w:val="C9A432"/>
          <w:sz w:val="24"/>
        </w:rPr>
        <w:t>8. MD equity participation package (EPC 10% + 10%, investor cap 15%)</w:t>
      </w:r>
    </w:p>
    <w:p>
      <w:pPr>
        <w:jc w:val="both"/>
      </w:pPr>
      <w:r>
        <w:rPr>
          <w:rFonts w:ascii="Calibri" w:hAnsi="Calibri"/>
          <w:b w:val="0"/>
          <w:i w:val="0"/>
          <w:color w:val="000000"/>
          <w:sz w:val="20"/>
        </w:rPr>
        <w:t>Use when: Founder has verbally agreed: (i) 10% equity on Galascope EPC signing, (ii) another 10% on Esperia EPC signing ( 20% max on delivery path), (iii) if a third-party investor closes and subscription cash is shared with MD, 30% participation fee on that cash but MD equity capped at 15% total, and (iv) no dividends for 3 years.</w:t>
      </w:r>
    </w:p>
    <w:p>
      <w:pPr>
        <w:jc w:val="both"/>
      </w:pPr>
      <w:r>
        <w:rPr>
          <w:rFonts w:ascii="Calibri" w:hAnsi="Calibri"/>
          <w:b w:val="0"/>
          <w:i w:val="0"/>
          <w:color w:val="000000"/>
          <w:sz w:val="20"/>
        </w:rPr>
        <w:t>Full draft: `DRAFT-EQUITY-PARTICIPATION-SIDE-LETTER.md` — counsel converts to executable side letter + SHA amendment.</w:t>
      </w:r>
    </w:p>
    <w:p>
      <w:pPr>
        <w:jc w:val="both"/>
      </w:pPr>
      <w:r>
        <w:rPr>
          <w:rFonts w:ascii="Calibri" w:hAnsi="Calibri"/>
          <w:b w:val="0"/>
          <w:i w:val="0"/>
          <w:color w:val="000000"/>
          <w:sz w:val="20"/>
        </w:rPr>
        <w:t>Separate from Moi Ostrov commission (30% Net Margin on EPC). Both can coexist — different bases.</w:t>
      </w:r>
    </w:p>
    <w:p>
      <w:r>
        <w:rPr>
          <w:rFonts w:ascii="Calibri" w:hAnsi="Calibri"/>
          <w:b/>
          <w:i w:val="0"/>
          <w:color w:val="1A365D"/>
          <w:sz w:val="22"/>
        </w:rPr>
        <w:t>8.1 Economics (founder proposal — May 2026)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Track</w:t>
            </w:r>
          </w:p>
        </w:tc>
        <w:tc>
          <w:tcPr>
            <w:tcW w:type="dxa" w:w="2351"/>
            <w:shd w:fill="1A365D" w:val="clear"/>
          </w:tcPr>
          <w:p>
            <w:r/>
            <w:r>
              <w:rPr>
                <w:rFonts w:ascii="Calibri" w:hAnsi="Calibri"/>
                <w:b/>
                <w:i w:val="0"/>
                <w:color w:val="FFFFFF"/>
                <w:sz w:val="18"/>
              </w:rPr>
              <w:t>Trigger</w:t>
            </w:r>
          </w:p>
        </w:tc>
        <w:tc>
          <w:tcPr>
            <w:tcW w:type="dxa" w:w="2351"/>
            <w:shd w:fill="1A365D" w:val="clear"/>
          </w:tcPr>
          <w:p>
            <w:r/>
            <w:r>
              <w:rPr>
                <w:rFonts w:ascii="Calibri" w:hAnsi="Calibri"/>
                <w:b/>
                <w:i w:val="0"/>
                <w:color w:val="FFFFFF"/>
                <w:sz w:val="18"/>
              </w:rPr>
              <w:t>MD equity</w:t>
            </w:r>
          </w:p>
        </w:tc>
        <w:tc>
          <w:tcPr>
            <w:tcW w:type="dxa" w:w="2351"/>
            <w:shd w:fill="1A365D" w:val="clear"/>
          </w:tcPr>
          <w:p>
            <w:r/>
            <w:r>
              <w:rPr>
                <w:rFonts w:ascii="Calibri" w:hAnsi="Calibri"/>
                <w:b/>
                <w:i w:val="0"/>
                <w:color w:val="FFFFFF"/>
                <w:sz w:val="18"/>
              </w:rPr>
              <w:t>MD cash</w:t>
            </w:r>
          </w:p>
        </w:tc>
      </w:tr>
      <w:tr>
        <w:tc>
          <w:tcPr>
            <w:tcW w:type="dxa" w:w="2351"/>
          </w:tcPr>
          <w:p>
            <w:r/>
            <w:r>
              <w:rPr>
                <w:rFonts w:ascii="Calibri" w:hAnsi="Calibri"/>
                <w:b w:val="0"/>
                <w:i w:val="0"/>
                <w:color w:val="000000"/>
                <w:sz w:val="18"/>
              </w:rPr>
              <w:t>EPC — Galascope</w:t>
            </w:r>
          </w:p>
        </w:tc>
        <w:tc>
          <w:tcPr>
            <w:tcW w:type="dxa" w:w="2351"/>
          </w:tcPr>
          <w:p>
            <w:r/>
            <w:r>
              <w:rPr>
                <w:rFonts w:ascii="Calibri" w:hAnsi="Calibri"/>
                <w:b w:val="0"/>
                <w:i w:val="0"/>
                <w:color w:val="000000"/>
                <w:sz w:val="18"/>
              </w:rPr>
              <w:t>Galascope EPC signed &amp; stamped</w:t>
            </w:r>
          </w:p>
        </w:tc>
        <w:tc>
          <w:tcPr>
            <w:tcW w:type="dxa" w:w="2351"/>
          </w:tcPr>
          <w:p>
            <w:r/>
            <w:r>
              <w:rPr>
                <w:rFonts w:ascii="Calibri" w:hAnsi="Calibri"/>
                <w:b w:val="0"/>
                <w:i w:val="0"/>
                <w:color w:val="000000"/>
                <w:sz w:val="18"/>
              </w:rPr>
              <w:t>10%</w:t>
            </w:r>
          </w:p>
        </w:tc>
        <w:tc>
          <w:tcPr>
            <w:tcW w:type="dxa" w:w="2351"/>
          </w:tcPr>
          <w:p>
            <w:r/>
            <w:r>
              <w:rPr>
                <w:rFonts w:ascii="Calibri" w:hAnsi="Calibri"/>
                <w:b w:val="0"/>
                <w:i w:val="0"/>
                <w:color w:val="000000"/>
                <w:sz w:val="18"/>
              </w:rPr>
              <w:t>—</w:t>
            </w:r>
          </w:p>
        </w:tc>
      </w:tr>
      <w:tr>
        <w:tc>
          <w:tcPr>
            <w:tcW w:type="dxa" w:w="2351"/>
          </w:tcPr>
          <w:p>
            <w:r/>
            <w:r>
              <w:rPr>
                <w:rFonts w:ascii="Calibri" w:hAnsi="Calibri"/>
                <w:b w:val="0"/>
                <w:i w:val="0"/>
                <w:color w:val="000000"/>
                <w:sz w:val="18"/>
              </w:rPr>
              <w:t>EPC — Esperia</w:t>
            </w:r>
          </w:p>
        </w:tc>
        <w:tc>
          <w:tcPr>
            <w:tcW w:type="dxa" w:w="2351"/>
          </w:tcPr>
          <w:p>
            <w:r/>
            <w:r>
              <w:rPr>
                <w:rFonts w:ascii="Calibri" w:hAnsi="Calibri"/>
                <w:b w:val="0"/>
                <w:i w:val="0"/>
                <w:color w:val="000000"/>
                <w:sz w:val="18"/>
              </w:rPr>
              <w:t>Esperia EPC signed &amp; stamped</w:t>
            </w:r>
          </w:p>
        </w:tc>
        <w:tc>
          <w:tcPr>
            <w:tcW w:type="dxa" w:w="2351"/>
          </w:tcPr>
          <w:p>
            <w:r/>
            <w:r>
              <w:rPr>
                <w:rFonts w:ascii="Calibri" w:hAnsi="Calibri"/>
                <w:b w:val="0"/>
                <w:i w:val="0"/>
                <w:color w:val="000000"/>
                <w:sz w:val="18"/>
              </w:rPr>
              <w:t>+10% ( 20% cumulative )</w:t>
            </w:r>
          </w:p>
        </w:tc>
        <w:tc>
          <w:tcPr>
            <w:tcW w:type="dxa" w:w="2351"/>
          </w:tcPr>
          <w:p>
            <w:r/>
            <w:r>
              <w:rPr>
                <w:rFonts w:ascii="Calibri" w:hAnsi="Calibri"/>
                <w:b w:val="0"/>
                <w:i w:val="0"/>
                <w:color w:val="000000"/>
                <w:sz w:val="18"/>
              </w:rPr>
              <w:t>—</w:t>
            </w:r>
          </w:p>
        </w:tc>
      </w:tr>
      <w:tr>
        <w:tc>
          <w:tcPr>
            <w:tcW w:type="dxa" w:w="2351"/>
          </w:tcPr>
          <w:p>
            <w:r/>
            <w:r>
              <w:rPr>
                <w:rFonts w:ascii="Calibri" w:hAnsi="Calibri"/>
                <w:b w:val="0"/>
                <w:i w:val="0"/>
                <w:color w:val="000000"/>
                <w:sz w:val="18"/>
              </w:rPr>
              <w:t>Investor</w:t>
            </w:r>
          </w:p>
        </w:tc>
        <w:tc>
          <w:tcPr>
            <w:tcW w:type="dxa" w:w="2351"/>
          </w:tcPr>
          <w:p>
            <w:r/>
            <w:r>
              <w:rPr>
                <w:rFonts w:ascii="Calibri" w:hAnsi="Calibri"/>
                <w:b w:val="0"/>
                <w:i w:val="0"/>
                <w:color w:val="000000"/>
                <w:sz w:val="18"/>
              </w:rPr>
              <w:t>Qualifying Equity Closing</w:t>
            </w:r>
          </w:p>
        </w:tc>
        <w:tc>
          <w:tcPr>
            <w:tcW w:type="dxa" w:w="2351"/>
          </w:tcPr>
          <w:p>
            <w:r/>
            <w:r>
              <w:rPr>
                <w:rFonts w:ascii="Calibri" w:hAnsi="Calibri"/>
                <w:b w:val="0"/>
                <w:i w:val="0"/>
                <w:color w:val="000000"/>
                <w:sz w:val="18"/>
              </w:rPr>
              <w:t>≤15% total (EPC grants count toward cap)</w:t>
            </w:r>
          </w:p>
        </w:tc>
        <w:tc>
          <w:tcPr>
            <w:tcW w:type="dxa" w:w="2351"/>
          </w:tcPr>
          <w:p>
            <w:r/>
            <w:r>
              <w:rPr>
                <w:rFonts w:ascii="Calibri" w:hAnsi="Calibri"/>
                <w:b w:val="0"/>
                <w:i w:val="0"/>
                <w:color w:val="000000"/>
                <w:sz w:val="18"/>
              </w:rPr>
              <w:t>30% × subscription cash</w:t>
            </w:r>
          </w:p>
        </w:tc>
      </w:tr>
    </w:tbl>
    <w:p/>
    <w:p>
      <w:pPr>
        <w:jc w:val="both"/>
      </w:pPr>
      <w:r>
        <w:rPr>
          <w:rFonts w:ascii="Calibri" w:hAnsi="Calibri"/>
          <w:b w:val="0"/>
          <w:i w:val="0"/>
          <w:color w:val="000000"/>
          <w:sz w:val="20"/>
        </w:rPr>
        <w:t>Replaces prior “25% pool minus sold” / longstop fallback model.</w:t>
      </w:r>
    </w:p>
    <w:p>
      <w:r>
        <w:rPr>
          <w:rFonts w:ascii="Calibri" w:hAnsi="Calibri"/>
          <w:b/>
          <w:i w:val="0"/>
          <w:color w:val="1A365D"/>
          <w:sz w:val="22"/>
        </w:rPr>
        <w:t>8.2 Examples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Outcome</w:t>
            </w:r>
          </w:p>
        </w:tc>
        <w:tc>
          <w:tcPr>
            <w:tcW w:type="dxa" w:w="3135"/>
            <w:shd w:fill="1A365D" w:val="clear"/>
          </w:tcPr>
          <w:p>
            <w:r/>
            <w:r>
              <w:rPr>
                <w:rFonts w:ascii="Calibri" w:hAnsi="Calibri"/>
                <w:b/>
                <w:i w:val="0"/>
                <w:color w:val="FFFFFF"/>
                <w:sz w:val="18"/>
              </w:rPr>
              <w:t>MD shares</w:t>
            </w:r>
          </w:p>
        </w:tc>
        <w:tc>
          <w:tcPr>
            <w:tcW w:type="dxa" w:w="3135"/>
            <w:shd w:fill="1A365D" w:val="clear"/>
          </w:tcPr>
          <w:p>
            <w:r/>
            <w:r>
              <w:rPr>
                <w:rFonts w:ascii="Calibri" w:hAnsi="Calibri"/>
                <w:b/>
                <w:i w:val="0"/>
                <w:color w:val="FFFFFF"/>
                <w:sz w:val="18"/>
              </w:rPr>
              <w:t>MD cash</w:t>
            </w:r>
          </w:p>
        </w:tc>
      </w:tr>
      <w:tr>
        <w:tc>
          <w:tcPr>
            <w:tcW w:type="dxa" w:w="3135"/>
          </w:tcPr>
          <w:p>
            <w:r/>
            <w:r>
              <w:rPr>
                <w:rFonts w:ascii="Calibri" w:hAnsi="Calibri"/>
                <w:b w:val="0"/>
                <w:i w:val="0"/>
                <w:color w:val="000000"/>
                <w:sz w:val="18"/>
              </w:rPr>
              <w:t>Galascope EPC only</w:t>
            </w:r>
          </w:p>
        </w:tc>
        <w:tc>
          <w:tcPr>
            <w:tcW w:type="dxa" w:w="3135"/>
          </w:tcPr>
          <w:p>
            <w:r/>
            <w:r>
              <w:rPr>
                <w:rFonts w:ascii="Calibri" w:hAnsi="Calibri"/>
                <w:b w:val="0"/>
                <w:i w:val="0"/>
                <w:color w:val="000000"/>
                <w:sz w:val="18"/>
              </w:rPr>
              <w:t>10%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Galascope + Esperia EPC, no investor</w:t>
            </w:r>
          </w:p>
        </w:tc>
        <w:tc>
          <w:tcPr>
            <w:tcW w:type="dxa" w:w="3135"/>
          </w:tcPr>
          <w:p>
            <w:r/>
            <w:r>
              <w:rPr>
                <w:rFonts w:ascii="Calibri" w:hAnsi="Calibri"/>
                <w:b w:val="0"/>
                <w:i w:val="0"/>
                <w:color w:val="000000"/>
                <w:sz w:val="18"/>
              </w:rPr>
              <w:t>20%</w:t>
            </w:r>
          </w:p>
        </w:tc>
        <w:tc>
          <w:tcPr>
            <w:tcW w:type="dxa" w:w="3135"/>
          </w:tcPr>
          <w:p>
            <w:r/>
            <w:r>
              <w:rPr>
                <w:rFonts w:ascii="Calibri" w:hAnsi="Calibri"/>
                <w:b w:val="0"/>
                <w:i w:val="0"/>
                <w:color w:val="000000"/>
                <w:sz w:val="18"/>
              </w:rPr>
              <w:t>—</w:t>
            </w:r>
          </w:p>
        </w:tc>
      </w:tr>
      <w:tr>
        <w:tc>
          <w:tcPr>
            <w:tcW w:type="dxa" w:w="3135"/>
          </w:tcPr>
          <w:p>
            <w:r/>
            <w:r>
              <w:rPr>
                <w:rFonts w:ascii="Calibri" w:hAnsi="Calibri"/>
                <w:b w:val="0"/>
                <w:i w:val="0"/>
                <w:color w:val="000000"/>
                <w:sz w:val="18"/>
              </w:rPr>
              <w:t>Investor €500k / 12.5% (no EPC grants yet)</w:t>
            </w:r>
          </w:p>
        </w:tc>
        <w:tc>
          <w:tcPr>
            <w:tcW w:type="dxa" w:w="3135"/>
          </w:tcPr>
          <w:p>
            <w:r/>
            <w:r>
              <w:rPr>
                <w:rFonts w:ascii="Calibri" w:hAnsi="Calibri"/>
                <w:b w:val="0"/>
                <w:i w:val="0"/>
                <w:color w:val="000000"/>
                <w:sz w:val="18"/>
              </w:rPr>
              <w:t>up to 15%</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Galascope (10%) then investor 12.5%</w:t>
            </w:r>
          </w:p>
        </w:tc>
        <w:tc>
          <w:tcPr>
            <w:tcW w:type="dxa" w:w="3135"/>
          </w:tcPr>
          <w:p>
            <w:r/>
            <w:r>
              <w:rPr>
                <w:rFonts w:ascii="Calibri" w:hAnsi="Calibri"/>
                <w:b w:val="0"/>
                <w:i w:val="0"/>
                <w:color w:val="000000"/>
                <w:sz w:val="18"/>
              </w:rPr>
              <w:t>15% max (+5% not +10% Esperia)</w:t>
            </w:r>
          </w:p>
        </w:tc>
        <w:tc>
          <w:tcPr>
            <w:tcW w:type="dxa" w:w="3135"/>
          </w:tcPr>
          <w:p>
            <w:r/>
            <w:r>
              <w:rPr>
                <w:rFonts w:ascii="Calibri" w:hAnsi="Calibri"/>
                <w:b w:val="0"/>
                <w:i w:val="0"/>
                <w:color w:val="000000"/>
                <w:sz w:val="18"/>
              </w:rPr>
              <w:t>€150,000</w:t>
            </w:r>
          </w:p>
        </w:tc>
      </w:tr>
      <w:tr>
        <w:tc>
          <w:tcPr>
            <w:tcW w:type="dxa" w:w="3135"/>
          </w:tcPr>
          <w:p>
            <w:r/>
            <w:r>
              <w:rPr>
                <w:rFonts w:ascii="Calibri" w:hAnsi="Calibri"/>
                <w:b w:val="0"/>
                <w:i w:val="0"/>
                <w:color w:val="000000"/>
                <w:sz w:val="18"/>
              </w:rPr>
              <w:t>Investor €1M / 25%</w:t>
            </w:r>
          </w:p>
        </w:tc>
        <w:tc>
          <w:tcPr>
            <w:tcW w:type="dxa" w:w="3135"/>
          </w:tcPr>
          <w:p>
            <w:r/>
            <w:r>
              <w:rPr>
                <w:rFonts w:ascii="Calibri" w:hAnsi="Calibri"/>
                <w:b w:val="0"/>
                <w:i w:val="0"/>
                <w:color w:val="000000"/>
                <w:sz w:val="18"/>
              </w:rPr>
              <w:t>≤15% equity</w:t>
            </w:r>
          </w:p>
        </w:tc>
        <w:tc>
          <w:tcPr>
            <w:tcW w:type="dxa" w:w="3135"/>
          </w:tcPr>
          <w:p>
            <w:r/>
            <w:r>
              <w:rPr>
                <w:rFonts w:ascii="Calibri" w:hAnsi="Calibri"/>
                <w:b w:val="0"/>
                <w:i w:val="0"/>
                <w:color w:val="000000"/>
                <w:sz w:val="18"/>
              </w:rPr>
              <w:t>€300,000 fee</w:t>
            </w:r>
          </w:p>
        </w:tc>
      </w:tr>
    </w:tbl>
    <w:p/>
    <w:p>
      <w:r>
        <w:rPr>
          <w:rFonts w:ascii="Calibri" w:hAnsi="Calibri"/>
          <w:b/>
          <w:i w:val="0"/>
          <w:color w:val="1A365D"/>
          <w:sz w:val="22"/>
        </w:rPr>
        <w:t>8.3 Payor — investor fee</w:t>
      </w:r>
    </w:p>
    <w:p>
      <w:pPr>
        <w:jc w:val="both"/>
      </w:pPr>
      <w:r>
        <w:rPr>
          <w:rFonts w:ascii="Calibri" w:hAnsi="Calibri"/>
          <w:b w:val="0"/>
          <w:i w:val="0"/>
          <w:color w:val="000000"/>
          <w:sz w:val="20"/>
        </w:rPr>
        <w:t>Preferred: Founder / Lighthief International pays the 30% fee — investor cash stays in Company for delivery.</w:t>
      </w:r>
    </w:p>
    <w:p>
      <w:r>
        <w:rPr>
          <w:rFonts w:ascii="Calibri" w:hAnsi="Calibri"/>
          <w:b/>
          <w:i w:val="0"/>
          <w:color w:val="1A365D"/>
          <w:sz w:val="22"/>
        </w:rPr>
        <w:t>8.4 Three-year dividend lock</w:t>
      </w:r>
    </w:p>
    <w:p>
      <w:pPr>
        <w:jc w:val="both"/>
      </w:pPr>
      <w:r>
        <w:rPr>
          <w:rFonts w:ascii="Calibri" w:hAnsi="Calibri"/>
          <w:b w:val="0"/>
          <w:i w:val="0"/>
          <w:color w:val="000000"/>
          <w:sz w:val="20"/>
        </w:rPr>
        <w:t>From first EPC grant or first investor closing: no dividends for 36 months (carve-outs: Moi Ostrov fees, payroll, project COGS, scheduled loans).</w:t>
      </w:r>
    </w:p>
    <w:p>
      <w:r>
        <w:rPr>
          <w:rFonts w:ascii="Calibri" w:hAnsi="Calibri"/>
          <w:b/>
          <w:i w:val="0"/>
          <w:color w:val="1A365D"/>
          <w:sz w:val="22"/>
        </w:rPr>
        <w:t>8.5 Signing sequence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When</w:t>
            </w:r>
          </w:p>
        </w:tc>
        <w:tc>
          <w:tcPr>
            <w:tcW w:type="dxa" w:w="4703"/>
            <w:shd w:fill="1A365D" w:val="clear"/>
          </w:tcPr>
          <w:p>
            <w:r/>
            <w:r>
              <w:rPr>
                <w:rFonts w:ascii="Calibri" w:hAnsi="Calibri"/>
                <w:b/>
                <w:i w:val="0"/>
                <w:color w:val="FFFFFF"/>
                <w:sz w:val="18"/>
              </w:rPr>
              <w:t>Action</w:t>
            </w:r>
          </w:p>
        </w:tc>
      </w:tr>
      <w:tr>
        <w:tc>
          <w:tcPr>
            <w:tcW w:type="dxa" w:w="4703"/>
          </w:tcPr>
          <w:p>
            <w:r/>
            <w:r>
              <w:rPr>
                <w:rFonts w:ascii="Calibri" w:hAnsi="Calibri"/>
                <w:b w:val="0"/>
                <w:i w:val="0"/>
                <w:color w:val="000000"/>
                <w:sz w:val="18"/>
              </w:rPr>
              <w:t>Founder pack (now)</w:t>
            </w:r>
          </w:p>
        </w:tc>
        <w:tc>
          <w:tcPr>
            <w:tcW w:type="dxa" w:w="4703"/>
          </w:tcPr>
          <w:p>
            <w:r/>
            <w:r>
              <w:rPr>
                <w:rFonts w:ascii="Calibri" w:hAnsi="Calibri"/>
                <w:b w:val="0"/>
                <w:i w:val="0"/>
                <w:color w:val="000000"/>
                <w:sz w:val="18"/>
              </w:rPr>
              <w:t>Heads in Option A + side letter draft</w:t>
            </w:r>
          </w:p>
        </w:tc>
      </w:tr>
      <w:tr>
        <w:tc>
          <w:tcPr>
            <w:tcW w:type="dxa" w:w="4703"/>
          </w:tcPr>
          <w:p>
            <w:r/>
            <w:r>
              <w:rPr>
                <w:rFonts w:ascii="Calibri" w:hAnsi="Calibri"/>
                <w:b w:val="0"/>
                <w:i w:val="0"/>
                <w:color w:val="000000"/>
                <w:sz w:val="18"/>
              </w:rPr>
              <w:t>Galascope EPC</w:t>
            </w:r>
          </w:p>
        </w:tc>
        <w:tc>
          <w:tcPr>
            <w:tcW w:type="dxa" w:w="4703"/>
          </w:tcPr>
          <w:p>
            <w:r/>
            <w:r>
              <w:rPr>
                <w:rFonts w:ascii="Calibri" w:hAnsi="Calibri"/>
                <w:b w:val="0"/>
                <w:i w:val="0"/>
                <w:color w:val="000000"/>
                <w:sz w:val="18"/>
              </w:rPr>
              <w:t>EPC Milestone Grant A (10%) + €5k gross salary</w:t>
            </w:r>
          </w:p>
        </w:tc>
      </w:tr>
      <w:tr>
        <w:tc>
          <w:tcPr>
            <w:tcW w:type="dxa" w:w="4703"/>
          </w:tcPr>
          <w:p>
            <w:r/>
            <w:r>
              <w:rPr>
                <w:rFonts w:ascii="Calibri" w:hAnsi="Calibri"/>
                <w:b w:val="0"/>
                <w:i w:val="0"/>
                <w:color w:val="000000"/>
                <w:sz w:val="18"/>
              </w:rPr>
              <w:t>Esperia EPC</w:t>
            </w:r>
          </w:p>
        </w:tc>
        <w:tc>
          <w:tcPr>
            <w:tcW w:type="dxa" w:w="4703"/>
          </w:tcPr>
          <w:p>
            <w:r/>
            <w:r>
              <w:rPr>
                <w:rFonts w:ascii="Calibri" w:hAnsi="Calibri"/>
                <w:b w:val="0"/>
                <w:i w:val="0"/>
                <w:color w:val="000000"/>
                <w:sz w:val="18"/>
              </w:rPr>
              <w:t>EPC Milestone Grant B (10%) if investor cap allows</w:t>
            </w:r>
          </w:p>
        </w:tc>
      </w:tr>
      <w:tr>
        <w:tc>
          <w:tcPr>
            <w:tcW w:type="dxa" w:w="4703"/>
          </w:tcPr>
          <w:p>
            <w:r/>
            <w:r>
              <w:rPr>
                <w:rFonts w:ascii="Calibri" w:hAnsi="Calibri"/>
                <w:b w:val="0"/>
                <w:i w:val="0"/>
                <w:color w:val="000000"/>
                <w:sz w:val="18"/>
              </w:rPr>
              <w:t>Before investor close</w:t>
            </w:r>
          </w:p>
        </w:tc>
        <w:tc>
          <w:tcPr>
            <w:tcW w:type="dxa" w:w="4703"/>
          </w:tcPr>
          <w:p>
            <w:r/>
            <w:r>
              <w:rPr>
                <w:rFonts w:ascii="Calibri" w:hAnsi="Calibri"/>
                <w:b w:val="0"/>
                <w:i w:val="0"/>
                <w:color w:val="000000"/>
                <w:sz w:val="18"/>
              </w:rPr>
              <w:t>Executed side letter; disclose to investor under NDA</w:t>
            </w:r>
          </w:p>
        </w:tc>
      </w:tr>
      <w:tr>
        <w:tc>
          <w:tcPr>
            <w:tcW w:type="dxa" w:w="4703"/>
          </w:tcPr>
          <w:p>
            <w:r/>
            <w:r>
              <w:rPr>
                <w:rFonts w:ascii="Calibri" w:hAnsi="Calibri"/>
                <w:b w:val="0"/>
                <w:i w:val="0"/>
                <w:color w:val="000000"/>
                <w:sz w:val="18"/>
              </w:rPr>
              <w:t>Investor tranche</w:t>
            </w:r>
          </w:p>
        </w:tc>
        <w:tc>
          <w:tcPr>
            <w:tcW w:type="dxa" w:w="4703"/>
          </w:tcPr>
          <w:p>
            <w:r/>
            <w:r>
              <w:rPr>
                <w:rFonts w:ascii="Calibri" w:hAnsi="Calibri"/>
                <w:b w:val="0"/>
                <w:i w:val="0"/>
                <w:color w:val="000000"/>
                <w:sz w:val="18"/>
              </w:rPr>
              <w:t>30% fee; equity stays ≤15%</w:t>
            </w:r>
          </w:p>
        </w:tc>
      </w:tr>
    </w:tbl>
    <w:p/>
    <w:p>
      <w:pPr>
        <w:spacing w:before="240"/>
      </w:pPr>
      <w:r>
        <w:rPr>
          <w:rFonts w:ascii="Calibri" w:hAnsi="Calibri"/>
          <w:b/>
          <w:i w:val="0"/>
          <w:color w:val="C9A432"/>
          <w:sz w:val="24"/>
        </w:rPr>
        <w:t>9. Signature block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Party</w:t>
            </w:r>
          </w:p>
        </w:tc>
        <w:tc>
          <w:tcPr>
            <w:tcW w:type="dxa" w:w="2351"/>
            <w:shd w:fill="1A365D" w:val="clear"/>
          </w:tcPr>
          <w:p>
            <w:r/>
            <w:r>
              <w:rPr>
                <w:rFonts w:ascii="Calibri" w:hAnsi="Calibri"/>
                <w:b/>
                <w:i w:val="0"/>
                <w:color w:val="FFFFFF"/>
                <w:sz w:val="18"/>
              </w:rPr>
              <w:t>Name</w:t>
            </w:r>
          </w:p>
        </w:tc>
        <w:tc>
          <w:tcPr>
            <w:tcW w:type="dxa" w:w="2351"/>
            <w:shd w:fill="1A365D" w:val="clear"/>
          </w:tcPr>
          <w:p>
            <w:r/>
            <w:r>
              <w:rPr>
                <w:rFonts w:ascii="Calibri" w:hAnsi="Calibri"/>
                <w:b/>
                <w:i w:val="0"/>
                <w:color w:val="FFFFFF"/>
                <w:sz w:val="18"/>
              </w:rPr>
              <w:t>Signature</w:t>
            </w:r>
          </w:p>
        </w:tc>
        <w:tc>
          <w:tcPr>
            <w:tcW w:type="dxa" w:w="2351"/>
            <w:shd w:fill="1A365D" w:val="clear"/>
          </w:tcPr>
          <w:p>
            <w:r/>
            <w:r>
              <w:rPr>
                <w:rFonts w:ascii="Calibri" w:hAnsi="Calibri"/>
                <w:b/>
                <w:i w:val="0"/>
                <w:color w:val="FFFFFF"/>
                <w:sz w:val="18"/>
              </w:rPr>
              <w:t>Date</w:t>
            </w:r>
          </w:p>
        </w:tc>
      </w:tr>
      <w:tr>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Founder</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MD (if signing in personal capacity — as advised)</w:t>
            </w:r>
          </w:p>
        </w:tc>
        <w:tc>
          <w:tcPr>
            <w:tcW w:type="dxa" w:w="2351"/>
          </w:tcPr>
          <w:p>
            <w:r/>
            <w:r>
              <w:rPr>
                <w:rFonts w:ascii="Calibri" w:hAnsi="Calibri"/>
                <w:b w:val="0"/>
                <w:i w:val="0"/>
                <w:color w:val="000000"/>
                <w:sz w:val="18"/>
              </w:rPr>
              <w:t>Alexander Papacosta</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bl>
    <w:p/>
    <w:p>
      <w:pPr>
        <w:jc w:val="both"/>
      </w:pPr>
      <w:r>
        <w:rPr>
          <w:rFonts w:ascii="Calibri" w:hAnsi="Calibri"/>
          <w:b w:val="0"/>
          <w:i w:val="0"/>
          <w:color w:val="000000"/>
          <w:sz w:val="20"/>
        </w:rPr>
        <w:t>Annex A: Cashflow summary (attach spreadsheet)</w:t>
      </w:r>
    </w:p>
    <w:p>
      <w:pPr>
        <w:jc w:val="both"/>
      </w:pPr>
      <w:r>
        <w:rPr>
          <w:rFonts w:ascii="Calibri" w:hAnsi="Calibri"/>
          <w:b w:val="0"/>
          <w:i w:val="0"/>
          <w:color w:val="000000"/>
          <w:sz w:val="20"/>
        </w:rPr>
        <w:t>Annex B: Accrued MD compensation schedule (if any)</w:t>
      </w:r>
    </w:p>
    <w:p>
      <w:pPr>
        <w:jc w:val="both"/>
      </w:pPr>
      <w:r>
        <w:rPr>
          <w:rFonts w:ascii="Calibri" w:hAnsi="Calibri"/>
          <w:b w:val="0"/>
          <w:i w:val="0"/>
          <w:color w:val="000000"/>
          <w:sz w:val="20"/>
        </w:rPr>
        <w:t>End of draft — Option A. Not for use without legal review.</w:t>
      </w:r>
    </w:p>
    <w:p/>
    <w:p>
      <w:r>
        <w:rPr>
          <w:rFonts w:ascii="Calibri" w:hAnsi="Calibri"/>
          <w:b/>
          <w:i w:val="0"/>
          <w:color w:val="C9A432"/>
          <w:sz w:val="24"/>
        </w:rPr>
        <w:t>SIGNATURES</w:t>
      </w:r>
    </w:p>
    <w:p/>
    <w:p>
      <w:r>
        <w:rPr>
          <w:rFonts w:ascii="Calibri" w:hAnsi="Calibri"/>
          <w:b/>
          <w:i w:val="0"/>
          <w:color w:val="000000"/>
          <w:sz w:val="20"/>
        </w:rPr>
        <w:t>Company — Lighthief Cyprus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Founder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 Alexander Papacosta</w:t>
      </w:r>
    </w:p>
    <w:p>
      <w:r>
        <w:rPr>
          <w:rFonts w:ascii="Calibri" w:hAnsi="Calibri"/>
          <w:b w:val="0"/>
          <w:i w:val="0"/>
          <w:color w:val="000000"/>
          <w:sz w:val="20"/>
        </w:rPr>
        <w:t>Signature: ______________________   Date: ______________________</w:t>
      </w:r>
    </w:p>
    <w:p>
      <w:pPr>
        <w:sectPr>
          <w:footerReference w:type="default" r:id="rId25"/>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DEED OF GROUP ADHERENCE (CYPRUS PROTECTED PROJECTS)</w:t>
      </w:r>
    </w:p>
    <w:p/>
    <w:p>
      <w:pPr>
        <w:jc w:val="both"/>
      </w:pPr>
      <w:r>
        <w:rPr>
          <w:rFonts w:ascii="Calibri" w:hAnsi="Calibri"/>
          <w:b w:val="0"/>
          <w:i w:val="0"/>
          <w:color w:val="000000"/>
          <w:sz w:val="20"/>
        </w:rPr>
        <w:t>Status: TEMPLATE — counsel to finalise</w:t>
      </w:r>
    </w:p>
    <w:p>
      <w:pPr>
        <w:jc w:val="both"/>
      </w:pPr>
      <w:r>
        <w:rPr>
          <w:rFonts w:ascii="Calibri" w:hAnsi="Calibri"/>
          <w:b w:val="0"/>
          <w:i w:val="0"/>
          <w:color w:val="000000"/>
          <w:sz w:val="20"/>
        </w:rPr>
        <w:t>Ref: LCY-MOI-ADH-2026-001</w:t>
      </w:r>
    </w:p>
    <w:p>
      <w:pPr>
        <w:jc w:val="both"/>
      </w:pPr>
      <w:r>
        <w:rPr>
          <w:rFonts w:ascii="Calibri" w:hAnsi="Calibri"/>
          <w:b w:val="0"/>
          <w:i w:val="0"/>
          <w:color w:val="000000"/>
          <w:sz w:val="20"/>
        </w:rPr>
        <w:t>Purpose: Bind a Group entity (not party to LCY-MOI-TOCA-2026-001) to fee and anti-circumvention obligations before contracting Cyprus BESS work.</w:t>
      </w:r>
    </w:p>
    <w:p>
      <w:pPr>
        <w:spacing w:before="240"/>
      </w:pPr>
      <w:r>
        <w:rPr>
          <w:rFonts w:ascii="Calibri" w:hAnsi="Calibri"/>
          <w:b/>
          <w:i w:val="0"/>
          <w:color w:val="C9A432"/>
          <w:sz w:val="24"/>
        </w:rPr>
        <w:t>Parties</w:t>
      </w:r>
    </w:p>
    <w:p>
      <w:pPr>
        <w:pStyle w:val="ListBullet"/>
      </w:pPr>
      <w:r>
        <w:rPr>
          <w:rFonts w:ascii="Calibri" w:hAnsi="Calibri"/>
          <w:b w:val="0"/>
          <w:i w:val="0"/>
          <w:color w:val="000000"/>
          <w:sz w:val="20"/>
        </w:rPr>
        <w:t>Lighthief Cyprus Ltd (HE 477423) — "Company"</w:t>
      </w:r>
    </w:p>
    <w:p>
      <w:pPr>
        <w:pStyle w:val="ListBullet"/>
      </w:pPr>
      <w:r>
        <w:rPr>
          <w:rFonts w:ascii="Calibri" w:hAnsi="Calibri"/>
          <w:b w:val="0"/>
          <w:i w:val="0"/>
          <w:color w:val="000000"/>
          <w:sz w:val="20"/>
        </w:rPr>
        <w:t>Moi Ostrov Ltd (HE 319483) — "Consultant"</w:t>
      </w:r>
    </w:p>
    <w:p>
      <w:pPr>
        <w:pStyle w:val="ListBullet"/>
      </w:pPr>
      <w:r>
        <w:rPr>
          <w:rFonts w:ascii="Calibri" w:hAnsi="Calibri"/>
          <w:b w:val="0"/>
          <w:i w:val="0"/>
          <w:color w:val="000000"/>
          <w:sz w:val="20"/>
        </w:rPr>
        <w:t>[Group Entity Name] — "Adhering Entity"</w:t>
      </w:r>
    </w:p>
    <w:p>
      <w:pPr>
        <w:pStyle w:val="ListBullet"/>
      </w:pPr>
      <w:r>
        <w:rPr>
          <w:rFonts w:ascii="Calibri" w:hAnsi="Calibri"/>
          <w:b w:val="0"/>
          <w:i w:val="0"/>
          <w:color w:val="000000"/>
          <w:sz w:val="20"/>
        </w:rPr>
        <w:t>Dr. Arkadiusz Sybaris — personal guarantor (optional cross-ref Annex B)</w:t>
      </w:r>
    </w:p>
    <w:p>
      <w:pPr>
        <w:spacing w:before="240"/>
      </w:pPr>
      <w:r>
        <w:rPr>
          <w:rFonts w:ascii="Calibri" w:hAnsi="Calibri"/>
          <w:b/>
          <w:i w:val="0"/>
          <w:color w:val="C9A432"/>
          <w:sz w:val="24"/>
        </w:rPr>
        <w:t>Operative terms (heads)</w:t>
      </w:r>
    </w:p>
    <w:p>
      <w:pPr>
        <w:jc w:val="both"/>
      </w:pPr>
      <w:r>
        <w:rPr>
          <w:rFonts w:ascii="Calibri" w:hAnsi="Calibri"/>
          <w:b w:val="0"/>
          <w:i w:val="0"/>
          <w:color w:val="000000"/>
          <w:sz w:val="20"/>
        </w:rPr>
        <w:t>1. Adhering Entity acknowledges the Consultancy Agreement (LCY-MOI-TOCA-2026-001) and agrees that any receipt by Adhering Entity in respect of a Cyprus Protected Project is a Deemed Group Receipt under Clause 12.3.</w:t>
      </w:r>
    </w:p>
    <w:p>
      <w:pPr>
        <w:jc w:val="both"/>
      </w:pPr>
      <w:r>
        <w:rPr>
          <w:rFonts w:ascii="Calibri" w:hAnsi="Calibri"/>
          <w:b w:val="0"/>
          <w:i w:val="0"/>
          <w:color w:val="000000"/>
          <w:sz w:val="20"/>
        </w:rPr>
        <w:t>2. Adhering Entity shall not contract, invoice, or receive payment for Cyprus Protected Projects listed in Schedule 1 (or otherwise originated by Consultant) except through the Company unless Consultant consents in writing.</w:t>
      </w:r>
    </w:p>
    <w:p>
      <w:pPr>
        <w:jc w:val="both"/>
      </w:pPr>
      <w:r>
        <w:rPr>
          <w:rFonts w:ascii="Calibri" w:hAnsi="Calibri"/>
          <w:b w:val="0"/>
          <w:i w:val="0"/>
          <w:color w:val="000000"/>
          <w:sz w:val="20"/>
        </w:rPr>
        <w:t>3. Adhering Entity joins the fee calculation and payment mechanics: Company remains primary payor; Adhering Entity covenants to cooperate with margin reporting and audit.</w:t>
      </w:r>
    </w:p>
    <w:p>
      <w:pPr>
        <w:jc w:val="both"/>
      </w:pPr>
      <w:r>
        <w:rPr>
          <w:rFonts w:ascii="Calibri" w:hAnsi="Calibri"/>
          <w:b w:val="0"/>
          <w:i w:val="0"/>
          <w:color w:val="000000"/>
          <w:sz w:val="20"/>
        </w:rPr>
        <w:t>4. Adhering Entity acknowledges Protected Matter status and agrees not to take action to frustrate fees properly accrued under signed client contracts.</w:t>
      </w:r>
    </w:p>
    <w:p>
      <w:pPr>
        <w:jc w:val="both"/>
      </w:pPr>
      <w:r>
        <w:rPr>
          <w:rFonts w:ascii="Calibri" w:hAnsi="Calibri"/>
          <w:b w:val="0"/>
          <w:i w:val="0"/>
          <w:color w:val="000000"/>
          <w:sz w:val="20"/>
        </w:rPr>
        <w:t>5. Term: co-terminous with Consultancy Agreement Minimum Term / per-project survival on signed contracts.</w:t>
      </w:r>
    </w:p>
    <w:p>
      <w:pPr>
        <w:jc w:val="both"/>
      </w:pPr>
      <w:r>
        <w:rPr>
          <w:rFonts w:ascii="Calibri" w:hAnsi="Calibri"/>
          <w:b w:val="0"/>
          <w:i w:val="0"/>
          <w:color w:val="000000"/>
          <w:sz w:val="20"/>
        </w:rPr>
        <w:t>6. Term: co-terminous with Consultancy Agreement Minimum Term / per-project survival on signed contracts.</w:t>
      </w:r>
    </w:p>
    <w:p>
      <w:pPr>
        <w:jc w:val="both"/>
      </w:pPr>
      <w:r>
        <w:rPr>
          <w:rFonts w:ascii="Calibri" w:hAnsi="Calibri"/>
          <w:b w:val="0"/>
          <w:i w:val="0"/>
          <w:color w:val="000000"/>
          <w:sz w:val="20"/>
        </w:rPr>
        <w:t>7. Execution note: This deed binds the Adhering Entity only if that entity executes it. Clause 12.3(d) of the Consultancy Agreement may require adherence before Cyprus work, but a Group entity that refuses to sign and contracts anyway is not a party here. The primary backstop for circumvention remains Annex B (Sybaris personal obligations) — ensure Annex B is executed and enforceable.</w:t>
      </w:r>
    </w:p>
    <w:p>
      <w:pPr>
        <w:jc w:val="both"/>
      </w:pPr>
      <w:r>
        <w:rPr>
          <w:rFonts w:ascii="Calibri" w:hAnsi="Calibri"/>
          <w:b w:val="0"/>
          <w:i w:val="0"/>
          <w:color w:val="000000"/>
          <w:sz w:val="20"/>
        </w:rPr>
        <w:t>8. Governing law: Republic of Cyprus.</w:t>
      </w:r>
    </w:p>
    <w:p>
      <w:pPr>
        <w:spacing w:before="240"/>
      </w:pPr>
      <w:r>
        <w:rPr>
          <w:rFonts w:ascii="Calibri" w:hAnsi="Calibri"/>
          <w:b/>
          <w:i w:val="0"/>
          <w:color w:val="C9A432"/>
          <w:sz w:val="24"/>
        </w:rPr>
        <w:t>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Consultant</w:t>
            </w:r>
          </w:p>
        </w:tc>
        <w:tc>
          <w:tcPr>
            <w:tcW w:type="dxa" w:w="3135"/>
          </w:tcPr>
          <w:p>
            <w:r/>
            <w:r>
              <w:rPr>
                <w:rFonts w:ascii="Calibri" w:hAnsi="Calibri"/>
                <w:b w:val="0"/>
                <w:i w:val="0"/>
                <w:color w:val="000000"/>
                <w:sz w:val="18"/>
              </w:rPr>
              <w:t>Moi Ostrov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Adhering Entity</w:t>
            </w:r>
          </w:p>
        </w:tc>
        <w:tc>
          <w:tcPr>
            <w:tcW w:type="dxa" w:w="3135"/>
          </w:tcPr>
          <w:p>
            <w:r/>
            <w:r>
              <w:rPr>
                <w:rFonts w:ascii="Calibri" w:hAnsi="Calibri"/>
                <w:b w:val="0"/>
                <w:i w:val="0"/>
                <w:color w:val="000000"/>
                <w:sz w:val="18"/>
              </w:rPr>
              <w:t>[Name]</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Guarantor (if req.)</w:t>
            </w:r>
          </w:p>
        </w:tc>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Attach to Consultancy Agreement as Schedule 4 or execute per project.</w:t>
      </w:r>
    </w:p>
    <w:p>
      <w:pPr>
        <w:sectPr>
          <w:footerReference w:type="default" r:id="rId26"/>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DIRECTOR &amp; OFFICER PROTECTIONS (LCY)</w:t>
      </w:r>
    </w:p>
    <w:p/>
    <w:p>
      <w:pPr>
        <w:jc w:val="both"/>
      </w:pPr>
      <w:r>
        <w:rPr>
          <w:rFonts w:ascii="Calibri" w:hAnsi="Calibri"/>
          <w:b w:val="0"/>
          <w:i w:val="0"/>
          <w:color w:val="000000"/>
          <w:sz w:val="20"/>
        </w:rPr>
        <w:t>Status: TEMPLATE — Cyprus counsel + insurance broker review required</w:t>
      </w:r>
    </w:p>
    <w:p>
      <w:pPr>
        <w:jc w:val="both"/>
      </w:pPr>
      <w:r>
        <w:rPr>
          <w:rFonts w:ascii="Calibri" w:hAnsi="Calibri"/>
          <w:b w:val="0"/>
          <w:i w:val="0"/>
          <w:color w:val="000000"/>
          <w:sz w:val="20"/>
        </w:rPr>
        <w:t>Ref: LCY-DIR-IND-2026-001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Beneficiaries: Alexander Papacosta (natural person director and company secretary); authorised representative(s) of Lighthief International Ltd in its capacity as corporate director</w:t>
      </w:r>
    </w:p>
    <w:p>
      <w:pPr>
        <w:jc w:val="both"/>
      </w:pPr>
      <w:r>
        <w:rPr>
          <w:rFonts w:ascii="Calibri" w:hAnsi="Calibri"/>
          <w:b w:val="0"/>
          <w:i w:val="0"/>
          <w:color w:val="000000"/>
          <w:sz w:val="20"/>
        </w:rPr>
        <w:t>Purpose: Separate from company professional indemnity on EPC contracts (Marsh / client-facing). This instrument covers personal exposure as director, secretary, and authorised signatory.</w:t>
      </w:r>
    </w:p>
    <w:p>
      <w:pPr>
        <w:spacing w:before="240"/>
      </w:pPr>
      <w:r>
        <w:rPr>
          <w:rFonts w:ascii="Calibri" w:hAnsi="Calibri"/>
          <w:b/>
          <w:i w:val="0"/>
          <w:color w:val="C9A432"/>
          <w:sz w:val="24"/>
        </w:rPr>
        <w:t>1. Why this is separate from EPC professional indemnity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Cover</w:t>
            </w:r>
          </w:p>
        </w:tc>
        <w:tc>
          <w:tcPr>
            <w:tcW w:type="dxa" w:w="2351"/>
            <w:shd w:fill="1A365D" w:val="clear"/>
          </w:tcPr>
          <w:p>
            <w:r/>
            <w:r>
              <w:rPr>
                <w:rFonts w:ascii="Calibri" w:hAnsi="Calibri"/>
                <w:b/>
                <w:i w:val="0"/>
                <w:color w:val="FFFFFF"/>
                <w:sz w:val="18"/>
              </w:rPr>
              <w:t>What it protects</w:t>
            </w:r>
          </w:p>
        </w:tc>
        <w:tc>
          <w:tcPr>
            <w:tcW w:type="dxa" w:w="2351"/>
            <w:shd w:fill="1A365D" w:val="clear"/>
          </w:tcPr>
          <w:p>
            <w:r/>
            <w:r>
              <w:rPr>
                <w:rFonts w:ascii="Calibri" w:hAnsi="Calibri"/>
                <w:b/>
                <w:i w:val="0"/>
                <w:color w:val="FFFFFF"/>
                <w:sz w:val="18"/>
              </w:rPr>
              <w:t>Typical payor</w:t>
            </w:r>
          </w:p>
        </w:tc>
        <w:tc>
          <w:tcPr>
            <w:tcW w:type="dxa" w:w="2351"/>
            <w:shd w:fill="1A365D" w:val="clear"/>
          </w:tcPr>
          <w:p>
            <w:r/>
            <w:r>
              <w:rPr>
                <w:rFonts w:ascii="Calibri" w:hAnsi="Calibri"/>
                <w:b/>
                <w:i w:val="0"/>
                <w:color w:val="FFFFFF"/>
                <w:sz w:val="18"/>
              </w:rPr>
              <w:t>In current pack?</w:t>
            </w:r>
          </w:p>
        </w:tc>
      </w:tr>
      <w:tr>
        <w:tc>
          <w:tcPr>
            <w:tcW w:type="dxa" w:w="2351"/>
          </w:tcPr>
          <w:p>
            <w:r/>
            <w:r>
              <w:rPr>
                <w:rFonts w:ascii="Calibri" w:hAnsi="Calibri"/>
                <w:b w:val="0"/>
                <w:i w:val="0"/>
                <w:color w:val="000000"/>
                <w:sz w:val="18"/>
              </w:rPr>
              <w:t>EPC professional indemnity (PI)</w:t>
            </w:r>
          </w:p>
        </w:tc>
        <w:tc>
          <w:tcPr>
            <w:tcW w:type="dxa" w:w="2351"/>
          </w:tcPr>
          <w:p>
            <w:r/>
            <w:r>
              <w:rPr>
                <w:rFonts w:ascii="Calibri" w:hAnsi="Calibri"/>
                <w:b w:val="0"/>
                <w:i w:val="0"/>
                <w:color w:val="000000"/>
                <w:sz w:val="18"/>
              </w:rPr>
              <w:t>Client claims for design/EPC negligence</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t>Yes — EPC template §14 (€1–2M); Marsh programme in progress</w:t>
            </w:r>
          </w:p>
        </w:tc>
      </w:tr>
      <w:tr>
        <w:tc>
          <w:tcPr>
            <w:tcW w:type="dxa" w:w="2351"/>
          </w:tcPr>
          <w:p>
            <w:r/>
            <w:r>
              <w:rPr>
                <w:rFonts w:ascii="Calibri" w:hAnsi="Calibri"/>
                <w:b w:val="0"/>
                <w:i w:val="0"/>
                <w:color w:val="000000"/>
                <w:sz w:val="18"/>
              </w:rPr>
              <w:t>Public / employer liability</w:t>
            </w:r>
          </w:p>
        </w:tc>
        <w:tc>
          <w:tcPr>
            <w:tcW w:type="dxa" w:w="2351"/>
          </w:tcPr>
          <w:p>
            <w:r/>
            <w:r>
              <w:rPr>
                <w:rFonts w:ascii="Calibri" w:hAnsi="Calibri"/>
                <w:b w:val="0"/>
                <w:i w:val="0"/>
                <w:color w:val="000000"/>
                <w:sz w:val="18"/>
              </w:rPr>
              <w:t>Third-party injury, employee claims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Partially — EPC / Marsh</w:t>
            </w:r>
          </w:p>
        </w:tc>
      </w:tr>
      <w:tr>
        <w:tc>
          <w:tcPr>
            <w:tcW w:type="dxa" w:w="2351"/>
          </w:tcPr>
          <w:p>
            <w:r/>
            <w:r>
              <w:rPr>
                <w:rFonts w:ascii="Calibri" w:hAnsi="Calibri"/>
                <w:b w:val="0"/>
                <w:i w:val="0"/>
                <w:color w:val="000000"/>
                <w:sz w:val="18"/>
              </w:rPr>
              <w:t>D&amp;O / management liability</w:t>
            </w:r>
          </w:p>
        </w:tc>
        <w:tc>
          <w:tcPr>
            <w:tcW w:type="dxa" w:w="2351"/>
          </w:tcPr>
          <w:p>
            <w:r/>
            <w:r>
              <w:rPr>
                <w:rFonts w:ascii="Calibri" w:hAnsi="Calibri"/>
                <w:b w:val="0"/>
                <w:i w:val="0"/>
                <w:color w:val="000000"/>
                <w:sz w:val="18"/>
              </w:rPr>
              <w:t>Breach of duty, wrongful trading, shareholder claims, regulatory, related-party challenge</w:t>
            </w:r>
          </w:p>
        </w:tc>
        <w:tc>
          <w:tcPr>
            <w:tcW w:type="dxa" w:w="2351"/>
          </w:tcPr>
          <w:p>
            <w:r/>
            <w:r>
              <w:rPr>
                <w:rFonts w:ascii="Calibri" w:hAnsi="Calibri"/>
                <w:b w:val="0"/>
                <w:i w:val="0"/>
                <w:color w:val="000000"/>
                <w:sz w:val="18"/>
              </w:rPr>
              <w:t>Company (or shareholder)</w:t>
            </w:r>
          </w:p>
        </w:tc>
        <w:tc>
          <w:tcPr>
            <w:tcW w:type="dxa" w:w="2351"/>
          </w:tcPr>
          <w:p>
            <w:r/>
            <w:r>
              <w:rPr>
                <w:rFonts w:ascii="Calibri" w:hAnsi="Calibri"/>
                <w:b w:val="0"/>
                <w:i w:val="0"/>
                <w:color w:val="000000"/>
                <w:sz w:val="18"/>
              </w:rPr>
              <w:t>No</w:t>
            </w:r>
          </w:p>
        </w:tc>
      </w:tr>
      <w:tr>
        <w:tc>
          <w:tcPr>
            <w:tcW w:type="dxa" w:w="2351"/>
          </w:tcPr>
          <w:p>
            <w:r/>
            <w:r>
              <w:rPr>
                <w:rFonts w:ascii="Calibri" w:hAnsi="Calibri"/>
                <w:b w:val="0"/>
                <w:i w:val="0"/>
                <w:color w:val="000000"/>
                <w:sz w:val="18"/>
              </w:rPr>
              <w:t>Statutory indemnity (Cap. 113)</w:t>
            </w:r>
          </w:p>
        </w:tc>
        <w:tc>
          <w:tcPr>
            <w:tcW w:type="dxa" w:w="2351"/>
          </w:tcPr>
          <w:p>
            <w:r/>
            <w:r>
              <w:rPr>
                <w:rFonts w:ascii="Calibri" w:hAnsi="Calibri"/>
                <w:b w:val="0"/>
                <w:i w:val="0"/>
                <w:color w:val="000000"/>
                <w:sz w:val="18"/>
              </w:rPr>
              <w:t>Defence costs / losses from acts in office (within legal limits)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No — check Articles</w:t>
            </w:r>
          </w:p>
        </w:tc>
      </w:tr>
    </w:tbl>
    <w:p/>
    <w:p>
      <w:pPr>
        <w:jc w:val="both"/>
      </w:pPr>
      <w:r>
        <w:rPr>
          <w:rFonts w:ascii="Calibri" w:hAnsi="Calibri"/>
          <w:b w:val="0"/>
          <w:i w:val="0"/>
          <w:color w:val="000000"/>
          <w:sz w:val="20"/>
        </w:rPr>
        <w:t>PI does not substitute for D&amp;O. Client PI responds when the company is sued for project delivery. D&amp;O responds when you (or Lighthief International’s representative) are sued as officers — e.g. approving related-party contracts, dividend policy, insolvency, filing defaults, employment disputes.</w:t>
      </w:r>
    </w:p>
    <w:p>
      <w:pPr>
        <w:spacing w:before="240"/>
      </w:pPr>
      <w:r>
        <w:rPr>
          <w:rFonts w:ascii="Calibri" w:hAnsi="Calibri"/>
          <w:b/>
          <w:i w:val="0"/>
          <w:color w:val="C9A432"/>
          <w:sz w:val="24"/>
        </w:rPr>
        <w:t>2. Current office structure (confirm with register)</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Holder</w:t>
            </w:r>
          </w:p>
        </w:tc>
        <w:tc>
          <w:tcPr>
            <w:tcW w:type="dxa" w:w="3135"/>
            <w:shd w:fill="1A365D" w:val="clear"/>
          </w:tcPr>
          <w:p>
            <w:r/>
            <w:r>
              <w:rPr>
                <w:rFonts w:ascii="Calibri" w:hAnsi="Calibri"/>
                <w:b/>
                <w:i w:val="0"/>
                <w:color w:val="FFFFFF"/>
                <w:sz w:val="18"/>
              </w:rPr>
              <w:t>Notes</w:t>
            </w:r>
          </w:p>
        </w:tc>
      </w:tr>
      <w:tr>
        <w:tc>
          <w:tcPr>
            <w:tcW w:type="dxa" w:w="3135"/>
          </w:tcPr>
          <w:p>
            <w:r/>
            <w:r>
              <w:rPr>
                <w:rFonts w:ascii="Calibri" w:hAnsi="Calibri"/>
                <w:b w:val="0"/>
                <w:i w:val="0"/>
                <w:color w:val="000000"/>
                <w:sz w:val="18"/>
              </w:rPr>
              <w:t>Director (natural person)</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Signs day-to-day; dual director of Moi Ostrov Ltd — disclosed §7 Moi Ostrov deed</w:t>
            </w:r>
          </w:p>
        </w:tc>
      </w:tr>
      <w:tr>
        <w:tc>
          <w:tcPr>
            <w:tcW w:type="dxa" w:w="3135"/>
          </w:tcPr>
          <w:p>
            <w:r/>
            <w:r>
              <w:rPr>
                <w:rFonts w:ascii="Calibri" w:hAnsi="Calibri"/>
                <w:b w:val="0"/>
                <w:i w:val="0"/>
                <w:color w:val="000000"/>
                <w:sz w:val="18"/>
              </w:rPr>
              <w:t>Director (corporate)</w:t>
            </w:r>
          </w:p>
        </w:tc>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Requires named authorised representative on Registrar file and for board minutes</w:t>
            </w:r>
          </w:p>
        </w:tc>
      </w:tr>
      <w:tr>
        <w:tc>
          <w:tcPr>
            <w:tcW w:type="dxa" w:w="3135"/>
          </w:tcPr>
          <w:p>
            <w:r/>
            <w:r>
              <w:rPr>
                <w:rFonts w:ascii="Calibri" w:hAnsi="Calibri"/>
                <w:b w:val="0"/>
                <w:i w:val="0"/>
                <w:color w:val="000000"/>
                <w:sz w:val="18"/>
              </w:rPr>
              <w:t>Company secretary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Statutory books, filings, minutes — joint exposure with directors on defaults</w:t>
            </w:r>
          </w:p>
        </w:tc>
      </w:tr>
      <w:tr>
        <w:tc>
          <w:tcPr>
            <w:tcW w:type="dxa" w:w="3135"/>
          </w:tcPr>
          <w:p>
            <w:r/>
            <w:r>
              <w:rPr>
                <w:rFonts w:ascii="Calibri" w:hAnsi="Calibri"/>
                <w:b w:val="0"/>
                <w:i w:val="0"/>
                <w:color w:val="000000"/>
                <w:sz w:val="18"/>
              </w:rPr>
              <w:t>Managing director (employment)</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LCY-EMP-AP-2026-001 — employment duties ≠ director indemnity (separate tracks)</w:t>
            </w:r>
          </w:p>
        </w:tc>
      </w:tr>
    </w:tbl>
    <w:p/>
    <w:p>
      <w:pPr>
        <w:jc w:val="both"/>
      </w:pPr>
      <w:r>
        <w:rPr>
          <w:rFonts w:ascii="Calibri" w:hAnsi="Calibri"/>
          <w:b w:val="0"/>
          <w:i w:val="0"/>
          <w:color w:val="000000"/>
          <w:sz w:val="20"/>
        </w:rPr>
        <w:t>Counsel to confirm: (a) articles permit two directors + one secretary; (b) quorum when Alexander and LI representative are the board; (c) whether LI corporate director needs separate representative indemnity.</w:t>
      </w:r>
    </w:p>
    <w:p>
      <w:pPr>
        <w:spacing w:before="240"/>
      </w:pPr>
      <w:r>
        <w:rPr>
          <w:rFonts w:ascii="Calibri" w:hAnsi="Calibri"/>
          <w:b/>
          <w:i w:val="0"/>
          <w:color w:val="C9A432"/>
          <w:sz w:val="24"/>
        </w:rPr>
        <w:t>3. Company covenants (heads — counsel to expand)</w:t>
      </w:r>
    </w:p>
    <w:p>
      <w:pPr>
        <w:jc w:val="both"/>
      </w:pPr>
      <w:r>
        <w:rPr>
          <w:rFonts w:ascii="Calibri" w:hAnsi="Calibri"/>
          <w:b/>
          <w:i w:val="0"/>
          <w:color w:val="000000"/>
          <w:sz w:val="20"/>
        </w:rPr>
        <w:t>3.1 Directors’ and officers’ liability insurance</w:t>
      </w:r>
    </w:p>
    <w:p>
      <w:pPr>
        <w:jc w:val="both"/>
      </w:pPr>
      <w:r>
        <w:rPr>
          <w:rFonts w:ascii="Calibri" w:hAnsi="Calibri"/>
          <w:b w:val="0"/>
          <w:i w:val="0"/>
          <w:color w:val="000000"/>
          <w:sz w:val="20"/>
        </w:rPr>
        <w:t>The Company shall, within [60] days of execution (or [30] days before Galascope EPC Effective Date, whichever is earlier):</w:t>
      </w:r>
    </w:p>
    <w:p>
      <w:pPr>
        <w:jc w:val="both"/>
      </w:pPr>
      <w:r>
        <w:rPr>
          <w:rFonts w:ascii="Calibri" w:hAnsi="Calibri"/>
          <w:b w:val="0"/>
          <w:i w:val="0"/>
          <w:color w:val="000000"/>
          <w:sz w:val="20"/>
        </w:rPr>
        <w:t>(a) procure and maintain D&amp;O / management liability insurance with minimum limit €[1,000,000] per claim and in the aggregate (counsel + Marsh to confirm BESS-appropriate limit);</w:t>
      </w:r>
    </w:p>
    <w:p>
      <w:pPr>
        <w:jc w:val="both"/>
      </w:pPr>
      <w:r>
        <w:rPr>
          <w:rFonts w:ascii="Calibri" w:hAnsi="Calibri"/>
          <w:b w:val="0"/>
          <w:i w:val="0"/>
          <w:color w:val="000000"/>
          <w:sz w:val="20"/>
        </w:rPr>
        <w:t>(b) name as insured persons: Alexander Papacosta (director and secretary); each authorised representative of Lighthief International Ltd acting as corporate director; and any future executive directors approved by the Shareholder;</w:t>
      </w:r>
    </w:p>
    <w:p>
      <w:pPr>
        <w:jc w:val="both"/>
      </w:pPr>
      <w:r>
        <w:rPr>
          <w:rFonts w:ascii="Calibri" w:hAnsi="Calibri"/>
          <w:b w:val="0"/>
          <w:i w:val="0"/>
          <w:color w:val="000000"/>
          <w:sz w:val="20"/>
        </w:rPr>
        <w:t>(c) provide certificates of insurance and policy summaries to each insured person on placement and renewal;</w:t>
      </w:r>
    </w:p>
    <w:p>
      <w:pPr>
        <w:jc w:val="both"/>
      </w:pPr>
      <w:r>
        <w:rPr>
          <w:rFonts w:ascii="Calibri" w:hAnsi="Calibri"/>
          <w:b w:val="0"/>
          <w:i w:val="0"/>
          <w:color w:val="000000"/>
          <w:sz w:val="20"/>
        </w:rPr>
        <w:t>(d) not cancel or materially reduce cover without [30] days’ prior written notice to insured persons and Shareholder consent while any Protected Matter under LCY-MOI-TOCA-2026-001 remains in force;</w:t>
      </w:r>
    </w:p>
    <w:p>
      <w:pPr>
        <w:jc w:val="both"/>
      </w:pPr>
      <w:r>
        <w:rPr>
          <w:rFonts w:ascii="Calibri" w:hAnsi="Calibri"/>
          <w:b w:val="0"/>
          <w:i w:val="0"/>
          <w:color w:val="000000"/>
          <w:sz w:val="20"/>
        </w:rPr>
        <w:t>(e) where the policy permits, ensure defence costs are advanced and retroactive date covers acts from 1 July 2025 (or earlier if available).</w:t>
      </w:r>
    </w:p>
    <w:p>
      <w:pPr>
        <w:jc w:val="both"/>
      </w:pPr>
      <w:r>
        <w:rPr>
          <w:rFonts w:ascii="Calibri" w:hAnsi="Calibri"/>
          <w:b/>
          <w:i w:val="0"/>
          <w:color w:val="000000"/>
          <w:sz w:val="20"/>
        </w:rPr>
        <w:t>3.2 Statutory indemnity (Cap. 113)</w:t>
      </w:r>
    </w:p>
    <w:p>
      <w:pPr>
        <w:jc w:val="both"/>
      </w:pPr>
      <w:r>
        <w:rPr>
          <w:rFonts w:ascii="Calibri" w:hAnsi="Calibri"/>
          <w:b w:val="0"/>
          <w:i w:val="0"/>
          <w:color w:val="000000"/>
          <w:sz w:val="20"/>
        </w:rPr>
        <w:t>To the fullest extent permitted by Cyprus law (including Section 197, Cap. 113 and the Company’s articles):</w:t>
      </w:r>
    </w:p>
    <w:p>
      <w:pPr>
        <w:jc w:val="both"/>
      </w:pPr>
      <w:r>
        <w:rPr>
          <w:rFonts w:ascii="Calibri" w:hAnsi="Calibri"/>
          <w:b w:val="0"/>
          <w:i w:val="0"/>
          <w:color w:val="000000"/>
          <w:sz w:val="20"/>
        </w:rPr>
        <w:t>(a) the Company indemnifies each Beneficiary against liabilities and reasonable defence costs arising from acts or omissions in the proper performance of duties as director or secretary, excluding fraud, wilful default, or conduct known to be in breach of duty;</w:t>
      </w:r>
    </w:p>
    <w:p>
      <w:pPr>
        <w:jc w:val="both"/>
      </w:pPr>
      <w:r>
        <w:rPr>
          <w:rFonts w:ascii="Calibri" w:hAnsi="Calibri"/>
          <w:b w:val="0"/>
          <w:i w:val="0"/>
          <w:color w:val="000000"/>
          <w:sz w:val="20"/>
        </w:rPr>
        <w:t>(b) indemnity includes proceedings brought by the Company or Shareholder unless final non-appealable judgment finds fraud or dishonesty;</w:t>
      </w:r>
    </w:p>
    <w:p>
      <w:pPr>
        <w:jc w:val="both"/>
      </w:pPr>
      <w:r>
        <w:rPr>
          <w:rFonts w:ascii="Calibri" w:hAnsi="Calibri"/>
          <w:b w:val="0"/>
          <w:i w:val="0"/>
          <w:color w:val="000000"/>
          <w:sz w:val="20"/>
        </w:rPr>
        <w:t>(c) the Company shall advance reasonable defence costs subject to undertaking to repay if indemnity excluded.</w:t>
      </w:r>
    </w:p>
    <w:p>
      <w:pPr>
        <w:jc w:val="both"/>
      </w:pPr>
      <w:r>
        <w:rPr>
          <w:rFonts w:ascii="Calibri" w:hAnsi="Calibri"/>
          <w:b/>
          <w:i w:val="0"/>
          <w:color w:val="000000"/>
          <w:sz w:val="20"/>
        </w:rPr>
        <w:t>3.3 Secretary-specific</w:t>
      </w:r>
    </w:p>
    <w:p>
      <w:pPr>
        <w:jc w:val="both"/>
      </w:pPr>
      <w:r>
        <w:rPr>
          <w:rFonts w:ascii="Calibri" w:hAnsi="Calibri"/>
          <w:b w:val="0"/>
          <w:i w:val="0"/>
          <w:color w:val="000000"/>
          <w:sz w:val="20"/>
        </w:rPr>
        <w:t>Alexander Papacosta’s indemnity and D&amp;O cover extend to duties as company secretary (registers, filings, minutes) on the same basis as directorship.</w:t>
      </w:r>
    </w:p>
    <w:p>
      <w:pPr>
        <w:jc w:val="both"/>
      </w:pPr>
      <w:r>
        <w:rPr>
          <w:rFonts w:ascii="Calibri" w:hAnsi="Calibri"/>
          <w:b/>
          <w:i w:val="0"/>
          <w:color w:val="000000"/>
          <w:sz w:val="20"/>
        </w:rPr>
        <w:t>3.4 Related-party transactions</w:t>
      </w:r>
    </w:p>
    <w:p>
      <w:pPr>
        <w:jc w:val="both"/>
      </w:pPr>
      <w:r>
        <w:rPr>
          <w:rFonts w:ascii="Calibri" w:hAnsi="Calibri"/>
          <w:b w:val="0"/>
          <w:i w:val="0"/>
          <w:color w:val="000000"/>
          <w:sz w:val="20"/>
        </w:rPr>
        <w:t>The Shareholder acknowledges that Beneficiaries may participate in related-party transactions (Moi Ostrov deed, employment, side letter) only where disclosed and approved per Section 191, Cap. 113. The Company and Shareholder shall not deny indemnity or insurance solely because a claim arises from a transaction that was duly disclosed and shareholder-approved, unless counsel determines indemnity is legally prohibited.</w:t>
      </w:r>
    </w:p>
    <w:p>
      <w:pPr>
        <w:jc w:val="both"/>
      </w:pPr>
      <w:r>
        <w:rPr>
          <w:rFonts w:ascii="Calibri" w:hAnsi="Calibri"/>
          <w:b/>
          <w:i w:val="0"/>
          <w:color w:val="000000"/>
          <w:sz w:val="20"/>
        </w:rPr>
        <w:t>3.5 Run-off</w:t>
      </w:r>
    </w:p>
    <w:p>
      <w:pPr>
        <w:jc w:val="both"/>
      </w:pPr>
      <w:r>
        <w:rPr>
          <w:rFonts w:ascii="Calibri" w:hAnsi="Calibri"/>
          <w:b w:val="0"/>
          <w:i w:val="0"/>
          <w:color w:val="000000"/>
          <w:sz w:val="20"/>
        </w:rPr>
        <w:t>On cessation of office (other than summary removal for fraud/dishonesty), D&amp;O run-off cover of [6] years (or policy maximum) at Company expense unless termination is for cause defined in counsel’s final draft.</w:t>
      </w:r>
    </w:p>
    <w:p>
      <w:pPr>
        <w:jc w:val="both"/>
      </w:pPr>
      <w:r>
        <w:rPr>
          <w:rFonts w:ascii="Calibri" w:hAnsi="Calibri"/>
          <w:b/>
          <w:i w:val="0"/>
          <w:color w:val="000000"/>
          <w:sz w:val="20"/>
        </w:rPr>
        <w:t>3.6 No personal guarantee of company PI</w:t>
      </w:r>
    </w:p>
    <w:p>
      <w:pPr>
        <w:jc w:val="both"/>
      </w:pPr>
      <w:r>
        <w:rPr>
          <w:rFonts w:ascii="Calibri" w:hAnsi="Calibri"/>
          <w:b w:val="0"/>
          <w:i w:val="0"/>
          <w:color w:val="000000"/>
          <w:sz w:val="20"/>
        </w:rPr>
        <w:t>Nothing here requires Beneficiaries to personally underwrite the Company’s EPC professional indemnity obligations to clients. Client-facing PI remains a Company obligation.</w:t>
      </w:r>
    </w:p>
    <w:p>
      <w:pPr>
        <w:spacing w:before="240"/>
      </w:pPr>
      <w:r>
        <w:rPr>
          <w:rFonts w:ascii="Calibri" w:hAnsi="Calibri"/>
          <w:b/>
          <w:i w:val="0"/>
          <w:color w:val="C9A432"/>
          <w:sz w:val="24"/>
        </w:rPr>
        <w:t>4. Shareholder support (cross-ref resolution)</w:t>
      </w:r>
    </w:p>
    <w:p>
      <w:pPr>
        <w:jc w:val="both"/>
      </w:pPr>
      <w:r>
        <w:rPr>
          <w:rFonts w:ascii="Calibri" w:hAnsi="Calibri"/>
          <w:b w:val="0"/>
          <w:i w:val="0"/>
          <w:color w:val="000000"/>
          <w:sz w:val="20"/>
        </w:rPr>
        <w:t>Lighthief International Ltd shall pass written resolution (LCY-SHR-DO-2026-001):</w:t>
      </w:r>
    </w:p>
    <w:p>
      <w:pPr>
        <w:jc w:val="both"/>
      </w:pPr>
      <w:r>
        <w:rPr>
          <w:rFonts w:ascii="Calibri" w:hAnsi="Calibri"/>
          <w:b w:val="0"/>
          <w:i w:val="0"/>
          <w:color w:val="000000"/>
          <w:sz w:val="20"/>
        </w:rPr>
        <w:t>1. Approves procurement of D&amp;O insurance on terms no less favourable than §3.1.</w:t>
      </w:r>
    </w:p>
    <w:p>
      <w:pPr>
        <w:jc w:val="both"/>
      </w:pPr>
      <w:r>
        <w:rPr>
          <w:rFonts w:ascii="Calibri" w:hAnsi="Calibri"/>
          <w:b w:val="0"/>
          <w:i w:val="0"/>
          <w:color w:val="000000"/>
          <w:sz w:val="20"/>
        </w:rPr>
        <w:t>2. Approves Cap. 113 indemnity deed in favour of Beneficiaries.</w:t>
      </w:r>
    </w:p>
    <w:p>
      <w:pPr>
        <w:jc w:val="both"/>
      </w:pPr>
      <w:r>
        <w:rPr>
          <w:rFonts w:ascii="Calibri" w:hAnsi="Calibri"/>
          <w:b w:val="0"/>
          <w:i w:val="0"/>
          <w:color w:val="000000"/>
          <w:sz w:val="20"/>
        </w:rPr>
        <w:t>3. Confirms Alexander Papacosta’s appointment as company secretary [from date] and ratifies filings made in that capacity.</w:t>
      </w:r>
    </w:p>
    <w:p>
      <w:pPr>
        <w:jc w:val="both"/>
      </w:pPr>
      <w:r>
        <w:rPr>
          <w:rFonts w:ascii="Calibri" w:hAnsi="Calibri"/>
          <w:b w:val="0"/>
          <w:i w:val="0"/>
          <w:color w:val="000000"/>
          <w:sz w:val="20"/>
        </w:rPr>
        <w:t>4. Authorises premium payment as necessary Company expense.</w:t>
      </w:r>
    </w:p>
    <w:p>
      <w:pPr>
        <w:jc w:val="both"/>
      </w:pPr>
      <w:r>
        <w:rPr>
          <w:rFonts w:ascii="Calibri" w:hAnsi="Calibri"/>
          <w:b w:val="0"/>
          <w:i w:val="0"/>
          <w:color w:val="000000"/>
          <w:sz w:val="20"/>
        </w:rPr>
        <w:t>5. Instructs amendment of articles (if required) to permit indemnity and insurance.</w:t>
      </w:r>
    </w:p>
    <w:p>
      <w:pPr>
        <w:spacing w:before="240"/>
      </w:pPr>
      <w:r>
        <w:rPr>
          <w:rFonts w:ascii="Calibri" w:hAnsi="Calibri"/>
          <w:b/>
          <w:i w:val="0"/>
          <w:color w:val="C9A432"/>
          <w:sz w:val="24"/>
        </w:rPr>
        <w:t>5. Employment agreement cross-reference</w:t>
      </w:r>
    </w:p>
    <w:p>
      <w:pPr>
        <w:jc w:val="both"/>
      </w:pPr>
      <w:r>
        <w:rPr>
          <w:rFonts w:ascii="Calibri" w:hAnsi="Calibri"/>
          <w:b w:val="0"/>
          <w:i w:val="0"/>
          <w:color w:val="000000"/>
          <w:sz w:val="20"/>
        </w:rPr>
        <w:t>Add to LCY-EMP-AP-2026-001 (new §8.4 or Annex C):</w:t>
      </w:r>
    </w:p>
    <w:p>
      <w:pPr>
        <w:ind w:left="567"/>
      </w:pPr>
      <w:r>
        <w:rPr>
          <w:rFonts w:ascii="Calibri" w:hAnsi="Calibri"/>
          <w:b w:val="0"/>
          <w:i/>
          <w:color w:val="404040"/>
          <w:sz w:val="20"/>
        </w:rPr>
        <w:t>The Company’s obligations under the Director &amp; Officer Protections deed (LCY-DIR-IND-2026-001) apply to the Employee in his capacity as director and secretary. Employment termination does not automatically terminate directorship; run-off and indemnity survive cessation of each office as stated in that deed.</w:t>
      </w:r>
    </w:p>
    <w:p>
      <w:pPr>
        <w:spacing w:before="240"/>
      </w:pPr>
      <w:r>
        <w:rPr>
          <w:rFonts w:ascii="Calibri" w:hAnsi="Calibri"/>
          <w:b/>
          <w:i w:val="0"/>
          <w:color w:val="C9A432"/>
          <w:sz w:val="24"/>
        </w:rPr>
        <w:t>6. Moi Ostrov / consultancy (separate)</w:t>
      </w:r>
    </w:p>
    <w:p>
      <w:pPr>
        <w:jc w:val="both"/>
      </w:pPr>
      <w:r>
        <w:rPr>
          <w:rFonts w:ascii="Calibri" w:hAnsi="Calibri"/>
          <w:b w:val="0"/>
          <w:i w:val="0"/>
          <w:color w:val="000000"/>
          <w:sz w:val="20"/>
        </w:rPr>
        <w:t>Moi Ostrov Ltd consultancy work is not covered by LCY D&amp;O. If Moi Ostrov invoices the Company, Moi Ostrov should maintain its own professional indemnity / business liability as an independent contractor. Alexander’s personal Moi Ostrov directorship exposure is outside this LCY deed.</w:t>
      </w:r>
    </w:p>
    <w:p>
      <w:pPr>
        <w:spacing w:before="240"/>
      </w:pPr>
      <w:r>
        <w:rPr>
          <w:rFonts w:ascii="Calibri" w:hAnsi="Calibri"/>
          <w:b/>
          <w:i w:val="0"/>
          <w:color w:val="C9A432"/>
          <w:sz w:val="24"/>
        </w:rPr>
        <w:t>7. Pre-execution actions (broker + counsel)</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Owner</w:t>
            </w:r>
          </w:p>
        </w:tc>
      </w:tr>
      <w:tr>
        <w:tc>
          <w:tcPr>
            <w:tcW w:type="dxa" w:w="3135"/>
          </w:tcPr>
          <w:p>
            <w:r/>
            <w:r>
              <w:rPr>
                <w:rFonts w:ascii="Calibri" w:hAnsi="Calibri"/>
                <w:b w:val="0"/>
                <w:i w:val="0"/>
                <w:color w:val="000000"/>
                <w:sz w:val="18"/>
              </w:rPr>
              <w:t>1</w:t>
            </w:r>
          </w:p>
        </w:tc>
        <w:tc>
          <w:tcPr>
            <w:tcW w:type="dxa" w:w="3135"/>
          </w:tcPr>
          <w:p>
            <w:r/>
            <w:r>
              <w:rPr>
                <w:rFonts w:ascii="Calibri" w:hAnsi="Calibri"/>
                <w:b w:val="0"/>
                <w:i w:val="0"/>
                <w:color w:val="000000"/>
                <w:sz w:val="18"/>
              </w:rPr>
              <w:t>Obtain current LCY D&amp;O quote (Marsh or Cyprus broker) — confirm secretary named</w:t>
            </w:r>
          </w:p>
        </w:tc>
        <w:tc>
          <w:tcPr>
            <w:tcW w:type="dxa" w:w="3135"/>
          </w:tcPr>
          <w:p>
            <w:r/>
            <w:r>
              <w:rPr>
                <w:rFonts w:ascii="Calibri" w:hAnsi="Calibri"/>
                <w:b w:val="0"/>
                <w:i w:val="0"/>
                <w:color w:val="000000"/>
                <w:sz w:val="18"/>
              </w:rPr>
              <w:t>Alexander</w:t>
            </w:r>
          </w:p>
        </w:tc>
      </w:tr>
      <w:tr>
        <w:tc>
          <w:tcPr>
            <w:tcW w:type="dxa" w:w="3135"/>
          </w:tcPr>
          <w:p>
            <w:r/>
            <w:r>
              <w:rPr>
                <w:rFonts w:ascii="Calibri" w:hAnsi="Calibri"/>
                <w:b w:val="0"/>
                <w:i w:val="0"/>
                <w:color w:val="000000"/>
                <w:sz w:val="18"/>
              </w:rPr>
              <w:t>2</w:t>
            </w:r>
          </w:p>
        </w:tc>
        <w:tc>
          <w:tcPr>
            <w:tcW w:type="dxa" w:w="3135"/>
          </w:tcPr>
          <w:p>
            <w:r/>
            <w:r>
              <w:rPr>
                <w:rFonts w:ascii="Calibri" w:hAnsi="Calibri"/>
                <w:b w:val="0"/>
                <w:i w:val="0"/>
                <w:color w:val="000000"/>
                <w:sz w:val="18"/>
              </w:rPr>
              <w:t>Read articles — indemnity permitted? amendment needed?</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3</w:t>
            </w:r>
          </w:p>
        </w:tc>
        <w:tc>
          <w:tcPr>
            <w:tcW w:type="dxa" w:w="3135"/>
          </w:tcPr>
          <w:p>
            <w:r/>
            <w:r>
              <w:rPr>
                <w:rFonts w:ascii="Calibri" w:hAnsi="Calibri"/>
                <w:b w:val="0"/>
                <w:i w:val="0"/>
                <w:color w:val="000000"/>
                <w:sz w:val="18"/>
              </w:rPr>
              <w:t>Confirm Registrar records: LI corporate director + representative</w:t>
            </w:r>
          </w:p>
        </w:tc>
        <w:tc>
          <w:tcPr>
            <w:tcW w:type="dxa" w:w="3135"/>
          </w:tcPr>
          <w:p>
            <w:r/>
            <w:r>
              <w:rPr>
                <w:rFonts w:ascii="Calibri" w:hAnsi="Calibri"/>
                <w:b w:val="0"/>
                <w:i w:val="0"/>
                <w:color w:val="000000"/>
                <w:sz w:val="18"/>
              </w:rPr>
              <w:t>Secretary</w:t>
            </w:r>
          </w:p>
        </w:tc>
      </w:tr>
      <w:tr>
        <w:tc>
          <w:tcPr>
            <w:tcW w:type="dxa" w:w="3135"/>
          </w:tcPr>
          <w:p>
            <w:r/>
            <w:r>
              <w:rPr>
                <w:rFonts w:ascii="Calibri" w:hAnsi="Calibri"/>
                <w:b w:val="0"/>
                <w:i w:val="0"/>
                <w:color w:val="000000"/>
                <w:sz w:val="18"/>
              </w:rPr>
              <w:t>4</w:t>
            </w:r>
          </w:p>
        </w:tc>
        <w:tc>
          <w:tcPr>
            <w:tcW w:type="dxa" w:w="3135"/>
          </w:tcPr>
          <w:p>
            <w:r/>
            <w:r>
              <w:rPr>
                <w:rFonts w:ascii="Calibri" w:hAnsi="Calibri"/>
                <w:b w:val="0"/>
                <w:i w:val="0"/>
                <w:color w:val="000000"/>
                <w:sz w:val="18"/>
              </w:rPr>
              <w:t>Align D&amp;O retro date with Jul 2025 related-party approvals</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5</w:t>
            </w:r>
          </w:p>
        </w:tc>
        <w:tc>
          <w:tcPr>
            <w:tcW w:type="dxa" w:w="3135"/>
          </w:tcPr>
          <w:p>
            <w:r/>
            <w:r>
              <w:rPr>
                <w:rFonts w:ascii="Calibri" w:hAnsi="Calibri"/>
                <w:b w:val="0"/>
                <w:i w:val="0"/>
                <w:color w:val="000000"/>
                <w:sz w:val="18"/>
              </w:rPr>
              <w:t>Do not rely on EPC PI certificate as personal cover</w:t>
            </w:r>
          </w:p>
        </w:tc>
        <w:tc>
          <w:tcPr>
            <w:tcW w:type="dxa" w:w="3135"/>
          </w:tcPr>
          <w:p>
            <w:r/>
            <w:r>
              <w:rPr>
                <w:rFonts w:ascii="Calibri" w:hAnsi="Calibri"/>
                <w:b w:val="0"/>
                <w:i w:val="0"/>
                <w:color w:val="000000"/>
                <w:sz w:val="18"/>
              </w:rPr>
              <w:t>—</w:t>
            </w:r>
          </w:p>
        </w:tc>
      </w:tr>
    </w:tbl>
    <w:p/>
    <w:p>
      <w:pPr>
        <w:spacing w:before="240"/>
      </w:pPr>
      <w:r>
        <w:rPr>
          <w:rFonts w:ascii="Calibri" w:hAnsi="Calibri"/>
          <w:b/>
          <w:i w:val="0"/>
          <w:color w:val="C9A432"/>
          <w:sz w:val="24"/>
        </w:rPr>
        <w:t>8.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Beneficiary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Shareholder (consent)</w:t>
            </w:r>
          </w:p>
        </w:tc>
        <w:tc>
          <w:tcPr>
            <w:tcW w:type="dxa" w:w="3135"/>
          </w:tcPr>
          <w:p>
            <w:r/>
            <w:r>
              <w:rPr>
                <w:rFonts w:ascii="Calibri" w:hAnsi="Calibri"/>
                <w:b w:val="0"/>
                <w:i w:val="0"/>
                <w:color w:val="000000"/>
                <w:sz w:val="18"/>
              </w:rPr>
              <w:t>Lighthief International Ltd — 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End of draft — not legal advice. Insurance terms subject to broker binding.</w:t>
      </w:r>
    </w:p>
    <w:p>
      <w:pPr>
        <w:sectPr>
          <w:footerReference w:type="default" r:id="rId27"/>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D&amp;O INSURANCE &amp; DIRECTOR INDEMNITY</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LCY-SHR-DO-2026-001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resolves:</w:t>
      </w:r>
    </w:p>
    <w:p>
      <w:pPr>
        <w:jc w:val="both"/>
      </w:pPr>
      <w:r>
        <w:rPr>
          <w:rFonts w:ascii="Calibri" w:hAnsi="Calibri"/>
          <w:b w:val="0"/>
          <w:i w:val="0"/>
          <w:color w:val="000000"/>
          <w:sz w:val="20"/>
        </w:rPr>
        <w:t>1. D&amp;O insurance. The Company is directed and authorised to procure and maintain directors’ and officers’ liability insurance naming Alexander Papacosta (director and company secretary) and each authorised representative of Lighthief International Ltd acting as corporate director, on terms no less favourable than the heads set out in the Director &amp; Officer Protections deed (LCY-DIR-IND-2026-001), including minimum limit €[1,000,000] and retroactive coverage from 1 July 2025 where available.</w:t>
      </w:r>
    </w:p>
    <w:p>
      <w:pPr>
        <w:jc w:val="both"/>
      </w:pPr>
      <w:r>
        <w:rPr>
          <w:rFonts w:ascii="Calibri" w:hAnsi="Calibri"/>
          <w:b w:val="0"/>
          <w:i w:val="0"/>
          <w:color w:val="000000"/>
          <w:sz w:val="20"/>
        </w:rPr>
        <w:t>2. Premium. Insurance premiums and run-off premiums are approved Company expenses.</w:t>
      </w:r>
    </w:p>
    <w:p>
      <w:pPr>
        <w:jc w:val="both"/>
      </w:pPr>
      <w:r>
        <w:rPr>
          <w:rFonts w:ascii="Calibri" w:hAnsi="Calibri"/>
          <w:b w:val="0"/>
          <w:i w:val="0"/>
          <w:color w:val="000000"/>
          <w:sz w:val="20"/>
        </w:rPr>
        <w:t>3. Statutory indemnity. The Company is authorised to execute a deed of indemnity in favour of the Beneficiaries under LCY-DIR-IND-2026-001 to the maximum permitted by Section 197, Cap. 113 and the articles.</w:t>
      </w:r>
    </w:p>
    <w:p>
      <w:pPr>
        <w:jc w:val="both"/>
      </w:pPr>
      <w:r>
        <w:rPr>
          <w:rFonts w:ascii="Calibri" w:hAnsi="Calibri"/>
          <w:b w:val="0"/>
          <w:i w:val="0"/>
          <w:color w:val="000000"/>
          <w:sz w:val="20"/>
        </w:rPr>
        <w:t>4. Secretary appointment. Alexander Papacosta is confirmed as company secretary of the Company and all filings and minutes executed by him in that capacity from [appointment date / 1 July 2025] to date are ratified, subject to correction of any technical filing errors identified by counsel.</w:t>
      </w:r>
    </w:p>
    <w:p>
      <w:pPr>
        <w:jc w:val="both"/>
      </w:pPr>
      <w:r>
        <w:rPr>
          <w:rFonts w:ascii="Calibri" w:hAnsi="Calibri"/>
          <w:b w:val="0"/>
          <w:i w:val="0"/>
          <w:color w:val="000000"/>
          <w:sz w:val="20"/>
        </w:rPr>
        <w:t>5. Articles. The directors are instructed to procure such amendments to the articles as counsel advises are necessary to give full effect to the indemnity and insurance obligations.</w:t>
      </w:r>
    </w:p>
    <w:p>
      <w:pPr>
        <w:jc w:val="both"/>
      </w:pPr>
      <w:r>
        <w:rPr>
          <w:rFonts w:ascii="Calibri" w:hAnsi="Calibri"/>
          <w:b w:val="0"/>
          <w:i w:val="0"/>
          <w:color w:val="000000"/>
          <w:sz w:val="20"/>
        </w:rPr>
        <w:t>6. Related-party. The Shareholder acknowledges that D&amp;O and indemnity cover related-party claims only where disclosure and approval requirements were satisfied; this Resolution does not waive any right to pursue claims for fraud or dishonesty.</w:t>
      </w:r>
    </w:p>
    <w:p>
      <w:pPr>
        <w:spacing w:before="240"/>
      </w:pPr>
      <w:r>
        <w:rPr>
          <w:rFonts w:ascii="Calibri" w:hAnsi="Calibri"/>
          <w:b/>
          <w:i w:val="0"/>
          <w:color w:val="C9A432"/>
          <w:sz w:val="24"/>
        </w:rPr>
        <w:t>Signature — Sole Shareholder</w:t>
      </w:r>
    </w:p>
    <w:p>
      <w:pPr>
        <w:jc w:val="both"/>
      </w:pPr>
      <w:r>
        <w:rPr>
          <w:rFonts w:ascii="Calibri" w:hAnsi="Calibri"/>
          <w:b/>
          <w:i w:val="0"/>
          <w:color w:val="000000"/>
          <w:sz w:val="20"/>
        </w:rPr>
        <w:t>For and on behalf of LIGHTHIEF INTERNATIONAL LTD</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not the Beneficiary signing for shareholder.</w:t>
      </w:r>
    </w:p>
    <w:p>
      <w:pPr>
        <w:sectPr>
          <w:footerReference w:type="default" r:id="rId28"/>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SIGNING MATRIX &amp; GOVERNANCE — LIGHTHIEF CYPRUS LTD</w:t>
      </w:r>
    </w:p>
    <w:p/>
    <w:p>
      <w:pPr>
        <w:jc w:val="both"/>
      </w:pPr>
      <w:r>
        <w:rPr>
          <w:rFonts w:ascii="Calibri" w:hAnsi="Calibri"/>
          <w:b w:val="0"/>
          <w:i w:val="0"/>
          <w:color w:val="000000"/>
          <w:sz w:val="20"/>
        </w:rPr>
        <w:t>Ref: LCY-GOV-SIGN-2026-001</w:t>
      </w:r>
    </w:p>
    <w:p>
      <w:pPr>
        <w:jc w:val="both"/>
      </w:pPr>
      <w:r>
        <w:rPr>
          <w:rFonts w:ascii="Calibri" w:hAnsi="Calibri"/>
          <w:b w:val="0"/>
          <w:i w:val="0"/>
          <w:color w:val="000000"/>
          <w:sz w:val="20"/>
        </w:rPr>
        <w:t>Status: EXECUTION GUIDE — use with counsel before signing</w:t>
      </w:r>
    </w:p>
    <w:p>
      <w:pPr>
        <w:jc w:val="both"/>
      </w:pPr>
      <w:r>
        <w:rPr>
          <w:rFonts w:ascii="Calibri" w:hAnsi="Calibri"/>
          <w:b w:val="0"/>
          <w:i w:val="0"/>
          <w:color w:val="000000"/>
          <w:sz w:val="20"/>
        </w:rPr>
        <w:t>Company: Lighthief Cyprus Ltd (HE 477423)</w:t>
      </w:r>
    </w:p>
    <w:p>
      <w:pPr>
        <w:spacing w:before="240"/>
      </w:pPr>
      <w:r>
        <w:rPr>
          <w:rFonts w:ascii="Calibri" w:hAnsi="Calibri"/>
          <w:b/>
          <w:i w:val="0"/>
          <w:color w:val="C9A432"/>
          <w:sz w:val="24"/>
        </w:rPr>
        <w:t>1. Corporate structure (signing logic)</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Entity / person</w:t>
            </w:r>
          </w:p>
        </w:tc>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Signs as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Sole shareholder of LCY (100%)</w:t>
            </w:r>
          </w:p>
        </w:tc>
        <w:tc>
          <w:tcPr>
            <w:tcW w:type="dxa" w:w="3135"/>
          </w:tcPr>
          <w:p>
            <w:r/>
            <w:r>
              <w:rPr>
                <w:rFonts w:ascii="Calibri" w:hAnsi="Calibri"/>
                <w:b w:val="0"/>
                <w:i w:val="0"/>
                <w:color w:val="000000"/>
                <w:sz w:val="18"/>
              </w:rPr>
              <w:t>Shareholder resolutions only — never Alexander</w:t>
            </w:r>
          </w:p>
        </w:tc>
      </w:tr>
      <w:tr>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t>UBO of Lighthief International; authorised signatory of LI</w:t>
            </w:r>
          </w:p>
        </w:tc>
        <w:tc>
          <w:tcPr>
            <w:tcW w:type="dxa" w:w="3135"/>
          </w:tcPr>
          <w:p>
            <w:r/>
            <w:r>
              <w:rPr>
                <w:rFonts w:ascii="Calibri" w:hAnsi="Calibri"/>
                <w:b w:val="0"/>
                <w:i w:val="0"/>
                <w:color w:val="000000"/>
                <w:sz w:val="18"/>
              </w:rPr>
              <w:t>(a) For LI on shareholder resolutions; (b) Personally on Annex B and side letter Founder line; (c) For LI as corporate director at LCY board</w:t>
            </w:r>
          </w:p>
        </w:tc>
      </w:tr>
      <w:tr>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 director (natural person), company secretary, MD (employee); Moi Ostrov director</w:t>
            </w:r>
          </w:p>
        </w:tc>
        <w:tc>
          <w:tcPr>
            <w:tcW w:type="dxa" w:w="3135"/>
          </w:tcPr>
          <w:p>
            <w:r/>
            <w:r>
              <w:rPr>
                <w:rFonts w:ascii="Calibri" w:hAnsi="Calibri"/>
                <w:b w:val="0"/>
                <w:i w:val="0"/>
                <w:color w:val="000000"/>
                <w:sz w:val="18"/>
              </w:rPr>
              <w:t>LCY contracts, Moi Ostrov contracts, employment as Employee; does not sign shareholder resolutions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LCY corporate director</w:t>
            </w:r>
          </w:p>
        </w:tc>
        <w:tc>
          <w:tcPr>
            <w:tcW w:type="dxa" w:w="3135"/>
          </w:tcPr>
          <w:p>
            <w:r/>
            <w:r>
              <w:rPr>
                <w:rFonts w:ascii="Calibri" w:hAnsi="Calibri"/>
                <w:b w:val="0"/>
                <w:i w:val="0"/>
                <w:color w:val="000000"/>
                <w:sz w:val="18"/>
              </w:rPr>
              <w:t>Represented at board by Sybaris (authorised representative)</w:t>
            </w:r>
          </w:p>
        </w:tc>
      </w:tr>
    </w:tbl>
    <w:p/>
    <w:p>
      <w:pPr>
        <w:jc w:val="both"/>
      </w:pPr>
      <w:r>
        <w:rPr>
          <w:rFonts w:ascii="Calibri" w:hAnsi="Calibri"/>
          <w:b w:val="0"/>
          <w:i w:val="0"/>
          <w:color w:val="000000"/>
          <w:sz w:val="20"/>
        </w:rPr>
        <w:t>Golden rule: Shareholder approvals = Sybaris for LI only. UBO personal undertakings = Sybaris in personal capacity. Company contracts = Alexander for LCY (where authorised by board + shareholder resolution).</w:t>
      </w:r>
    </w:p>
    <w:p>
      <w:pPr>
        <w:spacing w:before="240"/>
      </w:pPr>
      <w:r>
        <w:rPr>
          <w:rFonts w:ascii="Calibri" w:hAnsi="Calibri"/>
          <w:b/>
          <w:i w:val="0"/>
          <w:color w:val="C9A432"/>
          <w:sz w:val="24"/>
        </w:rPr>
        <w:t>2. Master signing matrix</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A365D" w:val="clear"/>
          </w:tcPr>
          <w:p>
            <w:r/>
            <w:r>
              <w:rPr>
                <w:rFonts w:ascii="Calibri" w:hAnsi="Calibri"/>
                <w:b/>
                <w:i w:val="0"/>
                <w:color w:val="FFFFFF"/>
                <w:sz w:val="18"/>
              </w:rPr>
              <w:t>Part</w:t>
            </w:r>
          </w:p>
        </w:tc>
        <w:tc>
          <w:tcPr>
            <w:tcW w:type="dxa" w:w="1568"/>
            <w:shd w:fill="1A365D" w:val="clear"/>
          </w:tcPr>
          <w:p>
            <w:r/>
            <w:r>
              <w:rPr>
                <w:rFonts w:ascii="Calibri" w:hAnsi="Calibri"/>
                <w:b/>
                <w:i w:val="0"/>
                <w:color w:val="FFFFFF"/>
                <w:sz w:val="18"/>
              </w:rPr>
              <w:t>Document</w:t>
            </w:r>
          </w:p>
        </w:tc>
        <w:tc>
          <w:tcPr>
            <w:tcW w:type="dxa" w:w="1568"/>
            <w:shd w:fill="1A365D" w:val="clear"/>
          </w:tcPr>
          <w:p>
            <w:r/>
            <w:r>
              <w:rPr>
                <w:rFonts w:ascii="Calibri" w:hAnsi="Calibri"/>
                <w:b/>
                <w:i w:val="0"/>
                <w:color w:val="FFFFFF"/>
                <w:sz w:val="18"/>
              </w:rPr>
              <w:t>Ref</w:t>
            </w:r>
          </w:p>
        </w:tc>
        <w:tc>
          <w:tcPr>
            <w:tcW w:type="dxa" w:w="1568"/>
            <w:shd w:fill="1A365D" w:val="clear"/>
          </w:tcPr>
          <w:p>
            <w:r/>
            <w:r>
              <w:rPr>
                <w:rFonts w:ascii="Calibri" w:hAnsi="Calibri"/>
                <w:b/>
                <w:i w:val="0"/>
                <w:color w:val="FFFFFF"/>
                <w:sz w:val="18"/>
              </w:rPr>
              <w:t>Who signs</w:t>
            </w:r>
          </w:p>
        </w:tc>
        <w:tc>
          <w:tcPr>
            <w:tcW w:type="dxa" w:w="1568"/>
            <w:shd w:fill="1A365D" w:val="clear"/>
          </w:tcPr>
          <w:p>
            <w:r/>
            <w:r>
              <w:rPr>
                <w:rFonts w:ascii="Calibri" w:hAnsi="Calibri"/>
                <w:b/>
                <w:i w:val="0"/>
                <w:color w:val="FFFFFF"/>
                <w:sz w:val="18"/>
              </w:rPr>
              <w:t>Capacity</w:t>
            </w:r>
          </w:p>
        </w:tc>
        <w:tc>
          <w:tcPr>
            <w:tcW w:type="dxa" w:w="1568"/>
            <w:shd w:fill="1A365D" w:val="clear"/>
          </w:tcPr>
          <w:p>
            <w:r/>
            <w:r>
              <w:rPr>
                <w:rFonts w:ascii="Calibri" w:hAnsi="Calibri"/>
                <w:b/>
                <w:i w:val="0"/>
                <w:color w:val="FFFFFF"/>
                <w:sz w:val="18"/>
              </w:rPr>
              <w:t>Witness?</w:t>
            </w:r>
          </w:p>
        </w:tc>
      </w:tr>
      <w:tr>
        <w:tc>
          <w:tcPr>
            <w:tcW w:type="dxa" w:w="1568"/>
          </w:tcPr>
          <w:p>
            <w:r/>
            <w:r>
              <w:rPr>
                <w:rFonts w:ascii="Calibri" w:hAnsi="Calibri"/>
                <w:b w:val="0"/>
                <w:i w:val="0"/>
                <w:color w:val="000000"/>
                <w:sz w:val="18"/>
              </w:rPr>
              <w:t>5</w:t>
            </w:r>
          </w:p>
        </w:tc>
        <w:tc>
          <w:tcPr>
            <w:tcW w:type="dxa" w:w="1568"/>
          </w:tcPr>
          <w:p>
            <w:r/>
            <w:r>
              <w:rPr>
                <w:rFonts w:ascii="Calibri" w:hAnsi="Calibri"/>
                <w:b w:val="0"/>
                <w:i w:val="0"/>
                <w:color w:val="000000"/>
                <w:sz w:val="18"/>
              </w:rPr>
              <w:t>Consultancy Agreement (deed)</w:t>
            </w:r>
          </w:p>
        </w:tc>
        <w:tc>
          <w:tcPr>
            <w:tcW w:type="dxa" w:w="1568"/>
          </w:tcPr>
          <w:p>
            <w:r/>
            <w:r>
              <w:rPr>
                <w:rFonts w:ascii="Calibri" w:hAnsi="Calibri"/>
                <w:b w:val="0"/>
                <w:i w:val="0"/>
                <w:color w:val="000000"/>
                <w:sz w:val="18"/>
              </w:rPr>
              <w:t>LCY-MOI-TOCA-2026-001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Lighthief Cyprus Ltd</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5</w:t>
            </w:r>
          </w:p>
        </w:tc>
        <w:tc>
          <w:tcPr>
            <w:tcW w:type="dxa" w:w="1568"/>
          </w:tcPr>
          <w:p>
            <w:r/>
            <w:r>
              <w:rPr>
                <w:rFonts w:ascii="Calibri" w:hAnsi="Calibri"/>
                <w:b w:val="0"/>
                <w:i w:val="0"/>
                <w:color w:val="000000"/>
                <w:sz w:val="18"/>
              </w:rPr>
              <w:t>Consultancy Agreement (deed)</w:t>
            </w:r>
          </w:p>
        </w:tc>
        <w:tc>
          <w:tcPr>
            <w:tcW w:type="dxa" w:w="1568"/>
          </w:tcPr>
          <w:p>
            <w:r/>
            <w:r>
              <w:rPr>
                <w:rFonts w:ascii="Calibri" w:hAnsi="Calibri"/>
                <w:b w:val="0"/>
                <w:i w:val="0"/>
                <w:color w:val="000000"/>
                <w:sz w:val="18"/>
              </w:rPr>
              <w:t>LCY-MOI-TOCA-2026-001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Moi Ostrov Ltd</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6</w:t>
            </w:r>
          </w:p>
        </w:tc>
        <w:tc>
          <w:tcPr>
            <w:tcW w:type="dxa" w:w="1568"/>
          </w:tcPr>
          <w:p>
            <w:r/>
            <w:r>
              <w:rPr>
                <w:rFonts w:ascii="Calibri" w:hAnsi="Calibri"/>
                <w:b w:val="0"/>
                <w:i w:val="0"/>
                <w:color w:val="000000"/>
                <w:sz w:val="18"/>
              </w:rPr>
              <w:t>Annex A — Shareholder Resolution</w:t>
            </w:r>
          </w:p>
        </w:tc>
        <w:tc>
          <w:tcPr>
            <w:tcW w:type="dxa" w:w="1568"/>
          </w:tcPr>
          <w:p>
            <w:r/>
            <w:r>
              <w:rPr>
                <w:rFonts w:ascii="Calibri" w:hAnsi="Calibri"/>
                <w:b w:val="0"/>
                <w:i w:val="0"/>
                <w:color w:val="000000"/>
                <w:sz w:val="18"/>
              </w:rPr>
              <w:t>(within TOCA)</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Authorised signatory,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7</w:t>
            </w:r>
          </w:p>
        </w:tc>
        <w:tc>
          <w:tcPr>
            <w:tcW w:type="dxa" w:w="1568"/>
          </w:tcPr>
          <w:p>
            <w:r/>
            <w:r>
              <w:rPr>
                <w:rFonts w:ascii="Calibri" w:hAnsi="Calibri"/>
                <w:b w:val="0"/>
                <w:i w:val="0"/>
                <w:color w:val="000000"/>
                <w:sz w:val="18"/>
              </w:rPr>
              <w:t>Annex B — UBO Personal Undertaking</w:t>
            </w:r>
          </w:p>
        </w:tc>
        <w:tc>
          <w:tcPr>
            <w:tcW w:type="dxa" w:w="1568"/>
          </w:tcPr>
          <w:p>
            <w:r/>
            <w:r>
              <w:rPr>
                <w:rFonts w:ascii="Calibri" w:hAnsi="Calibri"/>
                <w:b w:val="0"/>
                <w:i w:val="0"/>
                <w:color w:val="000000"/>
                <w:sz w:val="18"/>
              </w:rPr>
              <w:t>(within TOCA)</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Personal — UBO (not LI)</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8</w:t>
            </w:r>
          </w:p>
        </w:tc>
        <w:tc>
          <w:tcPr>
            <w:tcW w:type="dxa" w:w="1568"/>
          </w:tcPr>
          <w:p>
            <w:r/>
            <w:r>
              <w:rPr>
                <w:rFonts w:ascii="Calibri" w:hAnsi="Calibri"/>
                <w:b w:val="0"/>
                <w:i w:val="0"/>
                <w:color w:val="000000"/>
                <w:sz w:val="18"/>
              </w:rPr>
              <w:t>MD Employment Agreement</w:t>
            </w:r>
          </w:p>
        </w:tc>
        <w:tc>
          <w:tcPr>
            <w:tcW w:type="dxa" w:w="1568"/>
          </w:tcPr>
          <w:p>
            <w:r/>
            <w:r>
              <w:rPr>
                <w:rFonts w:ascii="Calibri" w:hAnsi="Calibri"/>
                <w:b w:val="0"/>
                <w:i w:val="0"/>
                <w:color w:val="000000"/>
                <w:sz w:val="18"/>
              </w:rPr>
              <w:t>LCY-EMP-AP-2026-001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*(employer — per SHR auth)*</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8</w:t>
            </w:r>
          </w:p>
        </w:tc>
        <w:tc>
          <w:tcPr>
            <w:tcW w:type="dxa" w:w="1568"/>
          </w:tcPr>
          <w:p>
            <w:r/>
            <w:r>
              <w:rPr>
                <w:rFonts w:ascii="Calibri" w:hAnsi="Calibri"/>
                <w:b w:val="0"/>
                <w:i w:val="0"/>
                <w:color w:val="000000"/>
                <w:sz w:val="18"/>
              </w:rPr>
              <w:t>MD Employment Agreement</w:t>
            </w:r>
          </w:p>
        </w:tc>
        <w:tc>
          <w:tcPr>
            <w:tcW w:type="dxa" w:w="1568"/>
          </w:tcPr>
          <w:p>
            <w:r/>
            <w:r>
              <w:rPr>
                <w:rFonts w:ascii="Calibri" w:hAnsi="Calibri"/>
                <w:b w:val="0"/>
                <w:i w:val="0"/>
                <w:color w:val="000000"/>
                <w:sz w:val="18"/>
              </w:rPr>
              <w:t>LCY-EMP-AP-2026-001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Employee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9</w:t>
            </w:r>
          </w:p>
        </w:tc>
        <w:tc>
          <w:tcPr>
            <w:tcW w:type="dxa" w:w="1568"/>
          </w:tcPr>
          <w:p>
            <w:r/>
            <w:r>
              <w:rPr>
                <w:rFonts w:ascii="Calibri" w:hAnsi="Calibri"/>
                <w:b w:val="0"/>
                <w:i w:val="0"/>
                <w:color w:val="000000"/>
                <w:sz w:val="18"/>
              </w:rPr>
              <w:t>Shareholder Resolution — Employment</w:t>
            </w:r>
          </w:p>
        </w:tc>
        <w:tc>
          <w:tcPr>
            <w:tcW w:type="dxa" w:w="1568"/>
          </w:tcPr>
          <w:p>
            <w:r/>
            <w:r>
              <w:rPr>
                <w:rFonts w:ascii="Calibri" w:hAnsi="Calibri"/>
                <w:b w:val="0"/>
                <w:i w:val="0"/>
                <w:color w:val="000000"/>
                <w:sz w:val="18"/>
              </w:rPr>
              <w:t>LCY-SHR-EMP-2026-001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Founder / 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(acknowledgement)</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MD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Founder</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MD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13</w:t>
            </w:r>
          </w:p>
        </w:tc>
        <w:tc>
          <w:tcPr>
            <w:tcW w:type="dxa" w:w="1568"/>
          </w:tcPr>
          <w:p>
            <w:r/>
            <w:r>
              <w:rPr>
                <w:rFonts w:ascii="Calibri" w:hAnsi="Calibri"/>
                <w:b w:val="0"/>
                <w:i w:val="0"/>
                <w:color w:val="000000"/>
                <w:sz w:val="18"/>
              </w:rPr>
              <w:t>Director &amp; Officer Protections</w:t>
            </w:r>
          </w:p>
        </w:tc>
        <w:tc>
          <w:tcPr>
            <w:tcW w:type="dxa" w:w="1568"/>
          </w:tcPr>
          <w:p>
            <w:r/>
            <w:r>
              <w:rPr>
                <w:rFonts w:ascii="Calibri" w:hAnsi="Calibri"/>
                <w:b w:val="0"/>
                <w:i w:val="0"/>
                <w:color w:val="000000"/>
                <w:sz w:val="18"/>
              </w:rPr>
              <w:t>LCY-DIR-IND-2026-001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 Beneficiary</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13</w:t>
            </w:r>
          </w:p>
        </w:tc>
        <w:tc>
          <w:tcPr>
            <w:tcW w:type="dxa" w:w="1568"/>
          </w:tcPr>
          <w:p>
            <w:r/>
            <w:r>
              <w:rPr>
                <w:rFonts w:ascii="Calibri" w:hAnsi="Calibri"/>
                <w:b w:val="0"/>
                <w:i w:val="0"/>
                <w:color w:val="000000"/>
                <w:sz w:val="18"/>
              </w:rPr>
              <w:t>Director &amp; Officer Protections</w:t>
            </w:r>
          </w:p>
        </w:tc>
        <w:tc>
          <w:tcPr>
            <w:tcW w:type="dxa" w:w="1568"/>
          </w:tcPr>
          <w:p>
            <w:r/>
            <w:r>
              <w:rPr>
                <w:rFonts w:ascii="Calibri" w:hAnsi="Calibri"/>
                <w:b w:val="0"/>
                <w:i w:val="0"/>
                <w:color w:val="000000"/>
                <w:sz w:val="18"/>
              </w:rPr>
              <w:t>LCY-DIR-IND-2026-001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Shareholder consent,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14</w:t>
            </w:r>
          </w:p>
        </w:tc>
        <w:tc>
          <w:tcPr>
            <w:tcW w:type="dxa" w:w="1568"/>
          </w:tcPr>
          <w:p>
            <w:r/>
            <w:r>
              <w:rPr>
                <w:rFonts w:ascii="Calibri" w:hAnsi="Calibri"/>
                <w:b w:val="0"/>
                <w:i w:val="0"/>
                <w:color w:val="000000"/>
                <w:sz w:val="18"/>
              </w:rPr>
              <w:t>Shareholder Resolution — D&amp;O</w:t>
            </w:r>
          </w:p>
        </w:tc>
        <w:tc>
          <w:tcPr>
            <w:tcW w:type="dxa" w:w="1568"/>
          </w:tcPr>
          <w:p>
            <w:r/>
            <w:r>
              <w:rPr>
                <w:rFonts w:ascii="Calibri" w:hAnsi="Calibri"/>
                <w:b w:val="0"/>
                <w:i w:val="0"/>
                <w:color w:val="000000"/>
                <w:sz w:val="18"/>
              </w:rPr>
              <w:t>LCY-SHR-DO-2026-001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16</w:t>
            </w:r>
          </w:p>
        </w:tc>
        <w:tc>
          <w:tcPr>
            <w:tcW w:type="dxa" w:w="1568"/>
          </w:tcPr>
          <w:p>
            <w:r/>
            <w:r>
              <w:rPr>
                <w:rFonts w:ascii="Calibri" w:hAnsi="Calibri"/>
                <w:b w:val="0"/>
                <w:i w:val="0"/>
                <w:color w:val="000000"/>
                <w:sz w:val="18"/>
              </w:rPr>
              <w:t>Board Minutes — Phase 1</w:t>
            </w:r>
          </w:p>
        </w:tc>
        <w:tc>
          <w:tcPr>
            <w:tcW w:type="dxa" w:w="1568"/>
          </w:tcPr>
          <w:p>
            <w:r/>
            <w:r>
              <w:rPr>
                <w:rFonts w:ascii="Calibri" w:hAnsi="Calibri"/>
                <w:b w:val="0"/>
                <w:i w:val="0"/>
                <w:color w:val="000000"/>
                <w:sz w:val="18"/>
              </w:rPr>
              <w:t>LCY-BRD-2026-001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Secretary (certifies minutes)</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16</w:t>
            </w:r>
          </w:p>
        </w:tc>
        <w:tc>
          <w:tcPr>
            <w:tcW w:type="dxa" w:w="1568"/>
          </w:tcPr>
          <w:p>
            <w:r/>
            <w:r>
              <w:rPr>
                <w:rFonts w:ascii="Calibri" w:hAnsi="Calibri"/>
                <w:b w:val="0"/>
                <w:i w:val="0"/>
                <w:color w:val="000000"/>
                <w:sz w:val="18"/>
              </w:rPr>
              <w:t>Board Minutes — Phase 1</w:t>
            </w:r>
          </w:p>
        </w:tc>
        <w:tc>
          <w:tcPr>
            <w:tcW w:type="dxa" w:w="1568"/>
          </w:tcPr>
          <w:p>
            <w:r/>
            <w:r>
              <w:rPr>
                <w:rFonts w:ascii="Calibri" w:hAnsi="Calibri"/>
                <w:b w:val="0"/>
                <w:i w:val="0"/>
                <w:color w:val="000000"/>
                <w:sz w:val="18"/>
              </w:rPr>
              <w:t>LCY-BRD-2026-001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Chair / LI corporate director</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17</w:t>
            </w:r>
          </w:p>
        </w:tc>
        <w:tc>
          <w:tcPr>
            <w:tcW w:type="dxa" w:w="1568"/>
          </w:tcPr>
          <w:p>
            <w:r/>
            <w:r>
              <w:rPr>
                <w:rFonts w:ascii="Calibri" w:hAnsi="Calibri"/>
                <w:b w:val="0"/>
                <w:i w:val="0"/>
                <w:color w:val="000000"/>
                <w:sz w:val="18"/>
              </w:rPr>
              <w:t>Board Minutes — Phase 2</w:t>
            </w:r>
          </w:p>
        </w:tc>
        <w:tc>
          <w:tcPr>
            <w:tcW w:type="dxa" w:w="1568"/>
          </w:tcPr>
          <w:p>
            <w:r/>
            <w:r>
              <w:rPr>
                <w:rFonts w:ascii="Calibri" w:hAnsi="Calibri"/>
                <w:b w:val="0"/>
                <w:i w:val="0"/>
                <w:color w:val="000000"/>
                <w:sz w:val="18"/>
              </w:rPr>
              <w:t>LCY-BRD-2026-002</w:t>
            </w:r>
          </w:p>
        </w:tc>
        <w:tc>
          <w:tcPr>
            <w:tcW w:type="dxa" w:w="1568"/>
          </w:tcPr>
          <w:p>
            <w:r/>
            <w:r>
              <w:rPr>
                <w:rFonts w:ascii="Calibri" w:hAnsi="Calibri"/>
                <w:b w:val="0"/>
                <w:i w:val="0"/>
                <w:color w:val="000000"/>
                <w:sz w:val="18"/>
              </w:rPr>
              <w:t>Same as Phase 1</w:t>
            </w:r>
          </w:p>
        </w:tc>
        <w:tc>
          <w:tcPr>
            <w:tcW w:type="dxa" w:w="1568"/>
          </w:tcPr>
          <w:p>
            <w:r/>
            <w:r>
              <w:rPr>
                <w:rFonts w:ascii="Calibri" w:hAnsi="Calibri"/>
                <w:b w:val="0"/>
                <w:i w:val="0"/>
                <w:color w:val="000000"/>
                <w:sz w:val="18"/>
              </w:rPr>
              <w:t>Pre-investor side letter</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12</w:t>
            </w:r>
          </w:p>
        </w:tc>
        <w:tc>
          <w:tcPr>
            <w:tcW w:type="dxa" w:w="1568"/>
          </w:tcPr>
          <w:p>
            <w:r/>
            <w:r>
              <w:rPr>
                <w:rFonts w:ascii="Calibri" w:hAnsi="Calibri"/>
                <w:b w:val="0"/>
                <w:i w:val="0"/>
                <w:color w:val="000000"/>
                <w:sz w:val="18"/>
              </w:rPr>
              <w:t>Deed of Group Adherence</w:t>
            </w:r>
          </w:p>
        </w:tc>
        <w:tc>
          <w:tcPr>
            <w:tcW w:type="dxa" w:w="1568"/>
          </w:tcPr>
          <w:p>
            <w:r/>
            <w:r>
              <w:rPr>
                <w:rFonts w:ascii="Calibri" w:hAnsi="Calibri"/>
                <w:b w:val="0"/>
                <w:i w:val="0"/>
                <w:color w:val="000000"/>
                <w:sz w:val="18"/>
              </w:rPr>
              <w:t>LCY-MOI-ADH-2026-001</w:t>
            </w:r>
          </w:p>
        </w:tc>
        <w:tc>
          <w:tcPr>
            <w:tcW w:type="dxa" w:w="1568"/>
          </w:tcPr>
          <w:p>
            <w:r/>
            <w:r>
              <w:rPr>
                <w:rFonts w:ascii="Calibri" w:hAnsi="Calibri"/>
                <w:b w:val="0"/>
                <w:i w:val="0"/>
                <w:color w:val="000000"/>
                <w:sz w:val="18"/>
              </w:rPr>
              <w:t>Per entity</w:t>
            </w:r>
          </w:p>
        </w:tc>
        <w:tc>
          <w:tcPr>
            <w:tcW w:type="dxa" w:w="1568"/>
          </w:tcPr>
          <w:p>
            <w:r/>
            <w:r>
              <w:rPr>
                <w:rFonts w:ascii="Calibri" w:hAnsi="Calibri"/>
                <w:b w:val="0"/>
                <w:i w:val="0"/>
                <w:color w:val="000000"/>
                <w:sz w:val="18"/>
              </w:rPr>
              <w:t>Before each Group entity touches Cyprus work</w:t>
            </w:r>
          </w:p>
        </w:tc>
        <w:tc>
          <w:tcPr>
            <w:tcW w:type="dxa" w:w="1568"/>
          </w:tcPr>
          <w:p>
            <w:r/>
            <w:r>
              <w:rPr>
                <w:rFonts w:ascii="Calibri" w:hAnsi="Calibri"/>
                <w:b w:val="0"/>
                <w:i w:val="0"/>
                <w:color w:val="000000"/>
                <w:sz w:val="18"/>
              </w:rPr>
              <w:t>Counsel</w:t>
            </w:r>
          </w:p>
        </w:tc>
      </w:tr>
    </w:tbl>
    <w:p/>
    <w:p>
      <w:pPr>
        <w:spacing w:before="240"/>
      </w:pPr>
      <w:r>
        <w:rPr>
          <w:rFonts w:ascii="Calibri" w:hAnsi="Calibri"/>
          <w:b/>
          <w:i w:val="0"/>
          <w:color w:val="C9A432"/>
          <w:sz w:val="24"/>
        </w:rPr>
        <w:t>3. Execution phases &amp; order</w:t>
      </w:r>
    </w:p>
    <w:p>
      <w:r>
        <w:rPr>
          <w:rFonts w:ascii="Calibri" w:hAnsi="Calibri"/>
          <w:b/>
          <w:i w:val="0"/>
          <w:color w:val="1A365D"/>
          <w:sz w:val="22"/>
        </w:rPr>
        <w:t>Phase 1 — Founder alignment (before / with Galascope EPC recommendation)</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1a</w:t>
            </w:r>
          </w:p>
        </w:tc>
        <w:tc>
          <w:tcPr>
            <w:tcW w:type="dxa" w:w="3135"/>
          </w:tcPr>
          <w:p>
            <w:r/>
            <w:r>
              <w:rPr>
                <w:rFonts w:ascii="Calibri" w:hAnsi="Calibri"/>
                <w:b w:val="0"/>
                <w:i w:val="0"/>
                <w:color w:val="000000"/>
                <w:sz w:val="18"/>
              </w:rPr>
              <w:t>Hold LCY Board Meeting (Part 16 minutes)</w:t>
            </w:r>
          </w:p>
        </w:tc>
        <w:tc>
          <w:tcPr>
            <w:tcW w:type="dxa" w:w="3135"/>
          </w:tcPr>
          <w:p>
            <w:r/>
            <w:r>
              <w:rPr>
                <w:rFonts w:ascii="Calibri" w:hAnsi="Calibri"/>
                <w:b w:val="0"/>
                <w:i w:val="0"/>
                <w:color w:val="000000"/>
                <w:sz w:val="18"/>
              </w:rPr>
              <w:t>Sybaris + Alexander (AP recuses conflict items)</w:t>
            </w:r>
          </w:p>
        </w:tc>
      </w:tr>
      <w:tr>
        <w:tc>
          <w:tcPr>
            <w:tcW w:type="dxa" w:w="3135"/>
          </w:tcPr>
          <w:p>
            <w:r/>
            <w:r>
              <w:rPr>
                <w:rFonts w:ascii="Calibri" w:hAnsi="Calibri"/>
                <w:b w:val="0"/>
                <w:i w:val="0"/>
                <w:color w:val="000000"/>
                <w:sz w:val="18"/>
              </w:rPr>
              <w:t>1b</w:t>
            </w:r>
          </w:p>
        </w:tc>
        <w:tc>
          <w:tcPr>
            <w:tcW w:type="dxa" w:w="3135"/>
          </w:tcPr>
          <w:p>
            <w:r/>
            <w:r>
              <w:rPr>
                <w:rFonts w:ascii="Calibri" w:hAnsi="Calibri"/>
                <w:b w:val="0"/>
                <w:i w:val="0"/>
                <w:color w:val="000000"/>
                <w:sz w:val="18"/>
              </w:rPr>
              <w:t>Annex B — UBO personal undertaking</w:t>
            </w:r>
          </w:p>
        </w:tc>
        <w:tc>
          <w:tcPr>
            <w:tcW w:type="dxa" w:w="3135"/>
          </w:tcPr>
          <w:p>
            <w:r/>
            <w:r>
              <w:rPr>
                <w:rFonts w:ascii="Calibri" w:hAnsi="Calibri"/>
                <w:b w:val="0"/>
                <w:i w:val="0"/>
                <w:color w:val="000000"/>
                <w:sz w:val="18"/>
              </w:rPr>
              <w:t>Sybaris personal</w:t>
            </w:r>
          </w:p>
        </w:tc>
      </w:tr>
      <w:tr>
        <w:tc>
          <w:tcPr>
            <w:tcW w:type="dxa" w:w="3135"/>
          </w:tcPr>
          <w:p>
            <w:r/>
            <w:r>
              <w:rPr>
                <w:rFonts w:ascii="Calibri" w:hAnsi="Calibri"/>
                <w:b w:val="0"/>
                <w:i w:val="0"/>
                <w:color w:val="000000"/>
                <w:sz w:val="18"/>
              </w:rPr>
              <w:t>1c</w:t>
            </w:r>
          </w:p>
        </w:tc>
        <w:tc>
          <w:tcPr>
            <w:tcW w:type="dxa" w:w="3135"/>
          </w:tcPr>
          <w:p>
            <w:r/>
            <w:r>
              <w:rPr>
                <w:rFonts w:ascii="Calibri" w:hAnsi="Calibri"/>
                <w:b w:val="0"/>
                <w:i w:val="0"/>
                <w:color w:val="000000"/>
                <w:sz w:val="18"/>
              </w:rPr>
              <w:t>Annex A — shareholder resolution (Moi Ostrov)</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1d</w:t>
            </w:r>
          </w:p>
        </w:tc>
        <w:tc>
          <w:tcPr>
            <w:tcW w:type="dxa" w:w="3135"/>
          </w:tcPr>
          <w:p>
            <w:r/>
            <w:r>
              <w:rPr>
                <w:rFonts w:ascii="Calibri" w:hAnsi="Calibri"/>
                <w:b w:val="0"/>
                <w:i w:val="0"/>
                <w:color w:val="000000"/>
                <w:sz w:val="18"/>
              </w:rPr>
              <w:t>LCY-SHR-EMP-2026-001 — employment approval</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1e</w:t>
            </w:r>
          </w:p>
        </w:tc>
        <w:tc>
          <w:tcPr>
            <w:tcW w:type="dxa" w:w="3135"/>
          </w:tcPr>
          <w:p>
            <w:r/>
            <w:r>
              <w:rPr>
                <w:rFonts w:ascii="Calibri" w:hAnsi="Calibri"/>
                <w:b w:val="0"/>
                <w:i w:val="0"/>
                <w:color w:val="000000"/>
                <w:sz w:val="18"/>
              </w:rPr>
              <w:t>LCY-SHR-DO-2026-001 — D&amp;O + indemnity</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1f</w:t>
            </w:r>
          </w:p>
        </w:tc>
        <w:tc>
          <w:tcPr>
            <w:tcW w:type="dxa" w:w="3135"/>
          </w:tcPr>
          <w:p>
            <w:r/>
            <w:r>
              <w:rPr>
                <w:rFonts w:ascii="Calibri" w:hAnsi="Calibri"/>
                <w:b w:val="0"/>
                <w:i w:val="0"/>
                <w:color w:val="000000"/>
                <w:sz w:val="18"/>
              </w:rPr>
              <w:t>Consultancy deed (LCY + Moi Ostrov)</w:t>
            </w:r>
          </w:p>
        </w:tc>
        <w:tc>
          <w:tcPr>
            <w:tcW w:type="dxa" w:w="3135"/>
          </w:tcPr>
          <w:p>
            <w:r/>
            <w:r>
              <w:rPr>
                <w:rFonts w:ascii="Calibri" w:hAnsi="Calibri"/>
                <w:b w:val="0"/>
                <w:i w:val="0"/>
                <w:color w:val="000000"/>
                <w:sz w:val="18"/>
              </w:rPr>
              <w:t>Alexander both sides</w:t>
            </w:r>
          </w:p>
        </w:tc>
      </w:tr>
      <w:tr>
        <w:tc>
          <w:tcPr>
            <w:tcW w:type="dxa" w:w="3135"/>
          </w:tcPr>
          <w:p>
            <w:r/>
            <w:r>
              <w:rPr>
                <w:rFonts w:ascii="Calibri" w:hAnsi="Calibri"/>
                <w:b w:val="0"/>
                <w:i w:val="0"/>
                <w:color w:val="000000"/>
                <w:sz w:val="18"/>
              </w:rPr>
              <w:t>1g</w:t>
            </w:r>
          </w:p>
        </w:tc>
        <w:tc>
          <w:tcPr>
            <w:tcW w:type="dxa" w:w="3135"/>
          </w:tcPr>
          <w:p>
            <w:r/>
            <w:r>
              <w:rPr>
                <w:rFonts w:ascii="Calibri" w:hAnsi="Calibri"/>
                <w:b w:val="0"/>
                <w:i w:val="0"/>
                <w:color w:val="000000"/>
                <w:sz w:val="18"/>
              </w:rPr>
              <w:t>Employment agreement</w:t>
            </w:r>
          </w:p>
        </w:tc>
        <w:tc>
          <w:tcPr>
            <w:tcW w:type="dxa" w:w="3135"/>
          </w:tcPr>
          <w:p>
            <w:r/>
            <w:r>
              <w:rPr>
                <w:rFonts w:ascii="Calibri" w:hAnsi="Calibri"/>
                <w:b w:val="0"/>
                <w:i w:val="0"/>
                <w:color w:val="000000"/>
                <w:sz w:val="18"/>
              </w:rPr>
              <w:t>Alexander employer + employee</w:t>
            </w:r>
          </w:p>
        </w:tc>
      </w:tr>
      <w:tr>
        <w:tc>
          <w:tcPr>
            <w:tcW w:type="dxa" w:w="3135"/>
          </w:tcPr>
          <w:p>
            <w:r/>
            <w:r>
              <w:rPr>
                <w:rFonts w:ascii="Calibri" w:hAnsi="Calibri"/>
                <w:b w:val="0"/>
                <w:i w:val="0"/>
                <w:color w:val="000000"/>
                <w:sz w:val="18"/>
              </w:rPr>
              <w:t>1h</w:t>
            </w:r>
          </w:p>
        </w:tc>
        <w:tc>
          <w:tcPr>
            <w:tcW w:type="dxa" w:w="3135"/>
          </w:tcPr>
          <w:p>
            <w:r/>
            <w:r>
              <w:rPr>
                <w:rFonts w:ascii="Calibri" w:hAnsi="Calibri"/>
                <w:b w:val="0"/>
                <w:i w:val="0"/>
                <w:color w:val="000000"/>
                <w:sz w:val="18"/>
              </w:rPr>
              <w:t>D&amp;O deed (LCY-DIR-IND-2026-001)</w:t>
            </w:r>
          </w:p>
        </w:tc>
        <w:tc>
          <w:tcPr>
            <w:tcW w:type="dxa" w:w="3135"/>
          </w:tcPr>
          <w:p>
            <w:r/>
            <w:r>
              <w:rPr>
                <w:rFonts w:ascii="Calibri" w:hAnsi="Calibri"/>
                <w:b w:val="0"/>
                <w:i w:val="0"/>
                <w:color w:val="000000"/>
                <w:sz w:val="18"/>
              </w:rPr>
              <w:t>Alexander + Sybaris (SH consent)</w:t>
            </w:r>
          </w:p>
        </w:tc>
      </w:tr>
      <w:tr>
        <w:tc>
          <w:tcPr>
            <w:tcW w:type="dxa" w:w="3135"/>
          </w:tcPr>
          <w:p>
            <w:r/>
            <w:r>
              <w:rPr>
                <w:rFonts w:ascii="Calibri" w:hAnsi="Calibri"/>
                <w:b w:val="0"/>
                <w:i w:val="0"/>
                <w:color w:val="000000"/>
                <w:sz w:val="18"/>
              </w:rPr>
              <w:t>1i</w:t>
            </w:r>
          </w:p>
        </w:tc>
        <w:tc>
          <w:tcPr>
            <w:tcW w:type="dxa" w:w="3135"/>
          </w:tcPr>
          <w:p>
            <w:r/>
            <w:r>
              <w:rPr>
                <w:rFonts w:ascii="Calibri" w:hAnsi="Calibri"/>
                <w:b w:val="0"/>
                <w:i w:val="0"/>
                <w:color w:val="000000"/>
                <w:sz w:val="18"/>
              </w:rPr>
              <w:t>Option A heads (if binding now)</w:t>
            </w:r>
          </w:p>
        </w:tc>
        <w:tc>
          <w:tcPr>
            <w:tcW w:type="dxa" w:w="3135"/>
          </w:tcPr>
          <w:p>
            <w:r/>
            <w:r>
              <w:rPr>
                <w:rFonts w:ascii="Calibri" w:hAnsi="Calibri"/>
                <w:b w:val="0"/>
                <w:i w:val="0"/>
                <w:color w:val="000000"/>
                <w:sz w:val="18"/>
              </w:rPr>
              <w:t>Sybaris Founder + Alexander Company/MD</w:t>
            </w:r>
          </w:p>
        </w:tc>
      </w:tr>
      <w:tr>
        <w:tc>
          <w:tcPr>
            <w:tcW w:type="dxa" w:w="3135"/>
          </w:tcPr>
          <w:p>
            <w:r/>
            <w:r>
              <w:rPr>
                <w:rFonts w:ascii="Calibri" w:hAnsi="Calibri"/>
                <w:b w:val="0"/>
                <w:i w:val="0"/>
                <w:color w:val="000000"/>
                <w:sz w:val="18"/>
              </w:rPr>
              <w:t>1j</w:t>
            </w:r>
          </w:p>
        </w:tc>
        <w:tc>
          <w:tcPr>
            <w:tcW w:type="dxa" w:w="3135"/>
          </w:tcPr>
          <w:p>
            <w:r/>
            <w:r>
              <w:rPr>
                <w:rFonts w:ascii="Calibri" w:hAnsi="Calibri"/>
                <w:b w:val="0"/>
                <w:i w:val="0"/>
                <w:color w:val="000000"/>
                <w:sz w:val="18"/>
              </w:rPr>
              <w:t>Secretary files resolutions + minutes in statutory books</w:t>
            </w:r>
          </w:p>
        </w:tc>
        <w:tc>
          <w:tcPr>
            <w:tcW w:type="dxa" w:w="3135"/>
          </w:tcPr>
          <w:p>
            <w:r/>
            <w:r>
              <w:rPr>
                <w:rFonts w:ascii="Calibri" w:hAnsi="Calibri"/>
                <w:b w:val="0"/>
                <w:i w:val="0"/>
                <w:color w:val="000000"/>
                <w:sz w:val="18"/>
              </w:rPr>
              <w:t>Alexander as secretary</w:t>
            </w:r>
          </w:p>
        </w:tc>
      </w:tr>
    </w:tbl>
    <w:p/>
    <w:p>
      <w:r>
        <w:rPr>
          <w:rFonts w:ascii="Calibri" w:hAnsi="Calibri"/>
          <w:b/>
          <w:i w:val="0"/>
          <w:color w:val="1A365D"/>
          <w:sz w:val="22"/>
        </w:rPr>
        <w:t>Phase 2 — Before first investor tranche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2a</w:t>
            </w:r>
          </w:p>
        </w:tc>
        <w:tc>
          <w:tcPr>
            <w:tcW w:type="dxa" w:w="3135"/>
          </w:tcPr>
          <w:p>
            <w:r/>
            <w:r>
              <w:rPr>
                <w:rFonts w:ascii="Calibri" w:hAnsi="Calibri"/>
                <w:b w:val="0"/>
                <w:i w:val="0"/>
                <w:color w:val="000000"/>
                <w:sz w:val="18"/>
              </w:rPr>
              <w:t>Hold LCY Board Meeting (Part 17 minutes)</w:t>
            </w:r>
          </w:p>
        </w:tc>
        <w:tc>
          <w:tcPr>
            <w:tcW w:type="dxa" w:w="3135"/>
          </w:tcPr>
          <w:p>
            <w:r/>
            <w:r>
              <w:rPr>
                <w:rFonts w:ascii="Calibri" w:hAnsi="Calibri"/>
                <w:b w:val="0"/>
                <w:i w:val="0"/>
                <w:color w:val="000000"/>
                <w:sz w:val="18"/>
              </w:rPr>
              <w:t>Sybaris chairs; AP recused on equity terms</w:t>
            </w:r>
          </w:p>
        </w:tc>
      </w:tr>
      <w:tr>
        <w:tc>
          <w:tcPr>
            <w:tcW w:type="dxa" w:w="3135"/>
          </w:tcPr>
          <w:p>
            <w:r/>
            <w:r>
              <w:rPr>
                <w:rFonts w:ascii="Calibri" w:hAnsi="Calibri"/>
                <w:b w:val="0"/>
                <w:i w:val="0"/>
                <w:color w:val="000000"/>
                <w:sz w:val="18"/>
              </w:rPr>
              <w:t>2b</w:t>
            </w:r>
          </w:p>
        </w:tc>
        <w:tc>
          <w:tcPr>
            <w:tcW w:type="dxa" w:w="3135"/>
          </w:tcPr>
          <w:p>
            <w:r/>
            <w:r>
              <w:rPr>
                <w:rFonts w:ascii="Calibri" w:hAnsi="Calibri"/>
                <w:b w:val="0"/>
                <w:i w:val="0"/>
                <w:color w:val="000000"/>
                <w:sz w:val="18"/>
              </w:rPr>
              <w:t>Shareholder resolution approving side letter *(if counsel requires separate SHR)*</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2c</w:t>
            </w:r>
          </w:p>
        </w:tc>
        <w:tc>
          <w:tcPr>
            <w:tcW w:type="dxa" w:w="3135"/>
          </w:tcPr>
          <w:p>
            <w:r/>
            <w:r>
              <w:rPr>
                <w:rFonts w:ascii="Calibri" w:hAnsi="Calibri"/>
                <w:b w:val="0"/>
                <w:i w:val="0"/>
                <w:color w:val="000000"/>
                <w:sz w:val="18"/>
              </w:rPr>
              <w:t>Equity side letter executed</w:t>
            </w:r>
          </w:p>
        </w:tc>
        <w:tc>
          <w:tcPr>
            <w:tcW w:type="dxa" w:w="3135"/>
          </w:tcPr>
          <w:p>
            <w:r/>
            <w:r>
              <w:rPr>
                <w:rFonts w:ascii="Calibri" w:hAnsi="Calibri"/>
                <w:b w:val="0"/>
                <w:i w:val="0"/>
                <w:color w:val="000000"/>
                <w:sz w:val="18"/>
              </w:rPr>
              <w:t>Sybaris Founder + Alexander Company/MD</w:t>
            </w:r>
          </w:p>
        </w:tc>
      </w:tr>
    </w:tbl>
    <w:p/>
    <w:p>
      <w:r>
        <w:rPr>
          <w:rFonts w:ascii="Calibri" w:hAnsi="Calibri"/>
          <w:b/>
          <w:i w:val="0"/>
          <w:color w:val="1A365D"/>
          <w:sz w:val="22"/>
        </w:rPr>
        <w:t>Phase 3 — Galascope EPC</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3a</w:t>
            </w:r>
          </w:p>
        </w:tc>
        <w:tc>
          <w:tcPr>
            <w:tcW w:type="dxa" w:w="3135"/>
          </w:tcPr>
          <w:p>
            <w:r/>
            <w:r>
              <w:rPr>
                <w:rFonts w:ascii="Calibri" w:hAnsi="Calibri"/>
                <w:b w:val="0"/>
                <w:i w:val="0"/>
                <w:color w:val="000000"/>
                <w:sz w:val="18"/>
              </w:rPr>
              <w:t>Board minute approving EPC execution</w:t>
            </w:r>
          </w:p>
        </w:tc>
        <w:tc>
          <w:tcPr>
            <w:tcW w:type="dxa" w:w="3135"/>
          </w:tcPr>
          <w:p>
            <w:r/>
            <w:r>
              <w:rPr>
                <w:rFonts w:ascii="Calibri" w:hAnsi="Calibri"/>
                <w:b w:val="0"/>
                <w:i w:val="0"/>
                <w:color w:val="000000"/>
                <w:sz w:val="18"/>
              </w:rPr>
              <w:t>Alexander + Sybaris (LI director)</w:t>
            </w:r>
          </w:p>
        </w:tc>
      </w:tr>
      <w:tr>
        <w:tc>
          <w:tcPr>
            <w:tcW w:type="dxa" w:w="3135"/>
          </w:tcPr>
          <w:p>
            <w:r/>
            <w:r>
              <w:rPr>
                <w:rFonts w:ascii="Calibri" w:hAnsi="Calibri"/>
                <w:b w:val="0"/>
                <w:i w:val="0"/>
                <w:color w:val="000000"/>
                <w:sz w:val="18"/>
              </w:rPr>
              <w:t>3b</w:t>
            </w:r>
          </w:p>
        </w:tc>
        <w:tc>
          <w:tcPr>
            <w:tcW w:type="dxa" w:w="3135"/>
          </w:tcPr>
          <w:p>
            <w:r/>
            <w:r>
              <w:rPr>
                <w:rFonts w:ascii="Calibri" w:hAnsi="Calibri"/>
                <w:b w:val="0"/>
                <w:i w:val="0"/>
                <w:color w:val="000000"/>
                <w:sz w:val="18"/>
              </w:rPr>
              <w:t>Galascope EPC contract</w:t>
            </w:r>
          </w:p>
        </w:tc>
        <w:tc>
          <w:tcPr>
            <w:tcW w:type="dxa" w:w="3135"/>
          </w:tcPr>
          <w:p>
            <w:r/>
            <w:r>
              <w:rPr>
                <w:rFonts w:ascii="Calibri" w:hAnsi="Calibri"/>
                <w:b w:val="0"/>
                <w:i w:val="0"/>
                <w:color w:val="000000"/>
                <w:sz w:val="18"/>
              </w:rPr>
              <w:t>Per EPC execution block</w:t>
            </w:r>
          </w:p>
        </w:tc>
      </w:tr>
    </w:tbl>
    <w:p/>
    <w:p>
      <w:pPr>
        <w:spacing w:before="240"/>
      </w:pPr>
      <w:r>
        <w:rPr>
          <w:rFonts w:ascii="Calibri" w:hAnsi="Calibri"/>
          <w:b/>
          <w:i w:val="0"/>
          <w:color w:val="C9A432"/>
          <w:sz w:val="24"/>
        </w:rPr>
        <w:t>4. Recusal map (Section 191, Cap. 113)</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Agenda item</w:t>
            </w:r>
          </w:p>
        </w:tc>
        <w:tc>
          <w:tcPr>
            <w:tcW w:type="dxa" w:w="3135"/>
            <w:shd w:fill="1A365D" w:val="clear"/>
          </w:tcPr>
          <w:p>
            <w:r/>
            <w:r>
              <w:rPr>
                <w:rFonts w:ascii="Calibri" w:hAnsi="Calibri"/>
                <w:b/>
                <w:i w:val="0"/>
                <w:color w:val="FFFFFF"/>
                <w:sz w:val="18"/>
              </w:rPr>
              <w:t>Alexander Papacosta</w:t>
            </w:r>
          </w:p>
        </w:tc>
        <w:tc>
          <w:tcPr>
            <w:tcW w:type="dxa" w:w="3135"/>
            <w:shd w:fill="1A365D" w:val="clear"/>
          </w:tcPr>
          <w:p>
            <w:r/>
            <w:r>
              <w:rPr>
                <w:rFonts w:ascii="Calibri" w:hAnsi="Calibri"/>
                <w:b/>
                <w:i w:val="0"/>
                <w:color w:val="FFFFFF"/>
                <w:sz w:val="18"/>
              </w:rPr>
              <w:t>Dr. Sybaris (for LI)</w:t>
            </w:r>
          </w:p>
        </w:tc>
      </w:tr>
      <w:tr>
        <w:tc>
          <w:tcPr>
            <w:tcW w:type="dxa" w:w="3135"/>
          </w:tcPr>
          <w:p>
            <w:r/>
            <w:r>
              <w:rPr>
                <w:rFonts w:ascii="Calibri" w:hAnsi="Calibri"/>
                <w:b w:val="0"/>
                <w:i w:val="0"/>
                <w:color w:val="000000"/>
                <w:sz w:val="18"/>
              </w:rPr>
              <w:t>Moi Ostrov consultancy approval</w:t>
            </w:r>
          </w:p>
        </w:tc>
        <w:tc>
          <w:tcPr>
            <w:tcW w:type="dxa" w:w="3135"/>
          </w:tcPr>
          <w:p>
            <w:r/>
            <w:r>
              <w:rPr>
                <w:rFonts w:ascii="Calibri" w:hAnsi="Calibri"/>
                <w:b w:val="0"/>
                <w:i w:val="0"/>
                <w:color w:val="000000"/>
                <w:sz w:val="18"/>
              </w:rPr>
              <w:t>Recused — disclose interest; provide info only</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MD employment approval</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D&amp;O deed (beneficiary = AP)</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Authorise AP to sign LCY documents</w:t>
            </w:r>
          </w:p>
        </w:tc>
        <w:tc>
          <w:tcPr>
            <w:tcW w:type="dxa" w:w="3135"/>
          </w:tcPr>
          <w:p>
            <w:r/>
            <w:r>
              <w:rPr>
                <w:rFonts w:ascii="Calibri" w:hAnsi="Calibri"/>
                <w:b w:val="0"/>
                <w:i w:val="0"/>
                <w:color w:val="000000"/>
                <w:sz w:val="18"/>
              </w:rPr>
              <w:t>May participate (no personal benefit in authorisation itself)</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Equity side letter</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Galascope EPC (commercial)</w:t>
            </w:r>
          </w:p>
        </w:tc>
        <w:tc>
          <w:tcPr>
            <w:tcW w:type="dxa" w:w="3135"/>
          </w:tcPr>
          <w:p>
            <w:r/>
            <w:r>
              <w:rPr>
                <w:rFonts w:ascii="Calibri" w:hAnsi="Calibri"/>
                <w:b w:val="0"/>
                <w:i w:val="0"/>
                <w:color w:val="000000"/>
                <w:sz w:val="18"/>
              </w:rPr>
              <w:t>May participate if no personal conflict</w:t>
            </w:r>
          </w:p>
        </w:tc>
        <w:tc>
          <w:tcPr>
            <w:tcW w:type="dxa" w:w="3135"/>
          </w:tcPr>
          <w:p>
            <w:r/>
            <w:r>
              <w:rPr>
                <w:rFonts w:ascii="Calibri" w:hAnsi="Calibri"/>
                <w:b w:val="0"/>
                <w:i w:val="0"/>
                <w:color w:val="000000"/>
                <w:sz w:val="18"/>
              </w:rPr>
              <w:t>Votes / approves</w:t>
            </w:r>
          </w:p>
        </w:tc>
      </w:tr>
    </w:tbl>
    <w:p/>
    <w:p>
      <w:pPr>
        <w:jc w:val="both"/>
      </w:pPr>
      <w:r>
        <w:rPr>
          <w:rFonts w:ascii="Calibri" w:hAnsi="Calibri"/>
          <w:b w:val="0"/>
          <w:i w:val="0"/>
          <w:color w:val="000000"/>
          <w:sz w:val="20"/>
        </w:rPr>
        <w:t>Minutes must record disclosure, withdrawal, and that the interested director did not vote.</w:t>
      </w:r>
    </w:p>
    <w:p>
      <w:pPr>
        <w:spacing w:before="240"/>
      </w:pPr>
      <w:r>
        <w:rPr>
          <w:rFonts w:ascii="Calibri" w:hAnsi="Calibri"/>
          <w:b/>
          <w:i w:val="0"/>
          <w:color w:val="C9A432"/>
          <w:sz w:val="24"/>
        </w:rPr>
        <w:t>5. What Sybaris signs in two different hats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Hat</w:t>
            </w:r>
          </w:p>
        </w:tc>
        <w:tc>
          <w:tcPr>
            <w:tcW w:type="dxa" w:w="3135"/>
            <w:shd w:fill="1A365D" w:val="clear"/>
          </w:tcPr>
          <w:p>
            <w:r/>
            <w:r>
              <w:rPr>
                <w:rFonts w:ascii="Calibri" w:hAnsi="Calibri"/>
                <w:b/>
                <w:i w:val="0"/>
                <w:color w:val="FFFFFF"/>
                <w:sz w:val="18"/>
              </w:rPr>
              <w:t>Documents</w:t>
            </w:r>
          </w:p>
        </w:tc>
        <w:tc>
          <w:tcPr>
            <w:tcW w:type="dxa" w:w="3135"/>
            <w:shd w:fill="1A365D" w:val="clear"/>
          </w:tcPr>
          <w:p>
            <w:r/>
            <w:r>
              <w:rPr>
                <w:rFonts w:ascii="Calibri" w:hAnsi="Calibri"/>
                <w:b/>
                <w:i w:val="0"/>
                <w:color w:val="FFFFFF"/>
                <w:sz w:val="18"/>
              </w:rPr>
              <w:t>Signature line</w:t>
            </w:r>
          </w:p>
        </w:tc>
      </w:tr>
      <w:tr>
        <w:tc>
          <w:tcPr>
            <w:tcW w:type="dxa" w:w="3135"/>
          </w:tcPr>
          <w:p>
            <w:r/>
            <w:r>
              <w:rPr>
                <w:rFonts w:ascii="Calibri" w:hAnsi="Calibri"/>
                <w:b w:val="0"/>
                <w:i w:val="0"/>
                <w:color w:val="000000"/>
                <w:sz w:val="18"/>
              </w:rPr>
              <w:t>A — Shareholder (LI)</w:t>
            </w:r>
          </w:p>
        </w:tc>
        <w:tc>
          <w:tcPr>
            <w:tcW w:type="dxa" w:w="3135"/>
          </w:tcPr>
          <w:p>
            <w:r/>
            <w:r>
              <w:rPr>
                <w:rFonts w:ascii="Calibri" w:hAnsi="Calibri"/>
                <w:b w:val="0"/>
                <w:i w:val="0"/>
                <w:color w:val="000000"/>
                <w:sz w:val="18"/>
              </w:rPr>
              <w:t>Annex A, LCY-SHR-EMP-2026-001, LCY-SHR-DO-2026-001, optional side-letter SHR</w:t>
            </w:r>
          </w:p>
        </w:tc>
        <w:tc>
          <w:tcPr>
            <w:tcW w:type="dxa" w:w="3135"/>
          </w:tcPr>
          <w:p>
            <w:r/>
            <w:r>
              <w:rPr>
                <w:rFonts w:ascii="Calibri" w:hAnsi="Calibri"/>
                <w:b w:val="0"/>
                <w:i w:val="0"/>
                <w:color w:val="000000"/>
                <w:sz w:val="18"/>
              </w:rPr>
              <w:t>"For and on behalf of Lighthief International Ltd"</w:t>
            </w:r>
          </w:p>
        </w:tc>
      </w:tr>
      <w:tr>
        <w:tc>
          <w:tcPr>
            <w:tcW w:type="dxa" w:w="3135"/>
          </w:tcPr>
          <w:p>
            <w:r/>
            <w:r>
              <w:rPr>
                <w:rFonts w:ascii="Calibri" w:hAnsi="Calibri"/>
                <w:b w:val="0"/>
                <w:i w:val="0"/>
                <w:color w:val="000000"/>
                <w:sz w:val="18"/>
              </w:rPr>
              <w:t>B — UBO personal</w:t>
            </w:r>
          </w:p>
        </w:tc>
        <w:tc>
          <w:tcPr>
            <w:tcW w:type="dxa" w:w="3135"/>
          </w:tcPr>
          <w:p>
            <w:r/>
            <w:r>
              <w:rPr>
                <w:rFonts w:ascii="Calibri" w:hAnsi="Calibri"/>
                <w:b w:val="0"/>
                <w:i w:val="0"/>
                <w:color w:val="000000"/>
                <w:sz w:val="18"/>
              </w:rPr>
              <w:t>Annex B only</w:t>
            </w:r>
          </w:p>
        </w:tc>
        <w:tc>
          <w:tcPr>
            <w:tcW w:type="dxa" w:w="3135"/>
          </w:tcPr>
          <w:p>
            <w:r/>
            <w:r>
              <w:rPr>
                <w:rFonts w:ascii="Calibri" w:hAnsi="Calibri"/>
                <w:b w:val="0"/>
                <w:i w:val="0"/>
                <w:color w:val="000000"/>
                <w:sz w:val="18"/>
              </w:rPr>
              <w:t>"I, Dr. Arkadiusz Sybaris" — personal undertaking</w:t>
            </w:r>
          </w:p>
        </w:tc>
      </w:tr>
      <w:tr>
        <w:tc>
          <w:tcPr>
            <w:tcW w:type="dxa" w:w="3135"/>
          </w:tcPr>
          <w:p>
            <w:r/>
            <w:r>
              <w:rPr>
                <w:rFonts w:ascii="Calibri" w:hAnsi="Calibri"/>
                <w:b w:val="0"/>
                <w:i w:val="0"/>
                <w:color w:val="000000"/>
                <w:sz w:val="18"/>
              </w:rPr>
              <w:t>C — Founder (equity)</w:t>
            </w:r>
          </w:p>
        </w:tc>
        <w:tc>
          <w:tcPr>
            <w:tcW w:type="dxa" w:w="3135"/>
          </w:tcPr>
          <w:p>
            <w:r/>
            <w:r>
              <w:rPr>
                <w:rFonts w:ascii="Calibri" w:hAnsi="Calibri"/>
                <w:b w:val="0"/>
                <w:i w:val="0"/>
                <w:color w:val="000000"/>
                <w:sz w:val="18"/>
              </w:rPr>
              <w:t>Side letter, Option A</w:t>
            </w:r>
          </w:p>
        </w:tc>
        <w:tc>
          <w:tcPr>
            <w:tcW w:type="dxa" w:w="3135"/>
          </w:tcPr>
          <w:p>
            <w:r/>
            <w:r>
              <w:rPr>
                <w:rFonts w:ascii="Calibri" w:hAnsi="Calibri"/>
                <w:b w:val="0"/>
                <w:i w:val="0"/>
                <w:color w:val="000000"/>
                <w:sz w:val="18"/>
              </w:rPr>
              <w:t>"Dr. Arkadiusz Sybaris" / Founder (may also reference LI)</w:t>
            </w:r>
          </w:p>
        </w:tc>
      </w:tr>
      <w:tr>
        <w:tc>
          <w:tcPr>
            <w:tcW w:type="dxa" w:w="3135"/>
          </w:tcPr>
          <w:p>
            <w:r/>
            <w:r>
              <w:rPr>
                <w:rFonts w:ascii="Calibri" w:hAnsi="Calibri"/>
                <w:b w:val="0"/>
                <w:i w:val="0"/>
                <w:color w:val="000000"/>
                <w:sz w:val="18"/>
              </w:rPr>
              <w:t>D — Board (LI corporate director)</w:t>
            </w:r>
          </w:p>
        </w:tc>
        <w:tc>
          <w:tcPr>
            <w:tcW w:type="dxa" w:w="3135"/>
          </w:tcPr>
          <w:p>
            <w:r/>
            <w:r>
              <w:rPr>
                <w:rFonts w:ascii="Calibri" w:hAnsi="Calibri"/>
                <w:b w:val="0"/>
                <w:i w:val="0"/>
                <w:color w:val="000000"/>
                <w:sz w:val="18"/>
              </w:rPr>
              <w:t>Board minutes — chair / LI director present</w:t>
            </w:r>
          </w:p>
        </w:tc>
        <w:tc>
          <w:tcPr>
            <w:tcW w:type="dxa" w:w="3135"/>
          </w:tcPr>
          <w:p>
            <w:r/>
            <w:r>
              <w:rPr>
                <w:rFonts w:ascii="Calibri" w:hAnsi="Calibri"/>
                <w:b w:val="0"/>
                <w:i w:val="0"/>
                <w:color w:val="000000"/>
                <w:sz w:val="18"/>
              </w:rPr>
              <w:t>Minutes attendance block</w:t>
            </w:r>
          </w:p>
        </w:tc>
      </w:tr>
    </w:tbl>
    <w:p/>
    <w:p>
      <w:pPr>
        <w:jc w:val="both"/>
      </w:pPr>
      <w:r>
        <w:rPr>
          <w:rFonts w:ascii="Calibri" w:hAnsi="Calibri"/>
          <w:b w:val="0"/>
          <w:i w:val="0"/>
          <w:color w:val="000000"/>
          <w:sz w:val="20"/>
        </w:rPr>
        <w:t>Annex B must not be signed "for Lighthief International" — it is personal.</w:t>
      </w:r>
    </w:p>
    <w:p>
      <w:pPr>
        <w:spacing w:before="240"/>
      </w:pPr>
      <w:r>
        <w:rPr>
          <w:rFonts w:ascii="Calibri" w:hAnsi="Calibri"/>
          <w:b/>
          <w:i w:val="0"/>
          <w:color w:val="C9A432"/>
          <w:sz w:val="24"/>
        </w:rPr>
        <w:t>6. Pre-sign checklist (summary)</w:t>
      </w:r>
    </w:p>
    <w:p>
      <w:pPr>
        <w:pStyle w:val="ListBullet"/>
      </w:pPr>
      <w:r>
        <w:rPr>
          <w:rFonts w:ascii="Calibri" w:hAnsi="Calibri"/>
          <w:b w:val="0"/>
          <w:i w:val="0"/>
          <w:color w:val="000000"/>
          <w:sz w:val="20"/>
        </w:rPr>
        <w:t>[ ] Payroll reconciliation Jul 2025–present (employment)</w:t>
      </w:r>
    </w:p>
    <w:p>
      <w:pPr>
        <w:pStyle w:val="ListBullet"/>
      </w:pPr>
      <w:r>
        <w:rPr>
          <w:rFonts w:ascii="Calibri" w:hAnsi="Calibri"/>
          <w:b w:val="0"/>
          <w:i w:val="0"/>
          <w:color w:val="000000"/>
          <w:sz w:val="20"/>
        </w:rPr>
        <w:t>[ ] Sybaris obtained independent legal advice (§7.1(f))</w:t>
      </w:r>
    </w:p>
    <w:p>
      <w:pPr>
        <w:pStyle w:val="ListBullet"/>
      </w:pPr>
      <w:r>
        <w:rPr>
          <w:rFonts w:ascii="Calibri" w:hAnsi="Calibri"/>
          <w:b w:val="0"/>
          <w:i w:val="0"/>
          <w:color w:val="000000"/>
          <w:sz w:val="20"/>
        </w:rPr>
        <w:t>[ ] D&amp;O quote obtained; secretary named</w:t>
      </w:r>
    </w:p>
    <w:p>
      <w:pPr>
        <w:pStyle w:val="ListBullet"/>
      </w:pPr>
      <w:r>
        <w:rPr>
          <w:rFonts w:ascii="Calibri" w:hAnsi="Calibri"/>
          <w:b w:val="0"/>
          <w:i w:val="0"/>
          <w:color w:val="000000"/>
          <w:sz w:val="20"/>
        </w:rPr>
        <w:t>[ ] Articles permit indemnity</w:t>
      </w:r>
    </w:p>
    <w:p>
      <w:pPr>
        <w:pStyle w:val="ListBullet"/>
      </w:pPr>
      <w:r>
        <w:rPr>
          <w:rFonts w:ascii="Calibri" w:hAnsi="Calibri"/>
          <w:b w:val="0"/>
          <w:i w:val="0"/>
          <w:color w:val="000000"/>
          <w:sz w:val="20"/>
        </w:rPr>
        <w:t>[ ] Registrar: LI corporate director + Sybaris as authorised rep</w:t>
      </w:r>
    </w:p>
    <w:p>
      <w:pPr>
        <w:pStyle w:val="ListBullet"/>
      </w:pPr>
      <w:r>
        <w:rPr>
          <w:rFonts w:ascii="Calibri" w:hAnsi="Calibri"/>
          <w:b w:val="0"/>
          <w:i w:val="0"/>
          <w:color w:val="000000"/>
          <w:sz w:val="20"/>
        </w:rPr>
        <w:t>[ ] Witnesses arranged for deeds (Consultancy Agreement, Annex B)</w:t>
      </w:r>
    </w:p>
    <w:p>
      <w:pPr>
        <w:pStyle w:val="ListBullet"/>
      </w:pPr>
      <w:r>
        <w:rPr>
          <w:rFonts w:ascii="Calibri" w:hAnsi="Calibri"/>
          <w:b w:val="0"/>
          <w:i w:val="0"/>
          <w:color w:val="000000"/>
          <w:sz w:val="20"/>
        </w:rPr>
        <w:t>[ ] No named investor in side letter / Option A if investor may read</w:t>
      </w:r>
    </w:p>
    <w:p>
      <w:pPr>
        <w:jc w:val="both"/>
      </w:pPr>
      <w:r>
        <w:rPr>
          <w:rFonts w:ascii="Calibri" w:hAnsi="Calibri"/>
          <w:b w:val="0"/>
          <w:i w:val="0"/>
          <w:color w:val="000000"/>
          <w:sz w:val="20"/>
        </w:rPr>
        <w:t>End of signing matrix — not legal advice.</w:t>
      </w:r>
    </w:p>
    <w:p>
      <w:pPr>
        <w:sectPr>
          <w:footerReference w:type="default" r:id="rId29"/>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MINUTES — MEETING OF THE BOARD OF DIRECTORS OF LIGHTHIEF CYPRUS LTD</w:t>
      </w:r>
    </w:p>
    <w:p/>
    <w:p>
      <w:pPr>
        <w:jc w:val="both"/>
      </w:pPr>
      <w:r>
        <w:rPr>
          <w:rFonts w:ascii="Calibri" w:hAnsi="Calibri"/>
          <w:b w:val="0"/>
          <w:i w:val="0"/>
          <w:color w:val="000000"/>
          <w:sz w:val="20"/>
        </w:rPr>
        <w:t>Ref: LCY-BRD-2026-001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Date: ______________________ 2026</w:t>
      </w:r>
    </w:p>
    <w:p>
      <w:pPr>
        <w:jc w:val="both"/>
      </w:pPr>
      <w:r>
        <w:rPr>
          <w:rFonts w:ascii="Calibri" w:hAnsi="Calibri"/>
          <w:b w:val="0"/>
          <w:i w:val="0"/>
          <w:color w:val="000000"/>
          <w:sz w:val="20"/>
        </w:rPr>
        <w:t>Time: ______________________</w:t>
      </w:r>
    </w:p>
    <w:p>
      <w:pPr>
        <w:jc w:val="both"/>
      </w:pPr>
      <w:r>
        <w:rPr>
          <w:rFonts w:ascii="Calibri" w:hAnsi="Calibri"/>
          <w:b w:val="0"/>
          <w:i w:val="0"/>
          <w:color w:val="000000"/>
          <w:sz w:val="20"/>
        </w:rPr>
        <w:t>Place: ______________________ / by video conference</w:t>
      </w:r>
    </w:p>
    <w:p>
      <w:pPr>
        <w:jc w:val="both"/>
      </w:pPr>
      <w:r>
        <w:rPr>
          <w:rFonts w:ascii="Calibri" w:hAnsi="Calibri"/>
          <w:b w:val="0"/>
          <w:i w:val="0"/>
          <w:color w:val="000000"/>
          <w:sz w:val="20"/>
        </w:rPr>
        <w:t>Status: DRAFT — Cyprus counsel review before adoption</w:t>
      </w:r>
    </w:p>
    <w:p>
      <w:pPr>
        <w:spacing w:before="240"/>
      </w:pPr>
      <w:r>
        <w:rPr>
          <w:rFonts w:ascii="Calibri" w:hAnsi="Calibri"/>
          <w:b/>
          <w:i w:val="0"/>
          <w:color w:val="C9A432"/>
          <w:sz w:val="24"/>
        </w:rPr>
        <w:t>1. Present</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Name</w:t>
            </w:r>
          </w:p>
        </w:tc>
        <w:tc>
          <w:tcPr>
            <w:tcW w:type="dxa" w:w="4703"/>
            <w:shd w:fill="1A365D" w:val="clear"/>
          </w:tcPr>
          <w:p>
            <w:r/>
            <w:r>
              <w:rPr>
                <w:rFonts w:ascii="Calibri" w:hAnsi="Calibri"/>
                <w:b/>
                <w:i w:val="0"/>
                <w:color w:val="FFFFFF"/>
                <w:sz w:val="18"/>
              </w:rPr>
              <w:t>Capacity</w:t>
            </w:r>
          </w:p>
        </w:tc>
      </w:tr>
      <w:tr>
        <w:tc>
          <w:tcPr>
            <w:tcW w:type="dxa" w:w="4703"/>
          </w:tcPr>
          <w:p>
            <w:r/>
            <w:r>
              <w:rPr>
                <w:rFonts w:ascii="Calibri" w:hAnsi="Calibri"/>
                <w:b w:val="0"/>
                <w:i w:val="0"/>
                <w:color w:val="000000"/>
                <w:sz w:val="18"/>
              </w:rPr>
              <w:t>Alexander Papacosta</w:t>
            </w:r>
          </w:p>
        </w:tc>
        <w:tc>
          <w:tcPr>
            <w:tcW w:type="dxa" w:w="4703"/>
          </w:tcPr>
          <w:p>
            <w:r/>
            <w:r>
              <w:rPr>
                <w:rFonts w:ascii="Calibri" w:hAnsi="Calibri"/>
                <w:b w:val="0"/>
                <w:i w:val="0"/>
                <w:color w:val="000000"/>
                <w:sz w:val="18"/>
              </w:rPr>
              <w:t>Director (natural person); Company Secretary</w:t>
            </w:r>
          </w:p>
        </w:tc>
      </w:tr>
      <w:tr>
        <w:tc>
          <w:tcPr>
            <w:tcW w:type="dxa" w:w="4703"/>
          </w:tcPr>
          <w:p>
            <w:r/>
            <w:r>
              <w:rPr>
                <w:rFonts w:ascii="Calibri" w:hAnsi="Calibri"/>
                <w:b w:val="0"/>
                <w:i w:val="0"/>
                <w:color w:val="000000"/>
                <w:sz w:val="18"/>
              </w:rPr>
              <w:t>Dr. Arkadiusz Sybaris</w:t>
            </w:r>
          </w:p>
        </w:tc>
        <w:tc>
          <w:tcPr>
            <w:tcW w:type="dxa" w:w="4703"/>
          </w:tcPr>
          <w:p>
            <w:r/>
            <w:r>
              <w:rPr>
                <w:rFonts w:ascii="Calibri" w:hAnsi="Calibri"/>
                <w:b w:val="0"/>
                <w:i w:val="0"/>
                <w:color w:val="000000"/>
                <w:sz w:val="18"/>
              </w:rPr>
              <w:t>Representing Lighthief International Ltd (corporate director); Ultimate Beneficial Owner of Lighthief International Ltd</w:t>
            </w:r>
          </w:p>
        </w:tc>
      </w:tr>
    </w:tbl>
    <w:p/>
    <w:p>
      <w:pPr>
        <w:jc w:val="both"/>
      </w:pPr>
      <w:r>
        <w:rPr>
          <w:rFonts w:ascii="Calibri" w:hAnsi="Calibri"/>
          <w:b w:val="0"/>
          <w:i w:val="0"/>
          <w:color w:val="000000"/>
          <w:sz w:val="20"/>
        </w:rPr>
        <w:t>Sole shareholder (not present as separate attendee): Lighthief International Ltd (100% of issued share capital). UBO: Dr. Arkadiusz Sybaris.</w:t>
      </w:r>
    </w:p>
    <w:p>
      <w:pPr>
        <w:jc w:val="both"/>
      </w:pPr>
      <w:r>
        <w:rPr>
          <w:rFonts w:ascii="Calibri" w:hAnsi="Calibri"/>
          <w:b w:val="0"/>
          <w:i w:val="0"/>
          <w:color w:val="000000"/>
          <w:sz w:val="20"/>
        </w:rPr>
        <w:t>In attendance (optional): ______________________ (Counsel / advisers — not directors)</w:t>
      </w:r>
    </w:p>
    <w:p>
      <w:pPr>
        <w:spacing w:before="240"/>
      </w:pPr>
      <w:r>
        <w:rPr>
          <w:rFonts w:ascii="Calibri" w:hAnsi="Calibri"/>
          <w:b/>
          <w:i w:val="0"/>
          <w:color w:val="C9A432"/>
          <w:sz w:val="24"/>
        </w:rPr>
        <w:t>2. Quorum and chair</w:t>
      </w:r>
    </w:p>
    <w:p>
      <w:pPr>
        <w:jc w:val="both"/>
      </w:pPr>
      <w:r>
        <w:rPr>
          <w:rFonts w:ascii="Calibri" w:hAnsi="Calibri"/>
          <w:b w:val="0"/>
          <w:i w:val="0"/>
          <w:color w:val="000000"/>
          <w:sz w:val="20"/>
        </w:rPr>
        <w:t>2.1 The Chair noted that two directors were present: Alexander Papacosta and Lighthief International Ltd (represented by Dr. Arkadiusz Sybaris). A quorum was present in accordance with the Articles.</w:t>
      </w:r>
    </w:p>
    <w:p>
      <w:pPr>
        <w:jc w:val="both"/>
      </w:pPr>
      <w:r>
        <w:rPr>
          <w:rFonts w:ascii="Calibri" w:hAnsi="Calibri"/>
          <w:b w:val="0"/>
          <w:i w:val="0"/>
          <w:color w:val="000000"/>
          <w:sz w:val="20"/>
        </w:rPr>
        <w:t>2.2 Dr. Arkadiusz Sybaris was appointed Chair for this meeting.</w:t>
      </w:r>
    </w:p>
    <w:p>
      <w:pPr>
        <w:spacing w:before="240"/>
      </w:pPr>
      <w:r>
        <w:rPr>
          <w:rFonts w:ascii="Calibri" w:hAnsi="Calibri"/>
          <w:b/>
          <w:i w:val="0"/>
          <w:color w:val="C9A432"/>
          <w:sz w:val="24"/>
        </w:rPr>
        <w:t>3. Declarations of interest (Section 191, Cap. 113)</w:t>
      </w:r>
    </w:p>
    <w:p>
      <w:pPr>
        <w:jc w:val="both"/>
      </w:pPr>
      <w:r>
        <w:rPr>
          <w:rFonts w:ascii="Calibri" w:hAnsi="Calibri"/>
          <w:b w:val="0"/>
          <w:i w:val="0"/>
          <w:color w:val="000000"/>
          <w:sz w:val="20"/>
        </w:rPr>
        <w:t>3.1 Alexander Papacosta declared that he is a director of Moi Ostrov Ltd (HE 319483), the proposed counterparty to the Team Operational Consultancy Agreement (LCY-MOI-TOCA-2026-001), and that fees under that agreement may be paid to Moi Ostrov Ltd in which he has an interest.</w:t>
      </w:r>
    </w:p>
    <w:p>
      <w:pPr>
        <w:jc w:val="both"/>
      </w:pPr>
      <w:r>
        <w:rPr>
          <w:rFonts w:ascii="Calibri" w:hAnsi="Calibri"/>
          <w:b w:val="0"/>
          <w:i w:val="0"/>
          <w:color w:val="000000"/>
          <w:sz w:val="20"/>
        </w:rPr>
        <w:t>3.2 Alexander Papacosta declared that he is the proposed Employee under the Managing Director Contract of Employment (LCY-EMP-AP-2026-001).</w:t>
      </w:r>
    </w:p>
    <w:p>
      <w:pPr>
        <w:jc w:val="both"/>
      </w:pPr>
      <w:r>
        <w:rPr>
          <w:rFonts w:ascii="Calibri" w:hAnsi="Calibri"/>
          <w:b w:val="0"/>
          <w:i w:val="0"/>
          <w:color w:val="000000"/>
          <w:sz w:val="20"/>
        </w:rPr>
        <w:t>3.3 Alexander Papacosta declared that he is a Beneficiary under the proposed Director &amp; Officer Protections deed (LCY-DIR-IND-2026-001).</w:t>
      </w:r>
    </w:p>
    <w:p>
      <w:pPr>
        <w:jc w:val="both"/>
      </w:pPr>
      <w:r>
        <w:rPr>
          <w:rFonts w:ascii="Calibri" w:hAnsi="Calibri"/>
          <w:b w:val="0"/>
          <w:i w:val="0"/>
          <w:color w:val="000000"/>
          <w:sz w:val="20"/>
        </w:rPr>
        <w:t>3.4 The Chair noted that Dr. Arkadiusz Sybaris is the ultimate beneficial owner of Lighthief International Ltd (sole shareholder) and that shareholder resolutions in respect of the above transactions would be passed separately by Lighthief International Ltd, signed by Dr. Sybaris as authorised signatory.</w:t>
      </w:r>
    </w:p>
    <w:p>
      <w:pPr>
        <w:spacing w:before="240"/>
      </w:pPr>
      <w:r>
        <w:rPr>
          <w:rFonts w:ascii="Calibri" w:hAnsi="Calibri"/>
          <w:b/>
          <w:i w:val="0"/>
          <w:color w:val="C9A432"/>
          <w:sz w:val="24"/>
        </w:rPr>
        <w:t>4. Team Operational Consultancy Agreement (Moi Ostrov Ltd)</w:t>
      </w:r>
    </w:p>
    <w:p>
      <w:pPr>
        <w:jc w:val="both"/>
      </w:pPr>
      <w:r>
        <w:rPr>
          <w:rFonts w:ascii="Calibri" w:hAnsi="Calibri"/>
          <w:b w:val="0"/>
          <w:i w:val="0"/>
          <w:color w:val="000000"/>
          <w:sz w:val="20"/>
        </w:rPr>
        <w:t>4.1 The Board received and considered the Team Operational Consultancy Agreement between the Company and Moi Ostrov Ltd (ref LCY-MOI-TOCA-2026-001), including Schedules 1–3 and Annexes A and B.</w:t>
      </w:r>
    </w:p>
    <w:p>
      <w:pPr>
        <w:jc w:val="both"/>
      </w:pPr>
      <w:r>
        <w:rPr>
          <w:rFonts w:ascii="Calibri" w:hAnsi="Calibri"/>
          <w:b w:val="0"/>
          <w:i w:val="0"/>
          <w:color w:val="000000"/>
          <w:sz w:val="20"/>
        </w:rPr>
        <w:t>4.2 Alexander Papacosta, having declared his interest, withdrew from the meeting for this item and did not participate in deliberations or voting.</w:t>
      </w:r>
    </w:p>
    <w:p>
      <w:pPr>
        <w:jc w:val="both"/>
      </w:pPr>
      <w:r>
        <w:rPr>
          <w:rFonts w:ascii="Calibri" w:hAnsi="Calibri"/>
          <w:b w:val="0"/>
          <w:i w:val="0"/>
          <w:color w:val="000000"/>
          <w:sz w:val="20"/>
        </w:rPr>
        <w:t>4.3 The Chair (Dr. Sybaris) noted the commercial rationale: (a) the Cyprus BESS pipeline was originated and structured by Alexander Papacosta; (b) Part A compensates origination on the Schedule 1 portfolio; (c) Part B provides operational services at market rates; (d) shareholder approval would be sought via written resolution of Lighthief International Ltd (Annex A).</w:t>
      </w:r>
    </w:p>
    <w:p>
      <w:pPr>
        <w:jc w:val="both"/>
      </w:pPr>
      <w:r>
        <w:rPr>
          <w:rFonts w:ascii="Calibri" w:hAnsi="Calibri"/>
          <w:b w:val="0"/>
          <w:i w:val="0"/>
          <w:color w:val="000000"/>
          <w:sz w:val="20"/>
        </w:rPr>
        <w:t>4.4 RESOLVED that:</w:t>
      </w:r>
    </w:p>
    <w:p>
      <w:pPr>
        <w:jc w:val="both"/>
      </w:pPr>
      <w:r>
        <w:rPr>
          <w:rFonts w:ascii="Calibri" w:hAnsi="Calibri"/>
          <w:b w:val="0"/>
          <w:i w:val="0"/>
          <w:color w:val="000000"/>
          <w:sz w:val="20"/>
        </w:rPr>
        <w:t>(a) subject to shareholder approval, the Company enter into the Consultancy Agreement substantially in the form circulated;</w:t>
      </w:r>
    </w:p>
    <w:p>
      <w:pPr>
        <w:jc w:val="both"/>
      </w:pPr>
      <w:r>
        <w:rPr>
          <w:rFonts w:ascii="Calibri" w:hAnsi="Calibri"/>
          <w:b w:val="0"/>
          <w:i w:val="0"/>
          <w:color w:val="000000"/>
          <w:sz w:val="20"/>
        </w:rPr>
        <w:t>(b) Alexander Papacosta be authorised to execute the Consultancy Agreement on behalf of the Company as a deed, notwithstanding his directorship of Moi Ostrov Ltd, such execution to occur only after Annex A (shareholder resolution) and Annex B (UBO personal undertaking) are executed by Dr. Arkadiusz Sybaris;</w:t>
      </w:r>
    </w:p>
    <w:p>
      <w:pPr>
        <w:jc w:val="both"/>
      </w:pPr>
      <w:r>
        <w:rPr>
          <w:rFonts w:ascii="Calibri" w:hAnsi="Calibri"/>
          <w:b w:val="0"/>
          <w:i w:val="0"/>
          <w:color w:val="000000"/>
          <w:sz w:val="20"/>
        </w:rPr>
        <w:t>(c) the Company Secretary file a copy of the executed agreement and resolutions in the statutory books.</w:t>
      </w:r>
    </w:p>
    <w:p>
      <w:pPr>
        <w:jc w:val="both"/>
      </w:pPr>
      <w:r>
        <w:rPr>
          <w:rFonts w:ascii="Calibri" w:hAnsi="Calibri"/>
          <w:b w:val="0"/>
          <w:i w:val="0"/>
          <w:color w:val="000000"/>
          <w:sz w:val="20"/>
        </w:rPr>
        <w:t>4.5 Alexander Papacosta returned to the meeting.</w:t>
      </w:r>
    </w:p>
    <w:p>
      <w:pPr>
        <w:spacing w:before="240"/>
      </w:pPr>
      <w:r>
        <w:rPr>
          <w:rFonts w:ascii="Calibri" w:hAnsi="Calibri"/>
          <w:b/>
          <w:i w:val="0"/>
          <w:color w:val="C9A432"/>
          <w:sz w:val="24"/>
        </w:rPr>
        <w:t>5. Managing Director — Contract of Employment</w:t>
      </w:r>
    </w:p>
    <w:p>
      <w:pPr>
        <w:jc w:val="both"/>
      </w:pPr>
      <w:r>
        <w:rPr>
          <w:rFonts w:ascii="Calibri" w:hAnsi="Calibri"/>
          <w:b w:val="0"/>
          <w:i w:val="0"/>
          <w:color w:val="000000"/>
          <w:sz w:val="20"/>
        </w:rPr>
        <w:t>5.1 The Board received the Contract of Employment between the Company and Alexander Papacosta (ref LCY-EMP-AP-2026-001), providing €2,000 net per month from 1 July 2025 until the Galascope EPC Effective Date and €5,000 gross per month thereafter.</w:t>
      </w:r>
    </w:p>
    <w:p>
      <w:pPr>
        <w:jc w:val="both"/>
      </w:pPr>
      <w:r>
        <w:rPr>
          <w:rFonts w:ascii="Calibri" w:hAnsi="Calibri"/>
          <w:b w:val="0"/>
          <w:i w:val="0"/>
          <w:color w:val="000000"/>
          <w:sz w:val="20"/>
        </w:rPr>
        <w:t>5.2 Alexander Papacosta, having declared his interest, withdrew for this item.</w:t>
      </w:r>
    </w:p>
    <w:p>
      <w:pPr>
        <w:jc w:val="both"/>
      </w:pPr>
      <w:r>
        <w:rPr>
          <w:rFonts w:ascii="Calibri" w:hAnsi="Calibri"/>
          <w:b w:val="0"/>
          <w:i w:val="0"/>
          <w:color w:val="000000"/>
          <w:sz w:val="20"/>
        </w:rPr>
        <w:t>5.3 The Chair noted that employment remuneration is separate from Moi Ostrov introducer fees and any equity side letter; payroll adviser reconciliation of historic PAYE/NIS from 1 July 2025 is required before execution.</w:t>
      </w:r>
    </w:p>
    <w:p>
      <w:pPr>
        <w:jc w:val="both"/>
      </w:pPr>
      <w:r>
        <w:rPr>
          <w:rFonts w:ascii="Calibri" w:hAnsi="Calibri"/>
          <w:b w:val="0"/>
          <w:i w:val="0"/>
          <w:color w:val="000000"/>
          <w:sz w:val="20"/>
        </w:rPr>
        <w:t>5.4 RESOLVED that:</w:t>
      </w:r>
    </w:p>
    <w:p>
      <w:pPr>
        <w:jc w:val="both"/>
      </w:pPr>
      <w:r>
        <w:rPr>
          <w:rFonts w:ascii="Calibri" w:hAnsi="Calibri"/>
          <w:b w:val="0"/>
          <w:i w:val="0"/>
          <w:color w:val="000000"/>
          <w:sz w:val="20"/>
        </w:rPr>
        <w:t>(a) subject to shareholder written resolution LCY-SHR-EMP-2026-001, the Employment Agreement be approved;</w:t>
      </w:r>
    </w:p>
    <w:p>
      <w:pPr>
        <w:jc w:val="both"/>
      </w:pPr>
      <w:r>
        <w:rPr>
          <w:rFonts w:ascii="Calibri" w:hAnsi="Calibri"/>
          <w:b w:val="0"/>
          <w:i w:val="0"/>
          <w:color w:val="000000"/>
          <w:sz w:val="20"/>
        </w:rPr>
        <w:t>(b) Alexander Papacosta be authorised to execute the Employment Agreement on behalf of the Company and in his personal capacity as Employee, such execution to occur only after LCY-SHR-EMP-2026-001 is signed by Dr. Sybaris for Lighthief International Ltd;</w:t>
      </w:r>
    </w:p>
    <w:p>
      <w:pPr>
        <w:jc w:val="both"/>
      </w:pPr>
      <w:r>
        <w:rPr>
          <w:rFonts w:ascii="Calibri" w:hAnsi="Calibri"/>
          <w:b w:val="0"/>
          <w:i w:val="0"/>
          <w:color w:val="000000"/>
          <w:sz w:val="20"/>
        </w:rPr>
        <w:t>(c) the Company Secretary procure payroll reconciliation as described in the Employment Agreement §2.1A.</w:t>
      </w:r>
    </w:p>
    <w:p>
      <w:pPr>
        <w:jc w:val="both"/>
      </w:pPr>
      <w:r>
        <w:rPr>
          <w:rFonts w:ascii="Calibri" w:hAnsi="Calibri"/>
          <w:b w:val="0"/>
          <w:i w:val="0"/>
          <w:color w:val="000000"/>
          <w:sz w:val="20"/>
        </w:rPr>
        <w:t>5.5 Alexander Papacosta returned to the meeting.</w:t>
      </w:r>
    </w:p>
    <w:p>
      <w:pPr>
        <w:spacing w:before="240"/>
      </w:pPr>
      <w:r>
        <w:rPr>
          <w:rFonts w:ascii="Calibri" w:hAnsi="Calibri"/>
          <w:b/>
          <w:i w:val="0"/>
          <w:color w:val="C9A432"/>
          <w:sz w:val="24"/>
        </w:rPr>
        <w:t>6. Director &amp; Officer Protections (D&amp;O and indemnity)</w:t>
      </w:r>
    </w:p>
    <w:p>
      <w:pPr>
        <w:jc w:val="both"/>
      </w:pPr>
      <w:r>
        <w:rPr>
          <w:rFonts w:ascii="Calibri" w:hAnsi="Calibri"/>
          <w:b w:val="0"/>
          <w:i w:val="0"/>
          <w:color w:val="000000"/>
          <w:sz w:val="20"/>
        </w:rPr>
        <w:t>6.1 The Board received the draft Director &amp; Officer Protections deed (ref LCY-DIR-IND-2026-001), including D&amp;O insurance and Cap. 113 indemnity for Alexander Papacosta as director and company secretary.</w:t>
      </w:r>
    </w:p>
    <w:p>
      <w:pPr>
        <w:jc w:val="both"/>
      </w:pPr>
      <w:r>
        <w:rPr>
          <w:rFonts w:ascii="Calibri" w:hAnsi="Calibri"/>
          <w:b w:val="0"/>
          <w:i w:val="0"/>
          <w:color w:val="000000"/>
          <w:sz w:val="20"/>
        </w:rPr>
        <w:t>6.2 Alexander Papacosta, having declared his interest, withdrew for this item.</w:t>
      </w:r>
    </w:p>
    <w:p>
      <w:pPr>
        <w:jc w:val="both"/>
      </w:pPr>
      <w:r>
        <w:rPr>
          <w:rFonts w:ascii="Calibri" w:hAnsi="Calibri"/>
          <w:b w:val="0"/>
          <w:i w:val="0"/>
          <w:color w:val="000000"/>
          <w:sz w:val="20"/>
        </w:rPr>
        <w:t>6.3 RESOLVED that:</w:t>
      </w:r>
    </w:p>
    <w:p>
      <w:pPr>
        <w:jc w:val="both"/>
      </w:pPr>
      <w:r>
        <w:rPr>
          <w:rFonts w:ascii="Calibri" w:hAnsi="Calibri"/>
          <w:b w:val="0"/>
          <w:i w:val="0"/>
          <w:color w:val="000000"/>
          <w:sz w:val="20"/>
        </w:rPr>
        <w:t>(a) subject to shareholder written resolution LCY-SHR-DO-2026-001, the Company enter into the D&amp;O deed substantially in the form circulated;</w:t>
      </w:r>
    </w:p>
    <w:p>
      <w:pPr>
        <w:jc w:val="both"/>
      </w:pPr>
      <w:r>
        <w:rPr>
          <w:rFonts w:ascii="Calibri" w:hAnsi="Calibri"/>
          <w:b w:val="0"/>
          <w:i w:val="0"/>
          <w:color w:val="000000"/>
          <w:sz w:val="20"/>
        </w:rPr>
        <w:t>(b) the directors procure D&amp;O insurance naming Alexander Papacosta and authorised representatives of Lighthief International Ltd as insured persons;</w:t>
      </w:r>
    </w:p>
    <w:p>
      <w:pPr>
        <w:jc w:val="both"/>
      </w:pPr>
      <w:r>
        <w:rPr>
          <w:rFonts w:ascii="Calibri" w:hAnsi="Calibri"/>
          <w:b w:val="0"/>
          <w:i w:val="0"/>
          <w:color w:val="000000"/>
          <w:sz w:val="20"/>
        </w:rPr>
        <w:t>(c) Alexander Papacosta be authorised to execute the D&amp;O deed on behalf of the Company as Beneficiary after LCY-SHR-DO-2026-001 is signed.</w:t>
      </w:r>
    </w:p>
    <w:p>
      <w:pPr>
        <w:jc w:val="both"/>
      </w:pPr>
      <w:r>
        <w:rPr>
          <w:rFonts w:ascii="Calibri" w:hAnsi="Calibri"/>
          <w:b w:val="0"/>
          <w:i w:val="0"/>
          <w:color w:val="000000"/>
          <w:sz w:val="20"/>
        </w:rPr>
        <w:t>6.4 Alexander Papacosta returned to the meeting.</w:t>
      </w:r>
    </w:p>
    <w:p>
      <w:pPr>
        <w:spacing w:before="240"/>
      </w:pPr>
      <w:r>
        <w:rPr>
          <w:rFonts w:ascii="Calibri" w:hAnsi="Calibri"/>
          <w:b/>
          <w:i w:val="0"/>
          <w:color w:val="C9A432"/>
          <w:sz w:val="24"/>
        </w:rPr>
        <w:t>7. Shareholder resolutions — note</w:t>
      </w:r>
    </w:p>
    <w:p>
      <w:pPr>
        <w:jc w:val="both"/>
      </w:pPr>
      <w:r>
        <w:rPr>
          <w:rFonts w:ascii="Calibri" w:hAnsi="Calibri"/>
          <w:b w:val="0"/>
          <w:i w:val="0"/>
          <w:color w:val="000000"/>
          <w:sz w:val="20"/>
        </w:rPr>
        <w:t>7.1 The Board noted that the following written resolutions of Lighthief International Ltd as sole shareholder are to be passed  separately and signed by Dr. Arkadiusz Sybaris as authorised signatory (not by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Resolution</w:t>
            </w:r>
          </w:p>
        </w:tc>
        <w:tc>
          <w:tcPr>
            <w:tcW w:type="dxa" w:w="4703"/>
            <w:shd w:fill="1A365D" w:val="clear"/>
          </w:tcPr>
          <w:p>
            <w:r/>
            <w:r>
              <w:rPr>
                <w:rFonts w:ascii="Calibri" w:hAnsi="Calibri"/>
                <w:b/>
                <w:i w:val="0"/>
                <w:color w:val="FFFFFF"/>
                <w:sz w:val="18"/>
              </w:rPr>
              <w:t>Ref</w:t>
            </w:r>
          </w:p>
        </w:tc>
      </w:tr>
      <w:tr>
        <w:tc>
          <w:tcPr>
            <w:tcW w:type="dxa" w:w="4703"/>
          </w:tcPr>
          <w:p>
            <w:r/>
            <w:r>
              <w:rPr>
                <w:rFonts w:ascii="Calibri" w:hAnsi="Calibri"/>
                <w:b w:val="0"/>
                <w:i w:val="0"/>
                <w:color w:val="000000"/>
                <w:sz w:val="18"/>
              </w:rPr>
              <w:t>Consultancy Agreement approval</w:t>
            </w:r>
          </w:p>
        </w:tc>
        <w:tc>
          <w:tcPr>
            <w:tcW w:type="dxa" w:w="4703"/>
          </w:tcPr>
          <w:p>
            <w:r/>
            <w:r>
              <w:rPr>
                <w:rFonts w:ascii="Calibri" w:hAnsi="Calibri"/>
                <w:b w:val="0"/>
                <w:i w:val="0"/>
                <w:color w:val="000000"/>
                <w:sz w:val="18"/>
              </w:rPr>
              <w:t>Annex A to LCY-MOI-TOCA-2026-001</w:t>
            </w:r>
          </w:p>
        </w:tc>
      </w:tr>
      <w:tr>
        <w:tc>
          <w:tcPr>
            <w:tcW w:type="dxa" w:w="4703"/>
          </w:tcPr>
          <w:p>
            <w:r/>
            <w:r>
              <w:rPr>
                <w:rFonts w:ascii="Calibri" w:hAnsi="Calibri"/>
                <w:b w:val="0"/>
                <w:i w:val="0"/>
                <w:color w:val="000000"/>
                <w:sz w:val="18"/>
              </w:rPr>
              <w:t>MD employment approval</w:t>
            </w:r>
          </w:p>
        </w:tc>
        <w:tc>
          <w:tcPr>
            <w:tcW w:type="dxa" w:w="4703"/>
          </w:tcPr>
          <w:p>
            <w:r/>
            <w:r>
              <w:rPr>
                <w:rFonts w:ascii="Calibri" w:hAnsi="Calibri"/>
                <w:b w:val="0"/>
                <w:i w:val="0"/>
                <w:color w:val="000000"/>
                <w:sz w:val="18"/>
              </w:rPr>
              <w:t>LCY-SHR-EMP-2026-001</w:t>
            </w:r>
          </w:p>
        </w:tc>
      </w:tr>
      <w:tr>
        <w:tc>
          <w:tcPr>
            <w:tcW w:type="dxa" w:w="4703"/>
          </w:tcPr>
          <w:p>
            <w:r/>
            <w:r>
              <w:rPr>
                <w:rFonts w:ascii="Calibri" w:hAnsi="Calibri"/>
                <w:b w:val="0"/>
                <w:i w:val="0"/>
                <w:color w:val="000000"/>
                <w:sz w:val="18"/>
              </w:rPr>
              <w:t>D&amp;O insurance and indemnity</w:t>
            </w:r>
          </w:p>
        </w:tc>
        <w:tc>
          <w:tcPr>
            <w:tcW w:type="dxa" w:w="4703"/>
          </w:tcPr>
          <w:p>
            <w:r/>
            <w:r>
              <w:rPr>
                <w:rFonts w:ascii="Calibri" w:hAnsi="Calibri"/>
                <w:b w:val="0"/>
                <w:i w:val="0"/>
                <w:color w:val="000000"/>
                <w:sz w:val="18"/>
              </w:rPr>
              <w:t>LCY-SHR-DO-2026-001</w:t>
            </w:r>
          </w:p>
        </w:tc>
      </w:tr>
    </w:tbl>
    <w:p/>
    <w:p>
      <w:pPr>
        <w:jc w:val="both"/>
      </w:pPr>
      <w:r>
        <w:rPr>
          <w:rFonts w:ascii="Calibri" w:hAnsi="Calibri"/>
          <w:b w:val="0"/>
          <w:i w:val="0"/>
          <w:color w:val="000000"/>
          <w:sz w:val="20"/>
        </w:rPr>
        <w:t>7.2 The Board noted that Annex B (UBO personal undertaking) is signed by Dr. Arkadiusz Sybaris in his personal capacity, not for Lighthief International Ltd.</w:t>
      </w:r>
    </w:p>
    <w:p>
      <w:pPr>
        <w:spacing w:before="240"/>
      </w:pPr>
      <w:r>
        <w:rPr>
          <w:rFonts w:ascii="Calibri" w:hAnsi="Calibri"/>
          <w:b/>
          <w:i w:val="0"/>
          <w:color w:val="C9A432"/>
          <w:sz w:val="24"/>
        </w:rPr>
        <w:t>8. Option A — Founder runway heads (if applicable)</w:t>
      </w:r>
    </w:p>
    <w:p>
      <w:pPr>
        <w:jc w:val="both"/>
      </w:pPr>
      <w:r>
        <w:rPr>
          <w:rFonts w:ascii="Calibri" w:hAnsi="Calibri"/>
          <w:b w:val="0"/>
          <w:i w:val="0"/>
          <w:color w:val="000000"/>
          <w:sz w:val="20"/>
        </w:rPr>
        <w:t>8.1 The Board noted the draft Option A — Founder Runway &amp; MD Economics (LCY-OPT-A-2026-001) for discussion with the Founder.</w:t>
      </w:r>
    </w:p>
    <w:p>
      <w:pPr>
        <w:jc w:val="both"/>
      </w:pPr>
      <w:r>
        <w:rPr>
          <w:rFonts w:ascii="Calibri" w:hAnsi="Calibri"/>
          <w:b w:val="0"/>
          <w:i w:val="0"/>
          <w:color w:val="000000"/>
          <w:sz w:val="20"/>
        </w:rPr>
        <w:t>8.2 RESOLVED (if heads to be signed now): that Alexander Papacosta be authorised to execute Option A on behalf of the Company, subject to Founder signature by Dr. Arkadiusz Sybaris.</w:t>
      </w:r>
    </w:p>
    <w:p>
      <w:pPr>
        <w:jc w:val="both"/>
      </w:pPr>
      <w:r>
        <w:rPr>
          <w:rFonts w:ascii="Calibri" w:hAnsi="Calibri"/>
          <w:b w:val="0"/>
          <w:i w:val="0"/>
          <w:color w:val="000000"/>
          <w:sz w:val="20"/>
        </w:rPr>
        <w:t>(Delete §8.2 if Option A deferred.)</w:t>
      </w:r>
    </w:p>
    <w:p>
      <w:pPr>
        <w:spacing w:before="240"/>
      </w:pPr>
      <w:r>
        <w:rPr>
          <w:rFonts w:ascii="Calibri" w:hAnsi="Calibri"/>
          <w:b/>
          <w:i w:val="0"/>
          <w:color w:val="C9A432"/>
          <w:sz w:val="24"/>
        </w:rPr>
        <w:t>9. General</w:t>
      </w:r>
    </w:p>
    <w:p>
      <w:pPr>
        <w:jc w:val="both"/>
      </w:pPr>
      <w:r>
        <w:rPr>
          <w:rFonts w:ascii="Calibri" w:hAnsi="Calibri"/>
          <w:b w:val="0"/>
          <w:i w:val="0"/>
          <w:color w:val="000000"/>
          <w:sz w:val="20"/>
        </w:rPr>
        <w:t>9.1 RESOLVED that the Company Secretary be authorised to do all acts necessary to give effect to these resolutions, including filing documents with the statutory registers.</w:t>
      </w:r>
    </w:p>
    <w:p>
      <w:pPr>
        <w:jc w:val="both"/>
      </w:pPr>
      <w:r>
        <w:rPr>
          <w:rFonts w:ascii="Calibri" w:hAnsi="Calibri"/>
          <w:b w:val="0"/>
          <w:i w:val="0"/>
          <w:color w:val="000000"/>
          <w:sz w:val="20"/>
        </w:rPr>
        <w:t>9.2 There being no further business, the Chair declared the meeting closed at ______________________.</w:t>
      </w:r>
    </w:p>
    <w:p>
      <w:pPr>
        <w:spacing w:before="240"/>
      </w:pPr>
      <w:r>
        <w:rPr>
          <w:rFonts w:ascii="Calibri" w:hAnsi="Calibri"/>
          <w:b/>
          <w:i w:val="0"/>
          <w:color w:val="C9A432"/>
          <w:sz w:val="24"/>
        </w:rPr>
        <w:t>10. Signatures — adoption of minutes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r>
          </w:p>
        </w:tc>
        <w:tc>
          <w:tcPr>
            <w:tcW w:type="dxa" w:w="4703"/>
            <w:shd w:fill="1A365D" w:val="clear"/>
          </w:tcPr>
          <w:p>
            <w:r/>
            <w:r>
              <w:rPr>
                <w:rFonts w:ascii="Calibri" w:hAnsi="Calibri"/>
                <w:b/>
                <w:i w:val="0"/>
                <w:color w:val="FFFFFF"/>
                <w:sz w:val="18"/>
              </w:rPr>
            </w:r>
          </w:p>
        </w:tc>
      </w:tr>
      <w:tr>
        <w:tc>
          <w:tcPr>
            <w:tcW w:type="dxa" w:w="4703"/>
          </w:tcPr>
          <w:p>
            <w:r/>
            <w:r>
              <w:rPr>
                <w:rFonts w:ascii="Calibri" w:hAnsi="Calibri"/>
                <w:b w:val="0"/>
                <w:i w:val="0"/>
                <w:color w:val="000000"/>
                <w:sz w:val="18"/>
              </w:rPr>
              <w:t>Chair</w:t>
            </w:r>
          </w:p>
        </w:tc>
        <w:tc>
          <w:tcPr>
            <w:tcW w:type="dxa" w:w="4703"/>
          </w:tcPr>
          <w:p>
            <w:r/>
            <w:r>
              <w:rPr>
                <w:rFonts w:ascii="Calibri" w:hAnsi="Calibri"/>
                <w:b w:val="0"/>
                <w:i w:val="0"/>
                <w:color w:val="000000"/>
                <w:sz w:val="18"/>
              </w:rPr>
              <w:t>______________________________</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Dr. Arkadiusz Sybaris</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(for Lighthief International Ltd — corporate director)</w:t>
            </w:r>
          </w:p>
        </w:tc>
      </w:tr>
      <w:tr>
        <w:tc>
          <w:tcPr>
            <w:tcW w:type="dxa" w:w="4703"/>
          </w:tcPr>
          <w:p>
            <w:r/>
            <w:r>
              <w:rPr>
                <w:rFonts w:ascii="Calibri" w:hAnsi="Calibri"/>
                <w:b w:val="0"/>
                <w:i w:val="0"/>
                <w:color w:val="000000"/>
                <w:sz w:val="18"/>
              </w:rPr>
              <w:t>Date</w:t>
            </w:r>
          </w:p>
        </w:tc>
        <w:tc>
          <w:tcPr>
            <w:tcW w:type="dxa" w:w="4703"/>
          </w:tcPr>
          <w:p>
            <w:r/>
            <w:r>
              <w:rPr>
                <w:rFonts w:ascii="Calibri" w:hAnsi="Calibri"/>
                <w:b w:val="0"/>
                <w:i w:val="0"/>
                <w:color w:val="000000"/>
                <w:sz w:val="18"/>
              </w:rPr>
              <w:t>______________________</w:t>
            </w:r>
          </w:p>
        </w:tc>
      </w:tr>
    </w:tbl>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r>
          </w:p>
        </w:tc>
        <w:tc>
          <w:tcPr>
            <w:tcW w:type="dxa" w:w="4703"/>
            <w:shd w:fill="1A365D" w:val="clear"/>
          </w:tcPr>
          <w:p>
            <w:r/>
            <w:r>
              <w:rPr>
                <w:rFonts w:ascii="Calibri" w:hAnsi="Calibri"/>
                <w:b/>
                <w:i w:val="0"/>
                <w:color w:val="FFFFFF"/>
                <w:sz w:val="18"/>
              </w:rPr>
            </w:r>
          </w:p>
        </w:tc>
      </w:tr>
      <w:tr>
        <w:tc>
          <w:tcPr>
            <w:tcW w:type="dxa" w:w="4703"/>
          </w:tcPr>
          <w:p>
            <w:r/>
            <w:r>
              <w:rPr>
                <w:rFonts w:ascii="Calibri" w:hAnsi="Calibri"/>
                <w:b w:val="0"/>
                <w:i w:val="0"/>
                <w:color w:val="000000"/>
                <w:sz w:val="18"/>
              </w:rPr>
              <w:t>Company Secretary</w:t>
            </w:r>
          </w:p>
        </w:tc>
        <w:tc>
          <w:tcPr>
            <w:tcW w:type="dxa" w:w="4703"/>
          </w:tcPr>
          <w:p>
            <w:r/>
            <w:r>
              <w:rPr>
                <w:rFonts w:ascii="Calibri" w:hAnsi="Calibri"/>
                <w:b w:val="0"/>
                <w:i w:val="0"/>
                <w:color w:val="000000"/>
                <w:sz w:val="18"/>
              </w:rPr>
              <w:t>______________________________</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Alexander Papacosta</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(certifies these minutes as a true record)</w:t>
            </w:r>
          </w:p>
        </w:tc>
      </w:tr>
      <w:tr>
        <w:tc>
          <w:tcPr>
            <w:tcW w:type="dxa" w:w="4703"/>
          </w:tcPr>
          <w:p>
            <w:r/>
            <w:r>
              <w:rPr>
                <w:rFonts w:ascii="Calibri" w:hAnsi="Calibri"/>
                <w:b w:val="0"/>
                <w:i w:val="0"/>
                <w:color w:val="000000"/>
                <w:sz w:val="18"/>
              </w:rPr>
              <w:t>Date</w:t>
            </w:r>
          </w:p>
        </w:tc>
        <w:tc>
          <w:tcPr>
            <w:tcW w:type="dxa" w:w="4703"/>
          </w:tcPr>
          <w:p>
            <w:r/>
            <w:r>
              <w:rPr>
                <w:rFonts w:ascii="Calibri" w:hAnsi="Calibri"/>
                <w:b w:val="0"/>
                <w:i w:val="0"/>
                <w:color w:val="000000"/>
                <w:sz w:val="18"/>
              </w:rPr>
              <w:t>______________________</w:t>
            </w:r>
          </w:p>
        </w:tc>
      </w:tr>
    </w:tbl>
    <w:p/>
    <w:p>
      <w:pPr>
        <w:jc w:val="both"/>
      </w:pPr>
      <w:r>
        <w:rPr>
          <w:rFonts w:ascii="Calibri" w:hAnsi="Calibri"/>
          <w:b w:val="0"/>
          <w:i w:val="0"/>
          <w:color w:val="000000"/>
          <w:sz w:val="20"/>
        </w:rPr>
        <w:t>End of minutes — Phase 1. Not legal advice.</w:t>
      </w:r>
    </w:p>
    <w:p>
      <w:pPr>
        <w:sectPr>
          <w:footerReference w:type="default" r:id="rId30"/>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MINUTES — MEETING OF THE BOARD OF DIRECTORS OF LIGHTHIEF CYPRUS LTD</w:t>
      </w:r>
    </w:p>
    <w:p/>
    <w:p>
      <w:pPr>
        <w:jc w:val="both"/>
      </w:pPr>
      <w:r>
        <w:rPr>
          <w:rFonts w:ascii="Calibri" w:hAnsi="Calibri"/>
          <w:b w:val="0"/>
          <w:i w:val="0"/>
          <w:color w:val="000000"/>
          <w:sz w:val="20"/>
        </w:rPr>
        <w:t>Ref: LCY-BRD-2026-002</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Date: ______________________ 2026 *(before first investor tranche)</w:t>
      </w:r>
    </w:p>
    <w:p>
      <w:pPr>
        <w:jc w:val="both"/>
      </w:pPr>
      <w:r>
        <w:rPr>
          <w:rFonts w:ascii="Calibri" w:hAnsi="Calibri"/>
          <w:b w:val="0"/>
          <w:i w:val="0"/>
          <w:color w:val="000000"/>
          <w:sz w:val="20"/>
        </w:rPr>
        <w:t>Time: ______________________</w:t>
      </w:r>
    </w:p>
    <w:p>
      <w:pPr>
        <w:jc w:val="both"/>
      </w:pPr>
      <w:r>
        <w:rPr>
          <w:rFonts w:ascii="Calibri" w:hAnsi="Calibri"/>
          <w:b w:val="0"/>
          <w:i w:val="0"/>
          <w:color w:val="000000"/>
          <w:sz w:val="20"/>
        </w:rPr>
        <w:t>Place: ______________________ / by video conference</w:t>
      </w:r>
    </w:p>
    <w:p>
      <w:pPr>
        <w:jc w:val="both"/>
      </w:pPr>
      <w:r>
        <w:rPr>
          <w:rFonts w:ascii="Calibri" w:hAnsi="Calibri"/>
          <w:b w:val="0"/>
          <w:i w:val="0"/>
          <w:color w:val="000000"/>
          <w:sz w:val="20"/>
        </w:rPr>
        <w:t>Status: DRAFT — hold and execute in Phase 2 only</w:t>
      </w:r>
    </w:p>
    <w:p>
      <w:pPr>
        <w:spacing w:before="240"/>
      </w:pPr>
      <w:r>
        <w:rPr>
          <w:rFonts w:ascii="Calibri" w:hAnsi="Calibri"/>
          <w:b/>
          <w:i w:val="0"/>
          <w:color w:val="C9A432"/>
          <w:sz w:val="24"/>
        </w:rPr>
        <w:t>1. Present</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Name</w:t>
            </w:r>
          </w:p>
        </w:tc>
        <w:tc>
          <w:tcPr>
            <w:tcW w:type="dxa" w:w="4703"/>
            <w:shd w:fill="1A365D" w:val="clear"/>
          </w:tcPr>
          <w:p>
            <w:r/>
            <w:r>
              <w:rPr>
                <w:rFonts w:ascii="Calibri" w:hAnsi="Calibri"/>
                <w:b/>
                <w:i w:val="0"/>
                <w:color w:val="FFFFFF"/>
                <w:sz w:val="18"/>
              </w:rPr>
              <w:t>Capacity</w:t>
            </w:r>
          </w:p>
        </w:tc>
      </w:tr>
      <w:tr>
        <w:tc>
          <w:tcPr>
            <w:tcW w:type="dxa" w:w="4703"/>
          </w:tcPr>
          <w:p>
            <w:r/>
            <w:r>
              <w:rPr>
                <w:rFonts w:ascii="Calibri" w:hAnsi="Calibri"/>
                <w:b w:val="0"/>
                <w:i w:val="0"/>
                <w:color w:val="000000"/>
                <w:sz w:val="18"/>
              </w:rPr>
              <w:t>Alexander Papacosta</w:t>
            </w:r>
          </w:p>
        </w:tc>
        <w:tc>
          <w:tcPr>
            <w:tcW w:type="dxa" w:w="4703"/>
          </w:tcPr>
          <w:p>
            <w:r/>
            <w:r>
              <w:rPr>
                <w:rFonts w:ascii="Calibri" w:hAnsi="Calibri"/>
                <w:b w:val="0"/>
                <w:i w:val="0"/>
                <w:color w:val="000000"/>
                <w:sz w:val="18"/>
              </w:rPr>
              <w:t>Director; Company Secretary</w:t>
            </w:r>
          </w:p>
        </w:tc>
      </w:tr>
      <w:tr>
        <w:tc>
          <w:tcPr>
            <w:tcW w:type="dxa" w:w="4703"/>
          </w:tcPr>
          <w:p>
            <w:r/>
            <w:r>
              <w:rPr>
                <w:rFonts w:ascii="Calibri" w:hAnsi="Calibri"/>
                <w:b w:val="0"/>
                <w:i w:val="0"/>
                <w:color w:val="000000"/>
                <w:sz w:val="18"/>
              </w:rPr>
              <w:t>Dr. Arkadiusz Sybaris</w:t>
            </w:r>
          </w:p>
        </w:tc>
        <w:tc>
          <w:tcPr>
            <w:tcW w:type="dxa" w:w="4703"/>
          </w:tcPr>
          <w:p>
            <w:r/>
            <w:r>
              <w:rPr>
                <w:rFonts w:ascii="Calibri" w:hAnsi="Calibri"/>
                <w:b w:val="0"/>
                <w:i w:val="0"/>
                <w:color w:val="000000"/>
                <w:sz w:val="18"/>
              </w:rPr>
              <w:t>Representing Lighthief International Ltd (corporate director); UBO of Lighthief International Ltd</w:t>
            </w:r>
          </w:p>
        </w:tc>
      </w:tr>
    </w:tbl>
    <w:p/>
    <w:p>
      <w:pPr>
        <w:spacing w:before="240"/>
      </w:pPr>
      <w:r>
        <w:rPr>
          <w:rFonts w:ascii="Calibri" w:hAnsi="Calibri"/>
          <w:b/>
          <w:i w:val="0"/>
          <w:color w:val="C9A432"/>
          <w:sz w:val="24"/>
        </w:rPr>
        <w:t>2. Quorum and chair</w:t>
      </w:r>
    </w:p>
    <w:p>
      <w:pPr>
        <w:jc w:val="both"/>
      </w:pPr>
      <w:r>
        <w:rPr>
          <w:rFonts w:ascii="Calibri" w:hAnsi="Calibri"/>
          <w:b w:val="0"/>
          <w:i w:val="0"/>
          <w:color w:val="000000"/>
          <w:sz w:val="20"/>
        </w:rPr>
        <w:t>2.1 Quorum present. Dr. Arkadiusz Sybaris chaired the meeting.</w:t>
      </w:r>
    </w:p>
    <w:p>
      <w:pPr>
        <w:spacing w:before="240"/>
      </w:pPr>
      <w:r>
        <w:rPr>
          <w:rFonts w:ascii="Calibri" w:hAnsi="Calibri"/>
          <w:b/>
          <w:i w:val="0"/>
          <w:color w:val="C9A432"/>
          <w:sz w:val="24"/>
        </w:rPr>
        <w:t>3. Declaration of interest</w:t>
      </w:r>
    </w:p>
    <w:p>
      <w:pPr>
        <w:jc w:val="both"/>
      </w:pPr>
      <w:r>
        <w:rPr>
          <w:rFonts w:ascii="Calibri" w:hAnsi="Calibri"/>
          <w:b w:val="0"/>
          <w:i w:val="0"/>
          <w:color w:val="000000"/>
          <w:sz w:val="20"/>
        </w:rPr>
        <w:t>3.1 Alexander Papacosta declared his personal interest as MD under the MD Equity Participation Side Letter (LCY-MD-EQ-2026-001), including EPC milestone equity (10% + 10%), Share Sale Participation Fee, and 15% investor-path equity cap.</w:t>
      </w:r>
    </w:p>
    <w:p>
      <w:pPr>
        <w:jc w:val="both"/>
      </w:pPr>
      <w:r>
        <w:rPr>
          <w:rFonts w:ascii="Calibri" w:hAnsi="Calibri"/>
          <w:b w:val="0"/>
          <w:i w:val="0"/>
          <w:color w:val="000000"/>
          <w:sz w:val="20"/>
        </w:rPr>
        <w:t>3.2 The Chair noted that the Founder (Dr. Sybaris) would also sign the side letter in a separate capacity and that Third Party Investor disclosure is required before each Qualifying Equity Closing.</w:t>
      </w:r>
    </w:p>
    <w:p>
      <w:pPr>
        <w:spacing w:before="240"/>
      </w:pPr>
      <w:r>
        <w:rPr>
          <w:rFonts w:ascii="Calibri" w:hAnsi="Calibri"/>
          <w:b/>
          <w:i w:val="0"/>
          <w:color w:val="C9A432"/>
          <w:sz w:val="24"/>
        </w:rPr>
        <w:t>4. MD Equity Participation Side Letter</w:t>
      </w:r>
    </w:p>
    <w:p>
      <w:pPr>
        <w:jc w:val="both"/>
      </w:pPr>
      <w:r>
        <w:rPr>
          <w:rFonts w:ascii="Calibri" w:hAnsi="Calibri"/>
          <w:b w:val="0"/>
          <w:i w:val="0"/>
          <w:color w:val="000000"/>
          <w:sz w:val="20"/>
        </w:rPr>
        <w:t>4.1 The Board received the side letter (ref LCY-MD-EQ-2026-001) between the Founder, the Company, and Alexander Papacosta.</w:t>
      </w:r>
    </w:p>
    <w:p>
      <w:pPr>
        <w:jc w:val="both"/>
      </w:pPr>
      <w:r>
        <w:rPr>
          <w:rFonts w:ascii="Calibri" w:hAnsi="Calibri"/>
          <w:b w:val="0"/>
          <w:i w:val="0"/>
          <w:color w:val="000000"/>
          <w:sz w:val="20"/>
        </w:rPr>
        <w:t>4.2 Alexander Papacosta withdrew for deliberation and voting on this item.</w:t>
      </w:r>
    </w:p>
    <w:p>
      <w:pPr>
        <w:jc w:val="both"/>
      </w:pPr>
      <w:r>
        <w:rPr>
          <w:rFonts w:ascii="Calibri" w:hAnsi="Calibri"/>
          <w:b w:val="0"/>
          <w:i w:val="0"/>
          <w:color w:val="000000"/>
          <w:sz w:val="20"/>
        </w:rPr>
        <w:t>4.3 The Chair noted: (a) fees on investor subscription cash are separate from Moi Ostrov margin fees; (b) preferred payor is Founder personally, not Company working capital; (c) investor disclosure under NDA before each closing.</w:t>
      </w:r>
    </w:p>
    <w:p>
      <w:pPr>
        <w:jc w:val="both"/>
      </w:pPr>
      <w:r>
        <w:rPr>
          <w:rFonts w:ascii="Calibri" w:hAnsi="Calibri"/>
          <w:b w:val="0"/>
          <w:i w:val="0"/>
          <w:color w:val="000000"/>
          <w:sz w:val="20"/>
        </w:rPr>
        <w:t>4.4 RESOLVED that:</w:t>
      </w:r>
    </w:p>
    <w:p>
      <w:pPr>
        <w:jc w:val="both"/>
      </w:pPr>
      <w:r>
        <w:rPr>
          <w:rFonts w:ascii="Calibri" w:hAnsi="Calibri"/>
          <w:b w:val="0"/>
          <w:i w:val="0"/>
          <w:color w:val="000000"/>
          <w:sz w:val="20"/>
        </w:rPr>
        <w:t>(a) subject to any shareholder resolution counsel requires, the Company acknowledge the side letter;</w:t>
      </w:r>
    </w:p>
    <w:p>
      <w:pPr>
        <w:jc w:val="both"/>
      </w:pPr>
      <w:r>
        <w:rPr>
          <w:rFonts w:ascii="Calibri" w:hAnsi="Calibri"/>
          <w:b w:val="0"/>
          <w:i w:val="0"/>
          <w:color w:val="000000"/>
          <w:sz w:val="20"/>
        </w:rPr>
        <w:t>(b) Alexander Papacosta be authorised to execute the side letter on behalf of the Company and in his personal capacity as MD, only after Dr. Sybaris has signed as Founder;</w:t>
      </w:r>
    </w:p>
    <w:p>
      <w:pPr>
        <w:jc w:val="both"/>
      </w:pPr>
      <w:r>
        <w:rPr>
          <w:rFonts w:ascii="Calibri" w:hAnsi="Calibri"/>
          <w:b w:val="0"/>
          <w:i w:val="0"/>
          <w:color w:val="000000"/>
          <w:sz w:val="20"/>
        </w:rPr>
        <w:t>(c) no Qualifying Equity Closing proceed without executed side letter and investor disclosure per side letter §5.3.</w:t>
      </w:r>
    </w:p>
    <w:p>
      <w:pPr>
        <w:jc w:val="both"/>
      </w:pPr>
      <w:r>
        <w:rPr>
          <w:rFonts w:ascii="Calibri" w:hAnsi="Calibri"/>
          <w:b w:val="0"/>
          <w:i w:val="0"/>
          <w:color w:val="000000"/>
          <w:sz w:val="20"/>
        </w:rPr>
        <w:t>4.5 Alexander Papacosta returned to the meeting.</w:t>
      </w:r>
    </w:p>
    <w:p>
      <w:pPr>
        <w:spacing w:before="240"/>
      </w:pPr>
      <w:r>
        <w:rPr>
          <w:rFonts w:ascii="Calibri" w:hAnsi="Calibri"/>
          <w:b/>
          <w:i w:val="0"/>
          <w:color w:val="C9A432"/>
          <w:sz w:val="24"/>
        </w:rPr>
        <w:t>5. Galascope EPC (if on same agenda)</w:t>
      </w:r>
    </w:p>
    <w:p>
      <w:pPr>
        <w:jc w:val="both"/>
      </w:pPr>
      <w:r>
        <w:rPr>
          <w:rFonts w:ascii="Calibri" w:hAnsi="Calibri"/>
          <w:b w:val="0"/>
          <w:i w:val="0"/>
          <w:color w:val="000000"/>
          <w:sz w:val="20"/>
        </w:rPr>
        <w:t>5.1 *(Optional — use when EPC ready for board approval.)</w:t>
      </w:r>
    </w:p>
    <w:p>
      <w:pPr>
        <w:jc w:val="both"/>
      </w:pPr>
      <w:r>
        <w:rPr>
          <w:rFonts w:ascii="Calibri" w:hAnsi="Calibri"/>
          <w:b w:val="0"/>
          <w:i w:val="0"/>
          <w:color w:val="000000"/>
          <w:sz w:val="20"/>
        </w:rPr>
        <w:t>The Board reviewed the Galascope Ltd BESS EPC contract (LCY-EPC-GAL-B1-2026 or successor).</w:t>
      </w:r>
    </w:p>
    <w:p>
      <w:pPr>
        <w:jc w:val="both"/>
      </w:pPr>
      <w:r>
        <w:rPr>
          <w:rFonts w:ascii="Calibri" w:hAnsi="Calibri"/>
          <w:b w:val="0"/>
          <w:i w:val="0"/>
          <w:color w:val="000000"/>
          <w:sz w:val="20"/>
        </w:rPr>
        <w:t>RESOLVED that Alexander Papacosta be authorised to execute the EPC contract on behalf of the Company, subject to counsel review and funding confirmation.</w:t>
      </w:r>
    </w:p>
    <w:p>
      <w:pPr>
        <w:spacing w:before="240"/>
      </w:pPr>
      <w:r>
        <w:rPr>
          <w:rFonts w:ascii="Calibri" w:hAnsi="Calibri"/>
          <w:b/>
          <w:i w:val="0"/>
          <w:color w:val="C9A432"/>
          <w:sz w:val="24"/>
        </w:rPr>
        <w:t>6. Close and signatures</w:t>
      </w:r>
    </w:p>
    <w:p>
      <w:pPr>
        <w:jc w:val="both"/>
      </w:pPr>
      <w:r>
        <w:rPr>
          <w:rFonts w:ascii="Calibri" w:hAnsi="Calibri"/>
          <w:b w:val="0"/>
          <w:i w:val="0"/>
          <w:color w:val="000000"/>
          <w:sz w:val="20"/>
        </w:rPr>
        <w:t>6.1 There being no further business, the meeting closed at ______________________.</w:t>
      </w:r>
    </w:p>
    <w:p>
      <w:pPr>
        <w:jc w:val="both"/>
      </w:pPr>
      <w:r>
        <w:rPr>
          <w:rFonts w:ascii="Calibri" w:hAnsi="Calibri"/>
          <w:b w:val="0"/>
          <w:i w:val="0"/>
          <w:color w:val="000000"/>
          <w:sz w:val="20"/>
        </w:rPr>
        <w:t>| Chair | ______________________________ Dr. Arkadiusz Sybaris |</w:t>
      </w:r>
    </w:p>
    <w:p>
      <w:pPr>
        <w:jc w:val="both"/>
      </w:pPr>
      <w:r>
        <w:rPr>
          <w:rFonts w:ascii="Calibri" w:hAnsi="Calibri"/>
          <w:b w:val="0"/>
          <w:i w:val="0"/>
          <w:color w:val="000000"/>
          <w:sz w:val="20"/>
        </w:rPr>
        <w:t>| Secretary | ______________________________ Alexander Papacosta (certifies minutes) |</w:t>
      </w:r>
    </w:p>
    <w:p>
      <w:pPr>
        <w:jc w:val="both"/>
      </w:pPr>
      <w:r>
        <w:rPr>
          <w:rFonts w:ascii="Calibri" w:hAnsi="Calibri"/>
          <w:b w:val="0"/>
          <w:i w:val="0"/>
          <w:color w:val="000000"/>
          <w:sz w:val="20"/>
        </w:rPr>
        <w:t>| Date | ______________________ |</w:t>
      </w:r>
    </w:p>
    <w:p>
      <w:pPr>
        <w:jc w:val="both"/>
      </w:pPr>
      <w:r>
        <w:rPr>
          <w:rFonts w:ascii="Calibri" w:hAnsi="Calibri"/>
          <w:b w:val="0"/>
          <w:i w:val="0"/>
          <w:color w:val="000000"/>
          <w:sz w:val="20"/>
        </w:rPr>
        <w:t>End of minutes — Phase 2. Execute before first investor tranche.</w:t>
      </w:r>
    </w:p>
    <w:sectPr w:rsidR="00FC693F" w:rsidRPr="0006063C" w:rsidSect="00034616">
      <w:footerReference w:type="default" r:id="rId31"/>
      <w:pgSz w:w="12240" w:h="15840"/>
      <w:pgMar w:top="1134" w:right="1417" w:bottom="1247" w:left="1417" w:header="720" w:footer="720" w:gutter="0"/>
      <w:cols w:space="720"/>
      <w:docGrid w:linePitch="360"/>
      <w:pgNumType w:start="1"/>
    </w:sectPr>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r>
            <w:r>
              <w:rPr>
                <w:rFonts w:ascii="Calibri" w:hAnsi="Calibri"/>
                <w:b w:val="0"/>
                <w:i w:val="0"/>
                <w:color w:val="FFFFFF"/>
                <w:sz w:val="16"/>
              </w:rPr>
              <w:t>Ref: LCY-LOI-GAL-B1-2026-R15</w:t>
              <w:br/>
            </w:r>
            <w:r>
              <w:rPr>
                <w:rFonts w:ascii="Calibri" w:hAnsi="Calibri"/>
                <w:b w:val="0"/>
                <w:i w:val="0"/>
                <w:color w:val="FFFFFF"/>
                <w:sz w:val="16"/>
              </w:rPr>
              <w:t>Date: May 2026</w:t>
              <w:br/>
            </w:r>
            <w:r>
              <w:rPr>
                <w:rFonts w:ascii="Calibri" w:hAnsi="Calibri"/>
                <w:b/>
                <w:i w:val="0"/>
                <w:color w:val="C9A432"/>
                <w:sz w:val="16"/>
              </w:rPr>
              <w:t>STRICTLY CONFIDENTIAL</w:t>
              <w:br/>
            </w:r>
          </w:p>
        </w:tc>
      </w:tr>
    </w:tbl>
    <w:p>
      <w:pPr>
        <w:spacing w:after="40"/>
      </w:pPr>
    </w:p>
    <w:p>
      <w:r>
        <w:rPr>
          <w:rFonts w:ascii="Calibri" w:hAnsi="Calibri"/>
          <w:b/>
          <w:i w:val="0"/>
          <w:color w:val="1A365D"/>
          <w:sz w:val="36"/>
        </w:rPr>
        <w:t>Letter of Intent</w:t>
      </w:r>
    </w:p>
    <w:p>
      <w:r>
        <w:rPr>
          <w:rFonts w:ascii="Calibri" w:hAnsi="Calibri"/>
          <w:b w:val="0"/>
          <w:i/>
          <w:color w:val="404040"/>
          <w:sz w:val="22"/>
        </w:rPr>
        <w:t>Galascope Ltd — BESS EPC Batch 1 (Galascope 1 + Galascope 2)</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jc w:val="center"/>
            </w:pPr>
            <w:r>
              <w:rPr>
                <w:rFonts w:ascii="Calibri" w:hAnsi="Calibri"/>
                <w:b/>
                <w:i w:val="0"/>
                <w:color w:val="FFFFFF"/>
                <w:sz w:val="20"/>
              </w:rPr>
              <w:t>Contractor</w:t>
            </w:r>
          </w:p>
        </w:tc>
        <w:tc>
          <w:tcPr>
            <w:tcW w:w="6520" w:type="dxa"/>
          </w:tcPr>
          <w:p>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jc w:val="center"/>
            </w:pPr>
            <w:r>
              <w:rPr>
                <w:rFonts w:ascii="Calibri" w:hAnsi="Calibri"/>
                <w:b/>
                <w:i w:val="0"/>
                <w:color w:val="FFFFFF"/>
                <w:sz w:val="20"/>
              </w:rPr>
              <w:t>Client</w:t>
            </w:r>
          </w:p>
        </w:tc>
        <w:tc>
          <w:tcPr>
            <w:tcW w:w="6520" w:type="dxa"/>
          </w:tcPr>
          <w:p>
            <w:r>
              <w:rPr>
                <w:rFonts w:ascii="Calibri" w:hAnsi="Calibri"/>
                <w:b w:val="0"/>
                <w:i w:val="0"/>
                <w:color w:val="000000"/>
                <w:sz w:val="18"/>
              </w:rPr>
              <w:t>Galascope Ltd</w:t>
              <w:br/>
              <w:t>Registration No. HE 303759</w:t>
              <w:br/>
              <w:t>Karaiskaki 6, City House, 3032 Limassol, Cyprus</w:t>
              <w:br/>
              <w:t>represented by: Ntinos Konstantinos (Director)</w:t>
              <w:br/>
              <w:br/>
              <w:t>(hereinafter "the Client")</w:t>
            </w:r>
          </w:p>
        </w:tc>
      </w:tr>
    </w:tbl>
    <w:p>
      <w:pPr>
        <w:spacing w:before="320" w:after="80"/>
      </w:pPr>
      <w:r>
        <w:rPr>
          <w:rFonts w:ascii="Calibri" w:hAnsi="Calibri"/>
          <w:b/>
          <w:i w:val="0"/>
          <w:color w:val="C9A432"/>
          <w:sz w:val="24"/>
        </w:rPr>
        <w:t>RECITALS</w:t>
      </w:r>
    </w:p>
    <w:p>
      <w:pPr>
        <w:jc w:val="both"/>
      </w:pPr>
      <w:r>
        <w:rPr>
          <w:rFonts w:ascii="Calibri" w:hAnsi="Calibri"/>
          <w:b/>
          <w:i w:val="0"/>
          <w:color w:val="1A365D"/>
          <w:sz w:val="20"/>
        </w:rPr>
        <w:t xml:space="preserve">A.  </w:t>
      </w:r>
      <w:r>
        <w:rPr>
          <w:rFonts w:ascii="Calibri" w:hAnsi="Calibri"/>
          <w:b w:val="0"/>
          <w:i w:val="0"/>
          <w:color w:val="000000"/>
          <w:sz w:val="20"/>
        </w:rPr>
        <w:t>Lighthief supplies and installs grid-connected BESS for hybrid PV projects in Cyprus.</w:t>
      </w:r>
    </w:p>
    <w:p>
      <w:pPr>
        <w:jc w:val="both"/>
      </w:pPr>
      <w:r>
        <w:rPr>
          <w:rFonts w:ascii="Calibri" w:hAnsi="Calibri"/>
          <w:b/>
          <w:i w:val="0"/>
          <w:color w:val="1A365D"/>
          <w:sz w:val="20"/>
        </w:rPr>
        <w:t xml:space="preserve">B.  </w:t>
      </w:r>
      <w:r>
        <w:rPr>
          <w:rFonts w:ascii="Calibri" w:hAnsi="Calibri"/>
          <w:b w:val="0"/>
          <w:i w:val="0"/>
          <w:color w:val="000000"/>
          <w:sz w:val="20"/>
        </w:rPr>
        <w:t>The Client (Galascope Ltd) is developing two BESS parks at Famagusta (Galascope 1 and Galascope 2) as part of the Esperia Energy Group portfolio.</w:t>
      </w:r>
    </w:p>
    <w:p>
      <w:pPr>
        <w:jc w:val="both"/>
      </w:pPr>
      <w:r>
        <w:rPr>
          <w:rFonts w:ascii="Calibri" w:hAnsi="Calibri"/>
          <w:b/>
          <w:i w:val="0"/>
          <w:color w:val="1A365D"/>
          <w:sz w:val="20"/>
        </w:rPr>
        <w:t xml:space="preserve">C.  </w:t>
      </w:r>
      <w:r>
        <w:rPr>
          <w:rFonts w:ascii="Calibri" w:hAnsi="Calibri"/>
          <w:b w:val="0"/>
          <w:i w:val="0"/>
          <w:color w:val="000000"/>
          <w:sz w:val="20"/>
        </w:rPr>
        <w:t>The Client wishes to proceed with EPC ref. LCY-EPC-GAL-B1-2026 for Galascope 1 (5.0 MW / 20.06 MWh effective) and Galascope 2 (2.5 MW / 10.03 MWh effective), combined indicative value €3,444,300 (excl. VAT).</w:t>
      </w:r>
    </w:p>
    <w:p>
      <w:pPr>
        <w:jc w:val="both"/>
      </w:pPr>
      <w:r>
        <w:rPr>
          <w:rFonts w:ascii="Calibri" w:hAnsi="Calibri"/>
          <w:b/>
          <w:i w:val="0"/>
          <w:color w:val="1A365D"/>
          <w:sz w:val="20"/>
        </w:rPr>
        <w:t xml:space="preserve">D.  </w:t>
      </w:r>
      <w:r>
        <w:rPr>
          <w:rFonts w:ascii="Calibri" w:hAnsi="Calibri"/>
          <w:b w:val="0"/>
          <w:i w:val="0"/>
          <w:color w:val="000000"/>
          <w:sz w:val="20"/>
        </w:rPr>
        <w:t>Other Esperia group pipeline parks are covered under a separate Letter of Intent with Esperia Energy Group (Ref: LCY-LOI-ESP-PIPELINE-2026-R15).</w:t>
      </w:r>
    </w:p>
    <w:p>
      <w:pPr>
        <w:spacing w:after="160"/>
        <w:jc w:val="both"/>
      </w:pPr>
      <w:r>
        <w:rPr>
          <w:rFonts w:ascii="Calibri" w:hAnsi="Calibri"/>
          <w:b w:val="0"/>
          <w:i w:val="0"/>
          <w:color w:val="000000"/>
          <w:sz w:val="20"/>
        </w:rPr>
        <w:t>NOW THEREFORE, the Parties agree as follows:</w:t>
      </w:r>
    </w:p>
    <w:p>
      <w:pPr>
        <w:spacing w:before="320" w:after="80"/>
      </w:pPr>
      <w:r>
        <w:rPr>
          <w:rFonts w:ascii="Calibri" w:hAnsi="Calibri"/>
          <w:b/>
          <w:i w:val="0"/>
          <w:color w:val="C9A432"/>
          <w:sz w:val="24"/>
        </w:rPr>
        <w:t>1.   COMMITMENT AND PURPOSE</w:t>
      </w:r>
    </w:p>
    <w:p>
      <w:pPr>
        <w:spacing w:after="100"/>
        <w:jc w:val="both"/>
      </w:pPr>
      <w:r>
        <w:rPr>
          <w:rFonts w:ascii="Calibri" w:hAnsi="Calibri"/>
          <w:b w:val="0"/>
          <w:i w:val="0"/>
          <w:color w:val="000000"/>
          <w:sz w:val="20"/>
        </w:rPr>
        <w:t>1.1  The Client confirms its intention to award the BESS EPC contract to Lighthief for two (2) parks in Schedule 1 under LCY-EPC-GAL-B1-2026: Galascope 1 and Galascope 2 (7.50 MW; effective MWh per Schedule A — 20.06 + 10.03). Indicative value €3,444,300 (excl. VAT), confirmed May 2026.</w:t>
      </w:r>
    </w:p>
    <w:p>
      <w:pPr>
        <w:spacing w:after="100"/>
        <w:jc w:val="both"/>
      </w:pPr>
      <w:r>
        <w:rPr>
          <w:rFonts w:ascii="Calibri" w:hAnsi="Calibri"/>
          <w:b w:val="0"/>
          <w:i w:val="0"/>
          <w:color w:val="000000"/>
          <w:sz w:val="20"/>
        </w:rPr>
        <w:t>1.2  This LOI supports procurement, OEM planning, and lender review. Except where expressly binding below, obligations arise only when the EPC and companion documents are signed.</w:t>
      </w:r>
    </w:p>
    <w:p>
      <w:pPr>
        <w:spacing w:after="100"/>
        <w:jc w:val="both"/>
      </w:pPr>
      <w:r>
        <w:rPr>
          <w:rFonts w:ascii="Calibri" w:hAnsi="Calibri"/>
          <w:b w:val="0"/>
          <w:i w:val="0"/>
          <w:color w:val="000000"/>
          <w:sz w:val="20"/>
        </w:rPr>
        <w:t>1.3  (Binding) If the Client withdraws after Lighthief has relied on this LOI, the Client reimburses third-party costs paid or non-cancellable third-party commitments for Schedule 1 parks (evidenced by invoice or signed contract), unless withdrawal is for a Valid Reason. Total reimbursement under this Clause is capped at €100,000.</w:t>
      </w:r>
    </w:p>
    <w:p>
      <w:pPr>
        <w:spacing w:after="100"/>
        <w:jc w:val="both"/>
      </w:pPr>
      <w:r>
        <w:rPr>
          <w:rFonts w:ascii="Calibri" w:hAnsi="Calibri"/>
          <w:b w:val="0"/>
          <w:i w:val="0"/>
          <w:color w:val="000000"/>
          <w:sz w:val="20"/>
        </w:rPr>
        <w:t>Valid Reason: (a) grid Connection Terms / licence not obtained within twelve (12) months of the EPC Effective Date (or such other longstop as the EPC specifies); (b) change in law or DSO/EAC rules makes installation unlawful or impossible (adviser certificate); (c) mutual written termination; (d) Lighthief material breach not remedied within thirty (30) days; (e) project financing for a park is not secured despite reasonable efforts evidenced in writing; (f) Linyang insolvency or sanctions preventing supply. New third-party spend above €50,000 per park requires the Client's prior written approval.</w:t>
      </w:r>
    </w:p>
    <w:p>
      <w:pPr>
        <w:spacing w:before="320" w:after="80"/>
      </w:pPr>
      <w:r>
        <w:rPr>
          <w:rFonts w:ascii="Calibri" w:hAnsi="Calibri"/>
          <w:b/>
          <w:i w:val="0"/>
          <w:color w:val="C9A432"/>
          <w:sz w:val="24"/>
        </w:rPr>
        <w:t>2.   SCHEDULE 1 — PARKS AND INDICATIVE PRICING</w:t>
      </w:r>
    </w:p>
    <w:tbl>
      <w:tblPr>
        <w:tblLook w:firstColumn="1" w:firstRow="1" w:lastColumn="0" w:lastRow="0" w:noHBand="0" w:noVBand="1" w:val="04A0"/>
        <w:tblW w:w="7936" w:type="dxa"/>
        <w:tblLayout w:type="fixed"/>
      </w:tblPr>
      <w:tblGrid>
        <w:gridCol w:w="1984"/>
        <w:gridCol w:w="1984"/>
        <w:gridCol w:w="1984"/>
        <w:gridCol w:w="1984"/>
      </w:tblGrid>
      <w:tr>
        <w:tc>
          <w:tcPr>
            <w:shd w:val="clear" w:color="auto" w:fill="EBF0F7"/>
            <w:tcW w:w="1984" w:type="dxa"/>
          </w:tcPr>
          <w:p>
            <w:pPr>
              <w:jc w:val="center"/>
            </w:pPr>
            <w:r>
              <w:rPr>
                <w:rFonts w:ascii="Calibri" w:hAnsi="Calibri"/>
                <w:b/>
                <w:i w:val="0"/>
                <w:color w:val="1A365D"/>
                <w:sz w:val="24"/>
              </w:rPr>
              <w:t>2 Parks</w:t>
              <w:br/>
            </w:r>
            <w:r>
              <w:rPr>
                <w:rFonts w:ascii="Calibri" w:hAnsi="Calibri"/>
                <w:b w:val="0"/>
                <w:i w:val="0"/>
                <w:color w:val="404040"/>
                <w:sz w:val="15"/>
              </w:rPr>
              <w:t>Galascope Batch 1</w:t>
            </w:r>
          </w:p>
        </w:tc>
        <w:tc>
          <w:tcPr>
            <w:shd w:val="clear" w:color="auto" w:fill="EBF0F7"/>
            <w:tcW w:w="1984" w:type="dxa"/>
          </w:tcPr>
          <w:p>
            <w:pPr>
              <w:jc w:val="center"/>
            </w:pPr>
            <w:r>
              <w:rPr>
                <w:rFonts w:ascii="Calibri" w:hAnsi="Calibri"/>
                <w:b/>
                <w:i w:val="0"/>
                <w:color w:val="1A365D"/>
                <w:sz w:val="24"/>
              </w:rPr>
              <w:t>7.50 MW</w:t>
              <w:br/>
            </w:r>
            <w:r>
              <w:rPr>
                <w:rFonts w:ascii="Calibri" w:hAnsi="Calibri"/>
                <w:b w:val="0"/>
                <w:i w:val="0"/>
                <w:color w:val="404040"/>
                <w:sz w:val="15"/>
              </w:rPr>
              <w:t>Total BESS Power</w:t>
            </w:r>
          </w:p>
        </w:tc>
        <w:tc>
          <w:tcPr>
            <w:shd w:val="clear" w:color="auto" w:fill="EBF0F7"/>
            <w:tcW w:w="1984" w:type="dxa"/>
          </w:tcPr>
          <w:p>
            <w:pPr>
              <w:jc w:val="center"/>
            </w:pPr>
            <w:r>
              <w:rPr>
                <w:rFonts w:ascii="Calibri" w:hAnsi="Calibri"/>
                <w:b/>
                <w:i w:val="0"/>
                <w:color w:val="1A365D"/>
                <w:sz w:val="24"/>
              </w:rPr>
              <w:t>30.09 MWh</w:t>
              <w:br/>
            </w:r>
            <w:r>
              <w:rPr>
                <w:rFonts w:ascii="Calibri" w:hAnsi="Calibri"/>
                <w:b w:val="0"/>
                <w:i w:val="0"/>
                <w:color w:val="404040"/>
                <w:sz w:val="15"/>
              </w:rPr>
              <w:t>Total BESS Energy</w:t>
            </w:r>
          </w:p>
        </w:tc>
        <w:tc>
          <w:tcPr>
            <w:shd w:val="clear" w:color="auto" w:fill="EBF0F7"/>
            <w:tcW w:w="1984" w:type="dxa"/>
          </w:tcPr>
          <w:p>
            <w:pPr>
              <w:jc w:val="center"/>
            </w:pPr>
            <w:r>
              <w:rPr>
                <w:rFonts w:ascii="Calibri" w:hAnsi="Calibri"/>
                <w:b/>
                <w:i w:val="0"/>
                <w:color w:val="1A365D"/>
                <w:sz w:val="24"/>
              </w:rPr>
              <w:t>€3,444,300</w:t>
              <w:br/>
            </w:r>
            <w:r>
              <w:rPr>
                <w:rFonts w:ascii="Calibri" w:hAnsi="Calibri"/>
                <w:b w:val="0"/>
                <w:i w:val="0"/>
                <w:color w:val="404040"/>
                <w:sz w:val="15"/>
              </w:rPr>
              <w:t>Indicative Value (ex. VAT)</w:t>
            </w:r>
          </w:p>
        </w:tc>
      </w:tr>
    </w:tbl>
    <w:tbl>
      <w:tblPr>
        <w:jc w:val="left"/>
        <w:tblLook w:firstColumn="1" w:firstRow="1" w:lastColumn="0" w:lastRow="0" w:noHBand="0" w:noVBand="1" w:val="04A0"/>
        <w:tblW w:w="7935" w:type="dxa"/>
        <w:tblLayout w:type="fixed"/>
      </w:tblPr>
      <w:tblGrid>
        <w:gridCol w:w="3402"/>
        <w:gridCol w:w="1020"/>
        <w:gridCol w:w="793"/>
        <w:gridCol w:w="793"/>
        <w:gridCol w:w="1927"/>
      </w:tblGrid>
      <w:tr>
        <w:tc>
          <w:tcPr>
            <w:shd w:val="clear" w:color="auto" w:fill="1A365D"/>
            <w:vAlign w:val="center"/>
            <w:tcW w:w="3402" w:type="dxa"/>
          </w:tcPr>
          <w:p>
            <w:pPr>
              <w:jc w:val="center"/>
            </w:pPr>
            <w:r>
              <w:rPr>
                <w:rFonts w:ascii="Calibri" w:hAnsi="Calibri"/>
                <w:b/>
                <w:i w:val="0"/>
                <w:color w:val="FFFFFF"/>
                <w:sz w:val="16"/>
              </w:rPr>
              <w:t>Park</w:t>
            </w:r>
          </w:p>
        </w:tc>
        <w:tc>
          <w:tcPr>
            <w:shd w:val="clear" w:color="auto" w:fill="1A365D"/>
            <w:vAlign w:val="center"/>
            <w:tcW w:w="1020" w:type="dxa"/>
          </w:tcPr>
          <w:p>
            <w:pPr>
              <w:jc w:val="center"/>
            </w:pPr>
            <w:r>
              <w:rPr>
                <w:rFonts w:ascii="Calibri" w:hAnsi="Calibri"/>
                <w:b/>
                <w:i w:val="0"/>
                <w:color w:val="FFFFFF"/>
                <w:sz w:val="16"/>
              </w:rPr>
              <w:t>District</w:t>
            </w:r>
          </w:p>
        </w:tc>
        <w:tc>
          <w:tcPr>
            <w:shd w:val="clear" w:color="auto" w:fill="1A365D"/>
            <w:vAlign w:val="center"/>
            <w:tcW w:w="793" w:type="dxa"/>
          </w:tcPr>
          <w:p>
            <w:pPr>
              <w:jc w:val="center"/>
            </w:pPr>
            <w:r>
              <w:rPr>
                <w:rFonts w:ascii="Calibri" w:hAnsi="Calibri"/>
                <w:b/>
                <w:i w:val="0"/>
                <w:color w:val="FFFFFF"/>
                <w:sz w:val="16"/>
              </w:rPr>
              <w:t>MW</w:t>
            </w:r>
          </w:p>
        </w:tc>
        <w:tc>
          <w:tcPr>
            <w:shd w:val="clear" w:color="auto" w:fill="1A365D"/>
            <w:vAlign w:val="center"/>
            <w:tcW w:w="793" w:type="dxa"/>
          </w:tcPr>
          <w:p>
            <w:pPr>
              <w:jc w:val="center"/>
            </w:pPr>
            <w:r>
              <w:rPr>
                <w:rFonts w:ascii="Calibri" w:hAnsi="Calibri"/>
                <w:b/>
                <w:i w:val="0"/>
                <w:color w:val="FFFFFF"/>
                <w:sz w:val="16"/>
              </w:rPr>
              <w:t>MWh (eff.)</w:t>
            </w:r>
          </w:p>
        </w:tc>
        <w:tc>
          <w:tcPr>
            <w:shd w:val="clear" w:color="auto" w:fill="1A365D"/>
            <w:vAlign w:val="center"/>
            <w:tcW w:w="1927" w:type="dxa"/>
          </w:tcPr>
          <w:p>
            <w:pPr>
              <w:jc w:val="center"/>
            </w:pPr>
            <w:r>
              <w:rPr>
                <w:rFonts w:ascii="Calibri" w:hAnsi="Calibri"/>
                <w:b/>
                <w:i w:val="0"/>
                <w:color w:val="FFFFFF"/>
                <w:sz w:val="16"/>
              </w:rPr>
              <w:t>Indicative Price (ex. VAT)</w:t>
            </w:r>
          </w:p>
        </w:tc>
      </w:tr>
      <w:tr>
        <w:tc>
          <w:tcPr>
            <w:tcW w:w="3402" w:type="dxa"/>
          </w:tcPr>
          <w:p>
            <w:pPr>
              <w:jc w:val="left"/>
            </w:pPr>
            <w:r>
              <w:rPr>
                <w:rFonts w:ascii="Calibri" w:hAnsi="Calibri"/>
                <w:b w:val="0"/>
                <w:i w:val="0"/>
                <w:color w:val="000000"/>
                <w:sz w:val="17"/>
              </w:rPr>
              <w:t>Galascope 1</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5.00</w:t>
            </w:r>
          </w:p>
        </w:tc>
        <w:tc>
          <w:tcPr>
            <w:tcW w:w="793" w:type="dxa"/>
          </w:tcPr>
          <w:p>
            <w:pPr>
              <w:jc w:val="right"/>
            </w:pPr>
            <w:r>
              <w:rPr>
                <w:rFonts w:ascii="Calibri" w:hAnsi="Calibri"/>
                <w:b w:val="0"/>
                <w:i w:val="0"/>
                <w:color w:val="000000"/>
                <w:sz w:val="17"/>
              </w:rPr>
              <w:t>20.06</w:t>
            </w:r>
          </w:p>
        </w:tc>
        <w:tc>
          <w:tcPr>
            <w:tcW w:w="1927" w:type="dxa"/>
          </w:tcPr>
          <w:p>
            <w:pPr>
              <w:jc w:val="right"/>
            </w:pPr>
            <w:r>
              <w:rPr>
                <w:rFonts w:ascii="Calibri" w:hAnsi="Calibri"/>
                <w:b w:val="0"/>
                <w:i w:val="0"/>
                <w:color w:val="000000"/>
                <w:sz w:val="17"/>
              </w:rPr>
              <w:t>€2,238,000</w:t>
            </w:r>
          </w:p>
        </w:tc>
      </w:tr>
      <w:tr>
        <w:tc>
          <w:tcPr>
            <w:tcW w:w="3402" w:type="dxa"/>
          </w:tcPr>
          <w:p>
            <w:pPr>
              <w:jc w:val="left"/>
            </w:pPr>
            <w:r>
              <w:rPr>
                <w:rFonts w:ascii="Calibri" w:hAnsi="Calibri"/>
                <w:b w:val="0"/>
                <w:i w:val="0"/>
                <w:color w:val="000000"/>
                <w:sz w:val="17"/>
              </w:rPr>
              <w:t>Galascope 2</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2.50</w:t>
            </w:r>
          </w:p>
        </w:tc>
        <w:tc>
          <w:tcPr>
            <w:tcW w:w="793" w:type="dxa"/>
          </w:tcPr>
          <w:p>
            <w:pPr>
              <w:jc w:val="right"/>
            </w:pPr>
            <w:r>
              <w:rPr>
                <w:rFonts w:ascii="Calibri" w:hAnsi="Calibri"/>
                <w:b w:val="0"/>
                <w:i w:val="0"/>
                <w:color w:val="000000"/>
                <w:sz w:val="17"/>
              </w:rPr>
              <w:t>10.03</w:t>
            </w:r>
          </w:p>
        </w:tc>
        <w:tc>
          <w:tcPr>
            <w:tcW w:w="1927" w:type="dxa"/>
          </w:tcPr>
          <w:p>
            <w:pPr>
              <w:jc w:val="right"/>
            </w:pPr>
            <w:r>
              <w:rPr>
                <w:rFonts w:ascii="Calibri" w:hAnsi="Calibri"/>
                <w:b w:val="0"/>
                <w:i w:val="0"/>
                <w:color w:val="000000"/>
                <w:sz w:val="17"/>
              </w:rPr>
              <w:t>€1,206,300</w:t>
            </w:r>
          </w:p>
        </w:tc>
      </w:tr>
      <w:tr>
        <w:tc>
          <w:tcPr>
            <w:shd w:val="clear" w:color="auto" w:fill="1A365D"/>
            <w:tcW w:w="3402" w:type="dxa"/>
          </w:tcPr>
          <w:p>
            <w:pPr>
              <w:jc w:val="left"/>
            </w:pPr>
            <w:r>
              <w:rPr>
                <w:rFonts w:ascii="Calibri" w:hAnsi="Calibri"/>
                <w:b/>
                <w:i w:val="0"/>
                <w:color w:val="FFFFFF"/>
                <w:sz w:val="17"/>
              </w:rPr>
              <w:t>TOTAL — Galascope Batch 1</w:t>
            </w:r>
          </w:p>
        </w:tc>
        <w:tc>
          <w:tcPr>
            <w:shd w:val="clear" w:color="auto" w:fill="1A365D"/>
            <w:tcW w:w="1020" w:type="dxa"/>
          </w:tcPr>
          <w:p>
            <w:pPr>
              <w:jc w:val="center"/>
            </w:pPr>
            <w:r>
              <w:rPr>
                <w:rFonts w:ascii="Calibri" w:hAnsi="Calibri"/>
                <w:b/>
                <w:i w:val="0"/>
                <w:color w:val="FFFFFF"/>
                <w:sz w:val="17"/>
              </w:rPr>
            </w:r>
          </w:p>
        </w:tc>
        <w:tc>
          <w:tcPr>
            <w:shd w:val="clear" w:color="auto" w:fill="1A365D"/>
            <w:tcW w:w="793" w:type="dxa"/>
          </w:tcPr>
          <w:p>
            <w:pPr>
              <w:jc w:val="right"/>
            </w:pPr>
            <w:r>
              <w:rPr>
                <w:rFonts w:ascii="Calibri" w:hAnsi="Calibri"/>
                <w:b/>
                <w:i w:val="0"/>
                <w:color w:val="FFFFFF"/>
                <w:sz w:val="17"/>
              </w:rPr>
              <w:t>7.50</w:t>
            </w:r>
          </w:p>
        </w:tc>
        <w:tc>
          <w:tcPr>
            <w:shd w:val="clear" w:color="auto" w:fill="1A365D"/>
            <w:tcW w:w="793" w:type="dxa"/>
          </w:tcPr>
          <w:p>
            <w:pPr>
              <w:jc w:val="right"/>
            </w:pPr>
            <w:r>
              <w:rPr>
                <w:rFonts w:ascii="Calibri" w:hAnsi="Calibri"/>
                <w:b/>
                <w:i w:val="0"/>
                <w:color w:val="FFFFFF"/>
                <w:sz w:val="17"/>
              </w:rPr>
              <w:t>30.09</w:t>
            </w:r>
          </w:p>
        </w:tc>
        <w:tc>
          <w:tcPr>
            <w:shd w:val="clear" w:color="auto" w:fill="1A365D"/>
            <w:tcW w:w="1927" w:type="dxa"/>
          </w:tcPr>
          <w:p>
            <w:pPr>
              <w:jc w:val="right"/>
            </w:pPr>
            <w:r>
              <w:rPr>
                <w:rFonts w:ascii="Calibri" w:hAnsi="Calibri"/>
                <w:b/>
                <w:i w:val="0"/>
                <w:color w:val="FFFFFF"/>
                <w:sz w:val="17"/>
              </w:rPr>
              <w:t>€3,444,300</w:t>
            </w:r>
          </w:p>
        </w:tc>
      </w:tr>
    </w:tbl>
    <w:p>
      <w:pPr>
        <w:spacing w:before="320" w:after="80"/>
      </w:pPr>
      <w:r>
        <w:rPr>
          <w:rFonts w:ascii="Calibri" w:hAnsi="Calibri"/>
          <w:b/>
          <w:i w:val="0"/>
          <w:color w:val="C9A432"/>
          <w:sz w:val="24"/>
        </w:rPr>
        <w:t>3.   INDICATIVE PROGRAMME</w:t>
      </w:r>
    </w:p>
    <w:p>
      <w:pPr>
        <w:spacing w:after="100"/>
        <w:jc w:val="both"/>
      </w:pPr>
      <w:r>
        <w:rPr>
          <w:rFonts w:ascii="Calibri" w:hAnsi="Calibri"/>
          <w:b w:val="0"/>
          <w:i w:val="0"/>
          <w:color w:val="000000"/>
          <w:sz w:val="20"/>
        </w:rPr>
        <w:t>EPC target: LCY-EPC-GAL-B1-2026 — signing Q2 2026; target PAC 31 January 2027.</w:t>
      </w:r>
    </w:p>
    <w:p>
      <w:pPr>
        <w:spacing w:before="320" w:after="80"/>
      </w:pPr>
      <w:r>
        <w:rPr>
          <w:rFonts w:ascii="Calibri" w:hAnsi="Calibri"/>
          <w:b/>
          <w:i w:val="0"/>
          <w:color w:val="C9A432"/>
          <w:sz w:val="24"/>
        </w:rPr>
        <w:t>4.   COMMERCIAL SUMMARY</w:t>
      </w:r>
    </w:p>
    <w:p>
      <w:pPr>
        <w:spacing w:after="100"/>
        <w:jc w:val="both"/>
      </w:pPr>
      <w:r>
        <w:rPr>
          <w:rFonts w:ascii="Calibri" w:hAnsi="Calibri"/>
          <w:b w:val="0"/>
          <w:i w:val="0"/>
          <w:color w:val="000000"/>
          <w:sz w:val="20"/>
        </w:rPr>
        <w:t>4.1  Schedule 1 shows Indicative Prices (excl. VAT) from Linyang quotation LY202601271. Payment terms, civil works scope, and the binding Contract Price are fixed in each executed EPC using the Indicative and Confirmed Price mechanism (EPC §6.1).</w:t>
      </w:r>
    </w:p>
    <w:p>
      <w:pPr>
        <w:spacing w:after="100"/>
        <w:jc w:val="both"/>
      </w:pPr>
      <w:r>
        <w:rPr>
          <w:rFonts w:ascii="Calibri" w:hAnsi="Calibri"/>
          <w:b w:val="0"/>
          <w:i w:val="0"/>
          <w:color w:val="000000"/>
          <w:sz w:val="20"/>
        </w:rPr>
        <w:t>4.2  Schedule 1 indicatives are valid for ninety (90) days from this LOI for planning. The Confirmed Contract Price for each park or batch is set when Lighthief issues the Confirmed Price Certificate under Clause 4.3.</w:t>
      </w:r>
    </w:p>
    <w:p>
      <w:pPr>
        <w:spacing w:after="100"/>
        <w:jc w:val="both"/>
      </w:pPr>
      <w:r>
        <w:rPr>
          <w:rFonts w:ascii="Calibri" w:hAnsi="Calibri"/>
          <w:b w:val="0"/>
          <w:i w:val="0"/>
          <w:color w:val="000000"/>
          <w:sz w:val="20"/>
        </w:rPr>
        <w:t>4.3  (Two-way price commitment) Each EPC will state an Indicative Price (as in Schedule 1 or updated in writing before signing). Within fourteen (14) days after the Client receives grid Connection Terms for that park or batch, Lighthief will issue a Confirmed Price Certificate fixing the Contract Price. The Confirmed Price equals the Indicative Price unless the battery raw-material index (Mysteel lithium carbonate) or EUR/CNY moves beyond the thresholds in EPC §6.1 from the January 2026 reference values (155,000 CNY/tonne (Mysteel China battery-grade spot, January 2026 monthly average); 8.18 CNY per EUR (January 2026 average)). Where a threshold is exceeded, the Confirmed Price adjusts to reflect verified movement on the equipment cost base: downward adjustments are passed through to the Client on milestones not yet invoiced; upward adjustments are capped at five percent (5%) of the Indicative Price. If the calculated upward adjustment would exceed five percent (5%), either Party may decline to proceed with that EPC without penalty. Lighthief will provide a Price Basis Certificate at EPC signing (and at equipment delivery where applicable) showing the reference indices and calculation so the Client can verify how the price follows the market.</w:t>
      </w:r>
    </w:p>
    <w:p>
      <w:pPr>
        <w:spacing w:after="100"/>
        <w:jc w:val="both"/>
      </w:pPr>
      <w:r>
        <w:rPr>
          <w:rFonts w:ascii="Calibri" w:hAnsi="Calibri"/>
          <w:b w:val="0"/>
          <w:i w:val="0"/>
          <w:color w:val="000000"/>
          <w:sz w:val="20"/>
        </w:rPr>
        <w:t>4.4  (Price lock — signature by 29 May 2026) The Parties acknowledge that, as of the date of this LOI, the Mysteel lithium carbonate index has moved materially above the January 2026 reference in Clause 4.3, while EUR/CNY remains within the EPC FX threshold. Schedule 1 therefore reflects pricing locked with Linyang on the January 2026 quotation basis, not today's spot index. Linyang has confirmed that where this LOI and the relevant park or batch EPC are executed on or before 29 May 2026, the Indicative Price (as in Schedule 1 or updated in writing before signing) shall be the Confirmed Price for equipment cost purposes, without upward raw-material or FX adjustment for index movement occurring before that EPC Effective Date. Clause 4.3 two-way adjustments apply after signing only to verified movement from the indices stated in the Price Basis Certificate at EPC signing.</w:t>
      </w:r>
    </w:p>
    <w:p>
      <w:pPr>
        <w:spacing w:before="320" w:after="80"/>
      </w:pPr>
      <w:r>
        <w:rPr>
          <w:rFonts w:ascii="Calibri" w:hAnsi="Calibri"/>
          <w:b/>
          <w:i w:val="0"/>
          <w:color w:val="C9A432"/>
          <w:sz w:val="24"/>
        </w:rPr>
        <w:t>5.   NEXT STEPS</w:t>
      </w:r>
    </w:p>
    <w:p>
      <w:pPr>
        <w:spacing w:after="100"/>
        <w:jc w:val="both"/>
      </w:pPr>
      <w:r>
        <w:rPr>
          <w:rFonts w:ascii="Calibri" w:hAnsi="Calibri"/>
          <w:b w:val="0"/>
          <w:i w:val="0"/>
          <w:color w:val="000000"/>
          <w:sz w:val="20"/>
        </w:rPr>
        <w:t>5.1  The Parties will negotiate and sign the EPC package (EPC, LTSA, EMS addendum, and OEM warranties). Commercial terms for those documents are agreed in the EPC — not in this LOI.</w:t>
      </w:r>
    </w:p>
    <w:p>
      <w:pPr>
        <w:spacing w:before="320" w:after="80"/>
      </w:pPr>
      <w:r>
        <w:rPr>
          <w:rFonts w:ascii="Calibri" w:hAnsi="Calibri"/>
          <w:b/>
          <w:i w:val="0"/>
          <w:color w:val="C9A432"/>
          <w:sz w:val="24"/>
        </w:rPr>
        <w:t>6.   GOOD FAITH</w:t>
      </w:r>
    </w:p>
    <w:p>
      <w:pPr>
        <w:spacing w:after="100"/>
        <w:jc w:val="both"/>
      </w:pPr>
      <w:r>
        <w:rPr>
          <w:rFonts w:ascii="Calibri" w:hAnsi="Calibri"/>
          <w:b w:val="0"/>
          <w:i w:val="0"/>
          <w:color w:val="000000"/>
          <w:sz w:val="20"/>
        </w:rPr>
        <w:t>6.1  The Parties will negotiate and sign the EPC package in good faith. If not executed within ninety (90) days of this LOI (unless extended in writing), either Party may withdraw without liability except Clause 1.3.</w:t>
      </w:r>
    </w:p>
    <w:p>
      <w:pPr>
        <w:spacing w:before="320" w:after="80"/>
      </w:pPr>
      <w:r>
        <w:rPr>
          <w:rFonts w:ascii="Calibri" w:hAnsi="Calibri"/>
          <w:b/>
          <w:i w:val="0"/>
          <w:color w:val="C9A432"/>
          <w:sz w:val="24"/>
        </w:rPr>
        <w:t>7.   EXCLUSIVITY</w:t>
      </w:r>
    </w:p>
    <w:p>
      <w:pPr>
        <w:spacing w:after="100"/>
        <w:jc w:val="both"/>
      </w:pPr>
      <w:r>
        <w:rPr>
          <w:rFonts w:ascii="Calibri" w:hAnsi="Calibri"/>
          <w:b w:val="0"/>
          <w:i w:val="0"/>
          <w:color w:val="000000"/>
          <w:sz w:val="20"/>
        </w:rPr>
        <w:t>7.1  (Binding) Until this LOI expires or the relevant Schedule 1 EPC is signed, the Client will not appoint another EPC contractor for those parks or procure parallel BESS equipment for them from an OEM other than Linyang (Cyprus portfolio).</w:t>
      </w:r>
    </w:p>
    <w:p>
      <w:pPr>
        <w:spacing w:after="100"/>
        <w:jc w:val="both"/>
      </w:pPr>
      <w:r>
        <w:rPr>
          <w:rFonts w:ascii="Calibri" w:hAnsi="Calibri"/>
          <w:b w:val="0"/>
          <w:i w:val="0"/>
          <w:color w:val="000000"/>
          <w:sz w:val="20"/>
        </w:rPr>
        <w:t>7.2  Exclusivity does not apply on Valid Reason (Clause 1.3) or if Lighthief has not proposed an EPC for signature within ninety (90) days of this LOI (unless extended in writing).</w:t>
      </w:r>
    </w:p>
    <w:p>
      <w:pPr>
        <w:spacing w:after="100"/>
        <w:jc w:val="both"/>
      </w:pPr>
      <w:r>
        <w:rPr>
          <w:rFonts w:ascii="Calibri" w:hAnsi="Calibri"/>
          <w:b w:val="0"/>
          <w:i w:val="0"/>
          <w:color w:val="000000"/>
          <w:sz w:val="20"/>
        </w:rPr>
        <w:t>7.3  Exclusivity ends when the Schedule 1 EPC is signed, on Valid Reason, or if either Party materially breaches this LOI and does not remedy within thirty (30) days of notice.</w:t>
      </w:r>
    </w:p>
    <w:p>
      <w:pPr>
        <w:spacing w:before="320" w:after="80"/>
      </w:pPr>
      <w:r>
        <w:rPr>
          <w:rFonts w:ascii="Calibri" w:hAnsi="Calibri"/>
          <w:b/>
          <w:i w:val="0"/>
          <w:color w:val="C9A432"/>
          <w:sz w:val="24"/>
        </w:rPr>
        <w:t>8.   CONFIDENTIALITY</w:t>
      </w:r>
    </w:p>
    <w:p>
      <w:pPr>
        <w:spacing w:after="100"/>
        <w:jc w:val="both"/>
      </w:pPr>
      <w:r>
        <w:rPr>
          <w:rFonts w:ascii="Calibri" w:hAnsi="Calibri"/>
          <w:b w:val="0"/>
          <w:i w:val="0"/>
          <w:color w:val="000000"/>
          <w:sz w:val="20"/>
        </w:rPr>
        <w:t>8.1  (Binding) Each Party shall keep confidential this LOI and related commercial, technical, and pricing information, except to advisers, lenders, or as required by law. This survives for five (5) years after this LOI ends.</w:t>
      </w:r>
    </w:p>
    <w:p>
      <w:pPr>
        <w:spacing w:before="320" w:after="80"/>
      </w:pPr>
      <w:r>
        <w:rPr>
          <w:rFonts w:ascii="Calibri" w:hAnsi="Calibri"/>
          <w:b/>
          <w:i w:val="0"/>
          <w:color w:val="C9A432"/>
          <w:sz w:val="24"/>
        </w:rPr>
        <w:t>9.   TERM AND GOVERNING LAW</w:t>
      </w:r>
    </w:p>
    <w:p>
      <w:pPr>
        <w:spacing w:after="100"/>
        <w:jc w:val="both"/>
      </w:pPr>
      <w:r>
        <w:rPr>
          <w:rFonts w:ascii="Calibri" w:hAnsi="Calibri"/>
          <w:b w:val="0"/>
          <w:i w:val="0"/>
          <w:color w:val="000000"/>
          <w:sz w:val="20"/>
        </w:rPr>
        <w:t>9.1  This LOI runs until the earlier of: EPC and companion documents signed, eighteen (18) months from signing, or written termination.</w:t>
      </w:r>
    </w:p>
    <w:p>
      <w:pPr>
        <w:spacing w:after="100"/>
        <w:jc w:val="both"/>
      </w:pPr>
      <w:r>
        <w:rPr>
          <w:rFonts w:ascii="Calibri" w:hAnsi="Calibri"/>
          <w:b w:val="0"/>
          <w:i w:val="0"/>
          <w:color w:val="000000"/>
          <w:sz w:val="20"/>
        </w:rPr>
        <w:t>9.2  Governed by Cyprus law. Courts of Cyprus have exclusive jurisdiction.</w:t>
      </w:r>
    </w:p>
    <w:tbl>
      <w:tblPr>
        <w:tblLook w:firstColumn="1" w:firstRow="1" w:lastColumn="0" w:lastRow="0" w:noHBand="0" w:noVBand="1" w:val="04A0"/>
        <w:tblW w:w="7938" w:type="dxa"/>
        <w:tblLayout w:type="fixed"/>
      </w:tblPr>
      <w:tblGrid>
        <w:gridCol w:w="7938"/>
      </w:tblGrid>
      <w:tr>
        <w:tc>
          <w:tcPr>
            <w:shd w:val="clear" w:color="auto" w:fill="FEF3C7"/>
            <w:tcW w:w="7938" w:type="dxa"/>
          </w:tcPr>
          <w:p>
            <w:pPr>
              <w:jc w:val="both"/>
            </w:pPr>
            <w:r>
              <w:rPr>
                <w:rFonts w:ascii="Calibri" w:hAnsi="Calibri"/>
                <w:b/>
                <w:i w:val="0"/>
                <w:color w:val="92400E"/>
                <w:sz w:val="18"/>
              </w:rPr>
              <w:t xml:space="preserve">NATURE OF THIS DOCUMENT:  </w:t>
            </w:r>
            <w:r>
              <w:rPr>
                <w:rFonts w:ascii="Calibri" w:hAnsi="Calibri"/>
                <w:b w:val="0"/>
                <w:i w:val="0"/>
                <w:color w:val="78350F"/>
                <w:sz w:val="18"/>
              </w:rPr>
              <w:t>Non-binding except Clauses 1.3, 7, and 8. Covers Galascope 1 &amp; 2 only. Binding commercial terms are in the executed EPC and companion agreements.</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r>
              <w:rPr>
                <w:rFonts w:ascii="Calibri" w:hAnsi="Calibri"/>
                <w:b/>
                <w:i w:val="0"/>
                <w:color w:val="FFFFFF"/>
                <w:sz w:val="18"/>
              </w:rPr>
              <w:t>For and on behalf of</w:t>
              <w:br/>
              <w:t>Lighthief Cyprus Ltd</w:t>
            </w:r>
          </w:p>
        </w:tc>
        <w:tc>
          <w:tcPr>
            <w:shd w:val="clear" w:color="auto" w:fill="1A365D"/>
            <w:tcW w:w="3969" w:type="dxa"/>
          </w:tcPr>
          <w:p>
            <w:r>
              <w:rPr>
                <w:rFonts w:ascii="Calibri" w:hAnsi="Calibri"/>
                <w:b/>
                <w:i w:val="0"/>
                <w:color w:val="FFFFFF"/>
                <w:sz w:val="18"/>
              </w:rPr>
              <w:t>For and on behalf of</w:t>
              <w:br/>
              <w:t>Galascope Ltd</w:t>
            </w:r>
          </w:p>
        </w:tc>
      </w:tr>
      <w:tr>
        <w:tc>
          <w:tcPr>
            <w:tcW w:w="3969" w:type="dxa"/>
          </w:tcPr>
          <w:p>
            <w:r>
              <w:rPr>
                <w:rFonts w:ascii="Calibri" w:hAnsi="Calibri"/>
                <w:b w:val="0"/>
                <w:i w:val="0"/>
                <w:color w:val="000000"/>
                <w:sz w:val="20"/>
              </w:rPr>
              <w:t>Name:   Alexander Papacosta</w:t>
            </w:r>
          </w:p>
        </w:tc>
        <w:tc>
          <w:tcPr>
            <w:tcW w:w="3969" w:type="dxa"/>
          </w:tcPr>
          <w:p>
            <w:r>
              <w:rPr>
                <w:rFonts w:ascii="Calibri" w:hAnsi="Calibri"/>
                <w:b w:val="0"/>
                <w:i w:val="0"/>
                <w:color w:val="000000"/>
                <w:sz w:val="20"/>
              </w:rPr>
              <w:t>Name:   ___________________________</w:t>
            </w:r>
          </w:p>
        </w:tc>
      </w:tr>
      <w:tr>
        <w:tc>
          <w:tcPr>
            <w:tcW w:w="3969" w:type="dxa"/>
          </w:tcPr>
          <w:p>
            <w:r>
              <w:rPr>
                <w:rFonts w:ascii="Calibri" w:hAnsi="Calibri"/>
                <w:b w:val="0"/>
                <w:i w:val="0"/>
                <w:color w:val="000000"/>
                <w:sz w:val="20"/>
              </w:rPr>
              <w:t>Title:    Managing Director</w:t>
            </w:r>
          </w:p>
        </w:tc>
        <w:tc>
          <w:tcPr>
            <w:tcW w:w="3969" w:type="dxa"/>
          </w:tcPr>
          <w:p>
            <w:r>
              <w:rPr>
                <w:rFonts w:ascii="Calibri" w:hAnsi="Calibri"/>
                <w:b w:val="0"/>
                <w:i w:val="0"/>
                <w:color w:val="000000"/>
                <w:sz w:val="20"/>
              </w:rPr>
              <w:t>Title:    ___________________________</w:t>
            </w:r>
          </w:p>
        </w:tc>
      </w:tr>
      <w:tr>
        <w:tc>
          <w:tcPr>
            <w:tcW w:w="3969" w:type="dxa"/>
          </w:tcPr>
          <w:p>
            <w:r>
              <w:rPr>
                <w:rFonts w:ascii="Calibri" w:hAnsi="Calibri"/>
                <w:b w:val="0"/>
                <w:i w:val="0"/>
                <w:color w:val="000000"/>
                <w:sz w:val="20"/>
              </w:rPr>
              <w:t>Signature:   ___________________________</w:t>
            </w:r>
          </w:p>
        </w:tc>
        <w:tc>
          <w:tcPr>
            <w:tcW w:w="3969" w:type="dxa"/>
          </w:tcPr>
          <w:p>
            <w:r>
              <w:rPr>
                <w:rFonts w:ascii="Calibri" w:hAnsi="Calibri"/>
                <w:b w:val="0"/>
                <w:i w:val="0"/>
                <w:color w:val="000000"/>
                <w:sz w:val="20"/>
              </w:rPr>
              <w:t>Signature:   ___________________________</w:t>
            </w:r>
          </w:p>
        </w:tc>
      </w:tr>
      <w:tr>
        <w:tc>
          <w:tcPr>
            <w:tcW w:w="3969" w:type="dxa"/>
          </w:tcPr>
          <w:p>
            <w:r>
              <w:rPr>
                <w:rFonts w:ascii="Calibri" w:hAnsi="Calibri"/>
                <w:b w:val="0"/>
                <w:i w:val="0"/>
                <w:color w:val="000000"/>
                <w:sz w:val="20"/>
              </w:rPr>
              <w:t>Date:   ___________________________</w:t>
            </w:r>
          </w:p>
        </w:tc>
        <w:tc>
          <w:tcPr>
            <w:tcW w:w="3969" w:type="dxa"/>
          </w:tcPr>
          <w:p>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LCY-LOI-GAL-B1-2026-R15</w:t>
      </w:r>
    </w:p>
    <w:sectPr w:rsidR="00FC693F" w:rsidRPr="0006063C" w:rsidSect="00034616">
      <w:pgSz w:w="12240" w:h="15840"/>
      <w:pgMar w:top="1134" w:right="1417" w:bottom="1134" w:left="1417" w:header="720" w:footer="720" w:gutter="0"/>
      <w:cols w:space="720"/>
      <w:docGrid w:linePitch="360"/>
    </w:sectPr>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r>
            <w:r>
              <w:rPr>
                <w:rFonts w:ascii="Calibri" w:hAnsi="Calibri"/>
                <w:b w:val="0"/>
                <w:i w:val="0"/>
                <w:color w:val="FFFFFF"/>
                <w:sz w:val="16"/>
              </w:rPr>
              <w:t>Ref: LCY-LOI-ESP-PIPELINE-2026-R15</w:t>
              <w:br/>
            </w:r>
            <w:r>
              <w:rPr>
                <w:rFonts w:ascii="Calibri" w:hAnsi="Calibri"/>
                <w:b w:val="0"/>
                <w:i w:val="0"/>
                <w:color w:val="FFFFFF"/>
                <w:sz w:val="16"/>
              </w:rPr>
              <w:t>Date: May 2026</w:t>
              <w:br/>
            </w:r>
            <w:r>
              <w:rPr>
                <w:rFonts w:ascii="Calibri" w:hAnsi="Calibri"/>
                <w:b/>
                <w:i w:val="0"/>
                <w:color w:val="C9A432"/>
                <w:sz w:val="16"/>
              </w:rPr>
              <w:t>STRICTLY CONFIDENTIAL</w:t>
              <w:br/>
            </w:r>
          </w:p>
        </w:tc>
      </w:tr>
    </w:tbl>
    <w:p>
      <w:pPr>
        <w:spacing w:after="40"/>
      </w:pPr>
    </w:p>
    <w:p>
      <w:r>
        <w:rPr>
          <w:rFonts w:ascii="Calibri" w:hAnsi="Calibri"/>
          <w:b/>
          <w:i w:val="0"/>
          <w:color w:val="1A365D"/>
          <w:sz w:val="36"/>
        </w:rPr>
        <w:t>Letter of Intent</w:t>
      </w:r>
    </w:p>
    <w:p>
      <w:r>
        <w:rPr>
          <w:rFonts w:ascii="Calibri" w:hAnsi="Calibri"/>
          <w:b w:val="0"/>
          <w:i/>
          <w:color w:val="404040"/>
          <w:sz w:val="22"/>
        </w:rPr>
        <w:t>Esperia Energy Group — BESS Pipeline Commitment (Schedule 1)</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jc w:val="center"/>
            </w:pPr>
            <w:r>
              <w:rPr>
                <w:rFonts w:ascii="Calibri" w:hAnsi="Calibri"/>
                <w:b/>
                <w:i w:val="0"/>
                <w:color w:val="FFFFFF"/>
                <w:sz w:val="20"/>
              </w:rPr>
              <w:t>Contractor</w:t>
            </w:r>
          </w:p>
        </w:tc>
        <w:tc>
          <w:tcPr>
            <w:tcW w:w="6520" w:type="dxa"/>
          </w:tcPr>
          <w:p>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jc w:val="center"/>
            </w:pPr>
            <w:r>
              <w:rPr>
                <w:rFonts w:ascii="Calibri" w:hAnsi="Calibri"/>
                <w:b/>
                <w:i w:val="0"/>
                <w:color w:val="FFFFFF"/>
                <w:sz w:val="20"/>
              </w:rPr>
              <w:t>Client</w:t>
            </w:r>
          </w:p>
        </w:tc>
        <w:tc>
          <w:tcPr>
            <w:tcW w:w="6520" w:type="dxa"/>
          </w:tcPr>
          <w:p>
            <w:r>
              <w:rPr>
                <w:rFonts w:ascii="Calibri" w:hAnsi="Calibri"/>
                <w:b w:val="0"/>
                <w:i w:val="0"/>
                <w:color w:val="000000"/>
                <w:sz w:val="18"/>
              </w:rPr>
              <w:t>Esperia Energy Group</w:t>
              <w:br/>
              <w:t>Christaki Kranou 18, Limassol 4046, Cyprus</w:t>
              <w:br/>
              <w:t>represented by: Ntinos Konstantinos (Owner)</w:t>
              <w:br/>
              <w:br/>
              <w:t>(hereinafter "the Client")</w:t>
            </w:r>
          </w:p>
        </w:tc>
      </w:tr>
    </w:tbl>
    <w:p>
      <w:pPr>
        <w:spacing w:before="320" w:after="80"/>
      </w:pPr>
      <w:r>
        <w:rPr>
          <w:rFonts w:ascii="Calibri" w:hAnsi="Calibri"/>
          <w:b/>
          <w:i w:val="0"/>
          <w:color w:val="C9A432"/>
          <w:sz w:val="24"/>
        </w:rPr>
        <w:t>RECITALS</w:t>
      </w:r>
    </w:p>
    <w:p>
      <w:pPr>
        <w:jc w:val="both"/>
      </w:pPr>
      <w:r>
        <w:rPr>
          <w:rFonts w:ascii="Calibri" w:hAnsi="Calibri"/>
          <w:b/>
          <w:i w:val="0"/>
          <w:color w:val="1A365D"/>
          <w:sz w:val="20"/>
        </w:rPr>
        <w:t xml:space="preserve">A.  </w:t>
      </w:r>
      <w:r>
        <w:rPr>
          <w:rFonts w:ascii="Calibri" w:hAnsi="Calibri"/>
          <w:b w:val="0"/>
          <w:i w:val="0"/>
          <w:color w:val="000000"/>
          <w:sz w:val="20"/>
        </w:rPr>
        <w:t>Lighthief supplies and installs grid-connected BESS for hybrid PV projects in Cyprus.</w:t>
      </w:r>
    </w:p>
    <w:p>
      <w:pPr>
        <w:jc w:val="both"/>
      </w:pPr>
      <w:r>
        <w:rPr>
          <w:rFonts w:ascii="Calibri" w:hAnsi="Calibri"/>
          <w:b/>
          <w:i w:val="0"/>
          <w:color w:val="1A365D"/>
          <w:sz w:val="20"/>
        </w:rPr>
        <w:t xml:space="preserve">B.  </w:t>
      </w:r>
      <w:r>
        <w:rPr>
          <w:rFonts w:ascii="Calibri" w:hAnsi="Calibri"/>
          <w:b w:val="0"/>
          <w:i w:val="0"/>
          <w:color w:val="000000"/>
          <w:sz w:val="20"/>
        </w:rPr>
        <w:t>The Client (Esperia Energy Group) develops BESS projects in Famagusta, Limassol, and Nicosia.</w:t>
      </w:r>
    </w:p>
    <w:p>
      <w:pPr>
        <w:jc w:val="both"/>
      </w:pPr>
      <w:r>
        <w:rPr>
          <w:rFonts w:ascii="Calibri" w:hAnsi="Calibri"/>
          <w:b/>
          <w:i w:val="0"/>
          <w:color w:val="1A365D"/>
          <w:sz w:val="20"/>
        </w:rPr>
        <w:t xml:space="preserve">C.  </w:t>
      </w:r>
      <w:r>
        <w:rPr>
          <w:rFonts w:ascii="Calibri" w:hAnsi="Calibri"/>
          <w:b w:val="0"/>
          <w:i w:val="0"/>
          <w:color w:val="000000"/>
          <w:sz w:val="20"/>
        </w:rPr>
        <w:t>The Client wishes to commit to the nine (9) pipeline parks in Schedule 1 (75.5 MW / 315.0 MWh). Galascope 1 and Galascope 2 are covered under a separate Letter of Intent with Galascope Ltd (Ref: LCY-LOI-GAL-B1-2026).</w:t>
      </w:r>
    </w:p>
    <w:p>
      <w:pPr>
        <w:spacing w:after="160"/>
        <w:jc w:val="both"/>
      </w:pPr>
      <w:r>
        <w:rPr>
          <w:rFonts w:ascii="Calibri" w:hAnsi="Calibri"/>
          <w:b w:val="0"/>
          <w:i w:val="0"/>
          <w:color w:val="000000"/>
          <w:sz w:val="20"/>
        </w:rPr>
        <w:t>NOW THEREFORE, the Parties agree as follows:</w:t>
      </w:r>
    </w:p>
    <w:p>
      <w:pPr>
        <w:spacing w:before="320" w:after="80"/>
      </w:pPr>
      <w:r>
        <w:rPr>
          <w:rFonts w:ascii="Calibri" w:hAnsi="Calibri"/>
          <w:b/>
          <w:i w:val="0"/>
          <w:color w:val="C9A432"/>
          <w:sz w:val="24"/>
        </w:rPr>
        <w:t>1.   COMMITMENT AND PURPOSE</w:t>
      </w:r>
    </w:p>
    <w:p>
      <w:pPr>
        <w:spacing w:after="100"/>
        <w:jc w:val="both"/>
      </w:pPr>
      <w:r>
        <w:rPr>
          <w:rFonts w:ascii="Calibri" w:hAnsi="Calibri"/>
          <w:b w:val="0"/>
          <w:i w:val="0"/>
          <w:color w:val="000000"/>
          <w:sz w:val="20"/>
        </w:rPr>
        <w:t>1.1  The Client confirms its intention to award BESS EPC contracts to Lighthief for nine (9) parks in Schedule 1 (75.5 MW / 315.0 MWh). Combined indicative value €34,458,823 (excl. VAT), based on Linyang quotation LY202601271 and group-order pricing. This LOI does not include Galascope Ltd parks.</w:t>
      </w:r>
    </w:p>
    <w:p>
      <w:pPr>
        <w:spacing w:after="100"/>
        <w:jc w:val="both"/>
      </w:pPr>
      <w:r>
        <w:rPr>
          <w:rFonts w:ascii="Calibri" w:hAnsi="Calibri"/>
          <w:b w:val="0"/>
          <w:i w:val="0"/>
          <w:color w:val="000000"/>
          <w:sz w:val="20"/>
        </w:rPr>
        <w:t>1.2  This LOI supports Lighthief's procurement and OEM planning. Except where expressly stated as binding below, this LOI is not an obligation to sign any EPC; each phase EPC is binding only when signed.</w:t>
      </w:r>
    </w:p>
    <w:p>
      <w:pPr>
        <w:spacing w:after="100"/>
        <w:jc w:val="both"/>
      </w:pPr>
      <w:r>
        <w:rPr>
          <w:rFonts w:ascii="Calibri" w:hAnsi="Calibri"/>
          <w:b w:val="0"/>
          <w:i w:val="0"/>
          <w:color w:val="000000"/>
          <w:sz w:val="20"/>
        </w:rPr>
        <w:t>1.3  (Binding) If the Client withdraws after Lighthief has relied on this LOI, the Client reimburses third-party costs paid or non-cancellable third-party commitments for Schedule 1 parks (evidenced by invoice or signed contract), unless withdrawal is for a Valid Reason. Total reimbursement under this Clause is capped at €400,000.</w:t>
      </w:r>
    </w:p>
    <w:p>
      <w:pPr>
        <w:spacing w:after="100"/>
        <w:jc w:val="both"/>
      </w:pPr>
      <w:r>
        <w:rPr>
          <w:rFonts w:ascii="Calibri" w:hAnsi="Calibri"/>
          <w:b w:val="0"/>
          <w:i w:val="0"/>
          <w:color w:val="000000"/>
          <w:sz w:val="20"/>
        </w:rPr>
        <w:t>Valid Reason: (a) grid Connection Terms / licence not obtained within twelve (12) months of the EPC Effective Date (or such other longstop as the EPC specifies); (b) change in law or DSO/EAC rules makes installation unlawful or impossible (adviser certificate); (c) mutual written termination; (d) Lighthief material breach not remedied within thirty (30) days; (e) project financing for a park is not secured despite reasonable efforts evidenced in writing; (f) Linyang insolvency or sanctions preventing supply. New third-party spend above €50,000 per park requires the Client's prior written approval.</w:t>
      </w:r>
    </w:p>
    <w:p>
      <w:pPr>
        <w:spacing w:before="320" w:after="80"/>
      </w:pPr>
      <w:r>
        <w:rPr>
          <w:rFonts w:ascii="Calibri" w:hAnsi="Calibri"/>
          <w:b/>
          <w:i w:val="0"/>
          <w:color w:val="C9A432"/>
          <w:sz w:val="24"/>
        </w:rPr>
        <w:t>2.   SCHEDULE 1 — PARKS AND INDICATIVE PRICING</w:t>
      </w:r>
    </w:p>
    <w:tbl>
      <w:tblPr>
        <w:tblLook w:firstColumn="1" w:firstRow="1" w:lastColumn="0" w:lastRow="0" w:noHBand="0" w:noVBand="1" w:val="04A0"/>
        <w:tblW w:w="7936" w:type="dxa"/>
        <w:tblLayout w:type="fixed"/>
      </w:tblPr>
      <w:tblGrid>
        <w:gridCol w:w="1984"/>
        <w:gridCol w:w="1984"/>
        <w:gridCol w:w="1984"/>
        <w:gridCol w:w="1984"/>
      </w:tblGrid>
      <w:tr>
        <w:tc>
          <w:tcPr>
            <w:shd w:val="clear" w:color="auto" w:fill="EBF0F7"/>
            <w:tcW w:w="1984" w:type="dxa"/>
          </w:tcPr>
          <w:p>
            <w:pPr>
              <w:jc w:val="center"/>
            </w:pPr>
            <w:r>
              <w:rPr>
                <w:rFonts w:ascii="Calibri" w:hAnsi="Calibri"/>
                <w:b/>
                <w:i w:val="0"/>
                <w:color w:val="1A365D"/>
                <w:sz w:val="24"/>
              </w:rPr>
              <w:t>9 Parks</w:t>
              <w:br/>
            </w:r>
            <w:r>
              <w:rPr>
                <w:rFonts w:ascii="Calibri" w:hAnsi="Calibri"/>
                <w:b w:val="0"/>
                <w:i w:val="0"/>
                <w:color w:val="404040"/>
                <w:sz w:val="15"/>
              </w:rPr>
              <w:t>Schedule 1 Total</w:t>
            </w:r>
          </w:p>
        </w:tc>
        <w:tc>
          <w:tcPr>
            <w:shd w:val="clear" w:color="auto" w:fill="EBF0F7"/>
            <w:tcW w:w="1984" w:type="dxa"/>
          </w:tcPr>
          <w:p>
            <w:pPr>
              <w:jc w:val="center"/>
            </w:pPr>
            <w:r>
              <w:rPr>
                <w:rFonts w:ascii="Calibri" w:hAnsi="Calibri"/>
                <w:b/>
                <w:i w:val="0"/>
                <w:color w:val="1A365D"/>
                <w:sz w:val="24"/>
              </w:rPr>
              <w:t>75.49 MW</w:t>
              <w:br/>
            </w:r>
            <w:r>
              <w:rPr>
                <w:rFonts w:ascii="Calibri" w:hAnsi="Calibri"/>
                <w:b w:val="0"/>
                <w:i w:val="0"/>
                <w:color w:val="404040"/>
                <w:sz w:val="15"/>
              </w:rPr>
              <w:t>Total BESS Power</w:t>
            </w:r>
          </w:p>
        </w:tc>
        <w:tc>
          <w:tcPr>
            <w:shd w:val="clear" w:color="auto" w:fill="EBF0F7"/>
            <w:tcW w:w="1984" w:type="dxa"/>
          </w:tcPr>
          <w:p>
            <w:pPr>
              <w:jc w:val="center"/>
            </w:pPr>
            <w:r>
              <w:rPr>
                <w:rFonts w:ascii="Calibri" w:hAnsi="Calibri"/>
                <w:b/>
                <w:i w:val="0"/>
                <w:color w:val="1A365D"/>
                <w:sz w:val="24"/>
              </w:rPr>
              <w:t>315.0 MWh</w:t>
              <w:br/>
            </w:r>
            <w:r>
              <w:rPr>
                <w:rFonts w:ascii="Calibri" w:hAnsi="Calibri"/>
                <w:b w:val="0"/>
                <w:i w:val="0"/>
                <w:color w:val="404040"/>
                <w:sz w:val="15"/>
              </w:rPr>
              <w:t>Total BESS Energy</w:t>
            </w:r>
          </w:p>
        </w:tc>
        <w:tc>
          <w:tcPr>
            <w:shd w:val="clear" w:color="auto" w:fill="EBF0F7"/>
            <w:tcW w:w="1984" w:type="dxa"/>
          </w:tcPr>
          <w:p>
            <w:pPr>
              <w:jc w:val="center"/>
            </w:pPr>
            <w:r>
              <w:rPr>
                <w:rFonts w:ascii="Calibri" w:hAnsi="Calibri"/>
                <w:b/>
                <w:i w:val="0"/>
                <w:color w:val="1A365D"/>
                <w:sz w:val="24"/>
              </w:rPr>
              <w:t>€34,458,823</w:t>
              <w:br/>
            </w:r>
            <w:r>
              <w:rPr>
                <w:rFonts w:ascii="Calibri" w:hAnsi="Calibri"/>
                <w:b w:val="0"/>
                <w:i w:val="0"/>
                <w:color w:val="404040"/>
                <w:sz w:val="15"/>
              </w:rPr>
              <w:t>Indicative Value (ex. VAT)</w:t>
            </w:r>
          </w:p>
        </w:tc>
      </w:tr>
    </w:tbl>
    <w:tbl>
      <w:tblPr>
        <w:jc w:val="left"/>
        <w:tblLook w:firstColumn="1" w:firstRow="1" w:lastColumn="0" w:lastRow="0" w:noHBand="0" w:noVBand="1" w:val="04A0"/>
        <w:tblW w:w="7369" w:type="dxa"/>
        <w:tblLayout w:type="fixed"/>
      </w:tblPr>
      <w:tblGrid>
        <w:gridCol w:w="2154"/>
        <w:gridCol w:w="793"/>
        <w:gridCol w:w="567"/>
        <w:gridCol w:w="567"/>
        <w:gridCol w:w="1020"/>
        <w:gridCol w:w="1134"/>
        <w:gridCol w:w="1134"/>
      </w:tblGrid>
      <w:tr>
        <w:tc>
          <w:tcPr>
            <w:shd w:val="clear" w:color="auto" w:fill="1A365D"/>
            <w:vAlign w:val="center"/>
            <w:tcW w:w="2154" w:type="dxa"/>
          </w:tcPr>
          <w:p>
            <w:pPr>
              <w:jc w:val="center"/>
            </w:pPr>
            <w:r>
              <w:rPr>
                <w:rFonts w:ascii="Calibri" w:hAnsi="Calibri"/>
                <w:b/>
                <w:i w:val="0"/>
                <w:color w:val="FFFFFF"/>
                <w:sz w:val="16"/>
              </w:rPr>
              <w:t>Park / Project</w:t>
            </w:r>
          </w:p>
        </w:tc>
        <w:tc>
          <w:tcPr>
            <w:shd w:val="clear" w:color="auto" w:fill="1A365D"/>
            <w:vAlign w:val="center"/>
            <w:tcW w:w="793" w:type="dxa"/>
          </w:tcPr>
          <w:p>
            <w:pPr>
              <w:jc w:val="center"/>
            </w:pPr>
            <w:r>
              <w:rPr>
                <w:rFonts w:ascii="Calibri" w:hAnsi="Calibri"/>
                <w:b/>
                <w:i w:val="0"/>
                <w:color w:val="FFFFFF"/>
                <w:sz w:val="16"/>
              </w:rPr>
              <w:t>District</w:t>
            </w:r>
          </w:p>
        </w:tc>
        <w:tc>
          <w:tcPr>
            <w:shd w:val="clear" w:color="auto" w:fill="1A365D"/>
            <w:vAlign w:val="center"/>
            <w:tcW w:w="567" w:type="dxa"/>
          </w:tcPr>
          <w:p>
            <w:pPr>
              <w:jc w:val="center"/>
            </w:pPr>
            <w:r>
              <w:rPr>
                <w:rFonts w:ascii="Calibri" w:hAnsi="Calibri"/>
                <w:b/>
                <w:i w:val="0"/>
                <w:color w:val="FFFFFF"/>
                <w:sz w:val="16"/>
              </w:rPr>
              <w:t>MW</w:t>
            </w:r>
          </w:p>
        </w:tc>
        <w:tc>
          <w:tcPr>
            <w:shd w:val="clear" w:color="auto" w:fill="1A365D"/>
            <w:vAlign w:val="center"/>
            <w:tcW w:w="567" w:type="dxa"/>
          </w:tcPr>
          <w:p>
            <w:pPr>
              <w:jc w:val="center"/>
            </w:pPr>
            <w:r>
              <w:rPr>
                <w:rFonts w:ascii="Calibri" w:hAnsi="Calibri"/>
                <w:b/>
                <w:i w:val="0"/>
                <w:color w:val="FFFFFF"/>
                <w:sz w:val="16"/>
              </w:rPr>
              <w:t>MWh</w:t>
            </w:r>
          </w:p>
        </w:tc>
        <w:tc>
          <w:tcPr>
            <w:shd w:val="clear" w:color="auto" w:fill="1A365D"/>
            <w:vAlign w:val="center"/>
            <w:tcW w:w="1020" w:type="dxa"/>
          </w:tcPr>
          <w:p>
            <w:pPr>
              <w:jc w:val="center"/>
            </w:pPr>
            <w:r>
              <w:rPr>
                <w:rFonts w:ascii="Calibri" w:hAnsi="Calibri"/>
                <w:b/>
                <w:i w:val="0"/>
                <w:color w:val="FFFFFF"/>
                <w:sz w:val="16"/>
              </w:rPr>
              <w:t>Indicative delivery</w:t>
            </w:r>
          </w:p>
        </w:tc>
        <w:tc>
          <w:tcPr>
            <w:shd w:val="clear" w:color="auto" w:fill="1A365D"/>
            <w:vAlign w:val="center"/>
            <w:tcW w:w="1134" w:type="dxa"/>
          </w:tcPr>
          <w:p>
            <w:pPr>
              <w:jc w:val="center"/>
            </w:pPr>
            <w:r>
              <w:rPr>
                <w:rFonts w:ascii="Calibri" w:hAnsi="Calibri"/>
                <w:b/>
                <w:i w:val="0"/>
                <w:color w:val="FFFFFF"/>
                <w:sz w:val="16"/>
              </w:rPr>
              <w:t>Licence</w:t>
            </w:r>
          </w:p>
        </w:tc>
        <w:tc>
          <w:tcPr>
            <w:shd w:val="clear" w:color="auto" w:fill="1A365D"/>
            <w:vAlign w:val="center"/>
            <w:tcW w:w="1134" w:type="dxa"/>
          </w:tcPr>
          <w:p>
            <w:pPr>
              <w:jc w:val="center"/>
            </w:pPr>
            <w:r>
              <w:rPr>
                <w:rFonts w:ascii="Calibri" w:hAnsi="Calibri"/>
                <w:b/>
                <w:i w:val="0"/>
                <w:color w:val="FFFFFF"/>
                <w:sz w:val="16"/>
              </w:rPr>
              <w:t>Indicative Price (ex. VAT)</w:t>
            </w:r>
          </w:p>
        </w:tc>
      </w:tr>
      <w:tr>
        <w:tc>
          <w:tcPr>
            <w:tcW w:w="2154" w:type="dxa"/>
          </w:tcPr>
          <w:p>
            <w:pPr>
              <w:jc w:val="left"/>
            </w:pPr>
            <w:r>
              <w:rPr>
                <w:rFonts w:ascii="Calibri" w:hAnsi="Calibri"/>
                <w:b w:val="0"/>
                <w:i w:val="0"/>
                <w:color w:val="000000"/>
                <w:sz w:val="17"/>
              </w:rPr>
              <w:t>Esperia Energy (Tseri)</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7.20</w:t>
            </w:r>
          </w:p>
        </w:tc>
        <w:tc>
          <w:tcPr>
            <w:tcW w:w="567" w:type="dxa"/>
          </w:tcPr>
          <w:p>
            <w:pPr>
              <w:jc w:val="right"/>
            </w:pPr>
            <w:r>
              <w:rPr>
                <w:rFonts w:ascii="Calibri" w:hAnsi="Calibri"/>
                <w:b w:val="0"/>
                <w:i w:val="0"/>
                <w:color w:val="000000"/>
                <w:sz w:val="17"/>
              </w:rPr>
              <w:t>25.0</w:t>
            </w:r>
          </w:p>
        </w:tc>
        <w:tc>
          <w:tcPr>
            <w:tcW w:w="1020" w:type="dxa"/>
          </w:tcPr>
          <w:p>
            <w:pPr>
              <w:jc w:val="center"/>
            </w:pPr>
            <w:r>
              <w:rPr>
                <w:rFonts w:ascii="Calibri" w:hAnsi="Calibri"/>
                <w:b w:val="0"/>
                <w:i w:val="0"/>
                <w:color w:val="000000"/>
                <w:sz w:val="17"/>
              </w:rPr>
              <w:t>2026</w:t>
            </w:r>
          </w:p>
        </w:tc>
        <w:tc>
          <w:tcPr>
            <w:tcW w:w="1134" w:type="dxa"/>
          </w:tcPr>
          <w:p>
            <w:pPr>
              <w:jc w:val="center"/>
            </w:pPr>
            <w:r>
              <w:rPr>
                <w:rFonts w:ascii="Calibri" w:hAnsi="Calibri"/>
                <w:b w:val="0"/>
                <w:i w:val="0"/>
                <w:color w:val="000000"/>
                <w:sz w:val="17"/>
              </w:rPr>
              <w:t>Licence ~6 months</w:t>
            </w:r>
          </w:p>
        </w:tc>
        <w:tc>
          <w:tcPr>
            <w:tcW w:w="1134" w:type="dxa"/>
          </w:tcPr>
          <w:p>
            <w:pPr>
              <w:jc w:val="right"/>
            </w:pPr>
            <w:r>
              <w:rPr>
                <w:rFonts w:ascii="Calibri" w:hAnsi="Calibri"/>
                <w:b w:val="0"/>
                <w:i w:val="0"/>
                <w:color w:val="000000"/>
                <w:sz w:val="17"/>
              </w:rPr>
              <w:t>€3,073,225*</w:t>
            </w:r>
          </w:p>
        </w:tc>
      </w:tr>
      <w:tr>
        <w:tc>
          <w:tcPr>
            <w:tcW w:w="2154" w:type="dxa"/>
          </w:tcPr>
          <w:p>
            <w:pPr>
              <w:jc w:val="left"/>
            </w:pPr>
            <w:r>
              <w:rPr>
                <w:rFonts w:ascii="Calibri" w:hAnsi="Calibri"/>
                <w:b w:val="0"/>
                <w:i w:val="0"/>
                <w:color w:val="000000"/>
                <w:sz w:val="17"/>
              </w:rPr>
              <w:t>Esperia Energy (Tseri 2-A)</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2.75</w:t>
            </w:r>
          </w:p>
        </w:tc>
        <w:tc>
          <w:tcPr>
            <w:tcW w:w="567" w:type="dxa"/>
          </w:tcPr>
          <w:p>
            <w:pPr>
              <w:jc w:val="right"/>
            </w:pPr>
            <w:r>
              <w:rPr>
                <w:rFonts w:ascii="Calibri" w:hAnsi="Calibri"/>
                <w:b w:val="0"/>
                <w:i w:val="0"/>
                <w:color w:val="000000"/>
                <w:sz w:val="17"/>
              </w:rPr>
              <w:t>10.0</w:t>
            </w:r>
          </w:p>
        </w:tc>
        <w:tc>
          <w:tcPr>
            <w:tcW w:w="1020" w:type="dxa"/>
          </w:tcPr>
          <w:p>
            <w:pPr>
              <w:jc w:val="center"/>
            </w:pPr>
            <w:r>
              <w:rPr>
                <w:rFonts w:ascii="Calibri" w:hAnsi="Calibri"/>
                <w:b w:val="0"/>
                <w:i w:val="0"/>
                <w:color w:val="000000"/>
                <w:sz w:val="17"/>
              </w:rPr>
              <w:t>Q3 2026</w:t>
            </w:r>
          </w:p>
        </w:tc>
        <w:tc>
          <w:tcPr>
            <w:tcW w:w="1134" w:type="dxa"/>
          </w:tcPr>
          <w:p>
            <w:pPr>
              <w:jc w:val="center"/>
            </w:pPr>
            <w:r>
              <w:rPr>
                <w:rFonts w:ascii="Calibri" w:hAnsi="Calibri"/>
                <w:b w:val="0"/>
                <w:i w:val="0"/>
                <w:color w:val="000000"/>
                <w:sz w:val="17"/>
              </w:rPr>
              <w:t>Fully licensed</w:t>
            </w:r>
          </w:p>
        </w:tc>
        <w:tc>
          <w:tcPr>
            <w:tcW w:w="1134" w:type="dxa"/>
          </w:tcPr>
          <w:p>
            <w:pPr>
              <w:jc w:val="right"/>
            </w:pPr>
            <w:r>
              <w:rPr>
                <w:rFonts w:ascii="Calibri" w:hAnsi="Calibri"/>
                <w:b w:val="0"/>
                <w:i w:val="0"/>
                <w:color w:val="000000"/>
                <w:sz w:val="17"/>
              </w:rPr>
              <w:t>€1,206,300*</w:t>
            </w:r>
          </w:p>
        </w:tc>
      </w:tr>
      <w:tr>
        <w:tc>
          <w:tcPr>
            <w:tcW w:w="2154" w:type="dxa"/>
          </w:tcPr>
          <w:p>
            <w:pPr>
              <w:jc w:val="left"/>
            </w:pPr>
            <w:r>
              <w:rPr>
                <w:rFonts w:ascii="Calibri" w:hAnsi="Calibri"/>
                <w:b w:val="0"/>
                <w:i w:val="0"/>
                <w:color w:val="000000"/>
                <w:sz w:val="17"/>
              </w:rPr>
              <w:t>Esperia Energy (Tseri 3)</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4.75</w:t>
            </w:r>
          </w:p>
        </w:tc>
        <w:tc>
          <w:tcPr>
            <w:tcW w:w="567" w:type="dxa"/>
          </w:tcPr>
          <w:p>
            <w:pPr>
              <w:jc w:val="right"/>
            </w:pPr>
            <w:r>
              <w:rPr>
                <w:rFonts w:ascii="Calibri" w:hAnsi="Calibri"/>
                <w:b w:val="0"/>
                <w:i w:val="0"/>
                <w:color w:val="000000"/>
                <w:sz w:val="17"/>
              </w:rPr>
              <w:t>20.0</w:t>
            </w:r>
          </w:p>
        </w:tc>
        <w:tc>
          <w:tcPr>
            <w:tcW w:w="1020" w:type="dxa"/>
          </w:tcPr>
          <w:p>
            <w:pPr>
              <w:jc w:val="center"/>
            </w:pPr>
            <w:r>
              <w:rPr>
                <w:rFonts w:ascii="Calibri" w:hAnsi="Calibri"/>
                <w:b w:val="0"/>
                <w:i w:val="0"/>
                <w:color w:val="000000"/>
                <w:sz w:val="17"/>
              </w:rPr>
              <w:t>Q3 2026</w:t>
            </w:r>
          </w:p>
        </w:tc>
        <w:tc>
          <w:tcPr>
            <w:tcW w:w="1134" w:type="dxa"/>
          </w:tcPr>
          <w:p>
            <w:pPr>
              <w:jc w:val="center"/>
            </w:pPr>
            <w:r>
              <w:rPr>
                <w:rFonts w:ascii="Calibri" w:hAnsi="Calibri"/>
                <w:b w:val="0"/>
                <w:i w:val="0"/>
                <w:color w:val="000000"/>
                <w:sz w:val="17"/>
              </w:rPr>
              <w:t>Fully licensed</w:t>
            </w:r>
          </w:p>
        </w:tc>
        <w:tc>
          <w:tcPr>
            <w:tcW w:w="1134" w:type="dxa"/>
          </w:tcPr>
          <w:p>
            <w:pPr>
              <w:jc w:val="right"/>
            </w:pPr>
            <w:r>
              <w:rPr>
                <w:rFonts w:ascii="Calibri" w:hAnsi="Calibri"/>
                <w:b w:val="0"/>
                <w:i w:val="0"/>
                <w:color w:val="000000"/>
                <w:sz w:val="17"/>
              </w:rPr>
              <w:t>€2,238,000*</w:t>
            </w:r>
          </w:p>
        </w:tc>
      </w:tr>
      <w:tr>
        <w:tc>
          <w:tcPr>
            <w:tcW w:w="2154" w:type="dxa"/>
          </w:tcPr>
          <w:p>
            <w:pPr>
              <w:jc w:val="left"/>
            </w:pPr>
            <w:r>
              <w:rPr>
                <w:rFonts w:ascii="Calibri" w:hAnsi="Calibri"/>
                <w:b w:val="0"/>
                <w:i w:val="0"/>
                <w:color w:val="000000"/>
                <w:sz w:val="17"/>
              </w:rPr>
              <w:t>Esperia Energy (Famagusta)</w:t>
            </w:r>
          </w:p>
        </w:tc>
        <w:tc>
          <w:tcPr>
            <w:tcW w:w="793" w:type="dxa"/>
          </w:tcPr>
          <w:p>
            <w:pPr>
              <w:jc w:val="center"/>
            </w:pPr>
            <w:r>
              <w:rPr>
                <w:rFonts w:ascii="Calibri" w:hAnsi="Calibri"/>
                <w:b w:val="0"/>
                <w:i w:val="0"/>
                <w:color w:val="000000"/>
                <w:sz w:val="17"/>
              </w:rPr>
              <w:t>Famagusta</w:t>
            </w:r>
          </w:p>
        </w:tc>
        <w:tc>
          <w:tcPr>
            <w:tcW w:w="567" w:type="dxa"/>
          </w:tcPr>
          <w:p>
            <w:pPr>
              <w:jc w:val="right"/>
            </w:pPr>
            <w:r>
              <w:rPr>
                <w:rFonts w:ascii="Calibri" w:hAnsi="Calibri"/>
                <w:b w:val="0"/>
                <w:i w:val="0"/>
                <w:color w:val="000000"/>
                <w:sz w:val="17"/>
              </w:rPr>
              <w:t>6.50</w:t>
            </w:r>
          </w:p>
        </w:tc>
        <w:tc>
          <w:tcPr>
            <w:tcW w:w="567" w:type="dxa"/>
          </w:tcPr>
          <w:p>
            <w:pPr>
              <w:jc w:val="right"/>
            </w:pPr>
            <w:r>
              <w:rPr>
                <w:rFonts w:ascii="Calibri" w:hAnsi="Calibri"/>
                <w:b w:val="0"/>
                <w:i w:val="0"/>
                <w:color w:val="000000"/>
                <w:sz w:val="17"/>
              </w:rPr>
              <w:t>20.0</w:t>
            </w:r>
          </w:p>
        </w:tc>
        <w:tc>
          <w:tcPr>
            <w:tcW w:w="1020" w:type="dxa"/>
          </w:tcPr>
          <w:p>
            <w:pPr>
              <w:jc w:val="center"/>
            </w:pPr>
            <w:r>
              <w:rPr>
                <w:rFonts w:ascii="Calibri" w:hAnsi="Calibri"/>
                <w:b w:val="0"/>
                <w:i w:val="0"/>
                <w:color w:val="000000"/>
                <w:sz w:val="17"/>
              </w:rPr>
              <w:t>Q4 2026</w:t>
            </w:r>
          </w:p>
        </w:tc>
        <w:tc>
          <w:tcPr>
            <w:tcW w:w="1134" w:type="dxa"/>
          </w:tcPr>
          <w:p>
            <w:pPr>
              <w:jc w:val="center"/>
            </w:pPr>
            <w:r>
              <w:rPr>
                <w:rFonts w:ascii="Calibri" w:hAnsi="Calibri"/>
                <w:b w:val="0"/>
                <w:i w:val="0"/>
                <w:color w:val="000000"/>
                <w:sz w:val="17"/>
              </w:rPr>
              <w:t>Per EPC schedule</w:t>
            </w:r>
          </w:p>
        </w:tc>
        <w:tc>
          <w:tcPr>
            <w:tcW w:w="1134" w:type="dxa"/>
          </w:tcPr>
          <w:p>
            <w:pPr>
              <w:jc w:val="right"/>
            </w:pPr>
            <w:r>
              <w:rPr>
                <w:rFonts w:ascii="Calibri" w:hAnsi="Calibri"/>
                <w:b w:val="0"/>
                <w:i w:val="0"/>
                <w:color w:val="000000"/>
                <w:sz w:val="17"/>
              </w:rPr>
              <w:t>€2,374,920*</w:t>
            </w:r>
          </w:p>
        </w:tc>
      </w:tr>
      <w:tr>
        <w:tc>
          <w:tcPr>
            <w:shd w:val="clear" w:color="auto" w:fill="1A365D"/>
            <w:tcW w:w="2154" w:type="dxa"/>
          </w:tcPr>
          <w:p>
            <w:pPr>
              <w:jc w:val="left"/>
            </w:pPr>
            <w:r>
              <w:rPr>
                <w:rFonts w:ascii="Calibri" w:hAnsi="Calibri"/>
                <w:b/>
                <w:i w:val="0"/>
                <w:color w:val="FFFFFF"/>
                <w:sz w:val="17"/>
              </w:rPr>
              <w:t>Batch 1 — 2026 — Subtotal</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21.20</w:t>
            </w:r>
          </w:p>
        </w:tc>
        <w:tc>
          <w:tcPr>
            <w:shd w:val="clear" w:color="auto" w:fill="1A365D"/>
            <w:tcW w:w="567" w:type="dxa"/>
          </w:tcPr>
          <w:p>
            <w:pPr>
              <w:jc w:val="right"/>
            </w:pPr>
            <w:r>
              <w:rPr>
                <w:rFonts w:ascii="Calibri" w:hAnsi="Calibri"/>
                <w:b/>
                <w:i w:val="0"/>
                <w:color w:val="FFFFFF"/>
                <w:sz w:val="17"/>
              </w:rPr>
              <w:t>75.0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€8,892,445</w:t>
            </w:r>
          </w:p>
        </w:tc>
      </w:tr>
      <w:tr>
        <w:tc>
          <w:tcPr>
            <w:tcW w:w="2154" w:type="dxa"/>
          </w:tcPr>
          <w:p>
            <w:pPr>
              <w:jc w:val="left"/>
            </w:pPr>
            <w:r>
              <w:rPr>
                <w:rFonts w:ascii="Calibri" w:hAnsi="Calibri"/>
                <w:b w:val="0"/>
                <w:i w:val="0"/>
                <w:color w:val="000000"/>
                <w:sz w:val="17"/>
              </w:rPr>
              <w:t>Esperia Green Energy (Limassol)</w:t>
            </w:r>
          </w:p>
        </w:tc>
        <w:tc>
          <w:tcPr>
            <w:tcW w:w="793" w:type="dxa"/>
          </w:tcPr>
          <w:p>
            <w:pPr>
              <w:jc w:val="center"/>
            </w:pPr>
            <w:r>
              <w:rPr>
                <w:rFonts w:ascii="Calibri" w:hAnsi="Calibri"/>
                <w:b w:val="0"/>
                <w:i w:val="0"/>
                <w:color w:val="000000"/>
                <w:sz w:val="17"/>
              </w:rPr>
              <w:t>Limassol</w:t>
            </w:r>
          </w:p>
        </w:tc>
        <w:tc>
          <w:tcPr>
            <w:tcW w:w="567" w:type="dxa"/>
          </w:tcPr>
          <w:p>
            <w:pPr>
              <w:jc w:val="right"/>
            </w:pPr>
            <w:r>
              <w:rPr>
                <w:rFonts w:ascii="Calibri" w:hAnsi="Calibri"/>
                <w:b w:val="0"/>
                <w:i w:val="0"/>
                <w:color w:val="000000"/>
                <w:sz w:val="17"/>
              </w:rPr>
              <w:t>8.00</w:t>
            </w:r>
          </w:p>
        </w:tc>
        <w:tc>
          <w:tcPr>
            <w:tcW w:w="567" w:type="dxa"/>
          </w:tcPr>
          <w:p>
            <w:pPr>
              <w:jc w:val="right"/>
            </w:pPr>
            <w:r>
              <w:rPr>
                <w:rFonts w:ascii="Calibri" w:hAnsi="Calibri"/>
                <w:b w:val="0"/>
                <w:i w:val="0"/>
                <w:color w:val="000000"/>
                <w:sz w:val="17"/>
              </w:rPr>
              <w:t>60.0</w:t>
            </w:r>
          </w:p>
        </w:tc>
        <w:tc>
          <w:tcPr>
            <w:tcW w:w="1020" w:type="dxa"/>
          </w:tcPr>
          <w:p>
            <w:pPr>
              <w:jc w:val="center"/>
            </w:pPr>
            <w:r>
              <w:rPr>
                <w:rFonts w:ascii="Calibri" w:hAnsi="Calibri"/>
                <w:b w:val="0"/>
                <w:i w:val="0"/>
                <w:color w:val="000000"/>
                <w:sz w:val="17"/>
              </w:rPr>
              <w:t>Q2 2027</w:t>
            </w:r>
          </w:p>
        </w:tc>
        <w:tc>
          <w:tcPr>
            <w:tcW w:w="1134" w:type="dxa"/>
          </w:tcPr>
          <w:p>
            <w:pPr>
              <w:jc w:val="center"/>
            </w:pPr>
            <w:r>
              <w:rPr>
                <w:rFonts w:ascii="Calibri" w:hAnsi="Calibri"/>
                <w:b w:val="0"/>
                <w:i w:val="0"/>
                <w:color w:val="000000"/>
                <w:sz w:val="17"/>
              </w:rPr>
              <w:t>Per EPC schedule</w:t>
            </w:r>
          </w:p>
        </w:tc>
        <w:tc>
          <w:tcPr>
            <w:tcW w:w="1134" w:type="dxa"/>
          </w:tcPr>
          <w:p>
            <w:pPr>
              <w:jc w:val="right"/>
            </w:pPr>
            <w:r>
              <w:rPr>
                <w:rFonts w:ascii="Calibri" w:hAnsi="Calibri"/>
                <w:b w:val="0"/>
                <w:i w:val="0"/>
                <w:color w:val="000000"/>
                <w:sz w:val="17"/>
              </w:rPr>
              <w:t>€5,644,044</w:t>
            </w:r>
          </w:p>
        </w:tc>
      </w:tr>
      <w:tr>
        <w:tc>
          <w:tcPr>
            <w:tcW w:w="2154" w:type="dxa"/>
          </w:tcPr>
          <w:p>
            <w:pPr>
              <w:jc w:val="left"/>
            </w:pPr>
            <w:r>
              <w:rPr>
                <w:rFonts w:ascii="Calibri" w:hAnsi="Calibri"/>
                <w:b w:val="0"/>
                <w:i w:val="0"/>
                <w:color w:val="000000"/>
                <w:sz w:val="17"/>
              </w:rPr>
              <w:t>Esperia Energy (Tseri 2-B)</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7.99</w:t>
            </w:r>
          </w:p>
        </w:tc>
        <w:tc>
          <w:tcPr>
            <w:tcW w:w="567" w:type="dxa"/>
          </w:tcPr>
          <w:p>
            <w:pPr>
              <w:jc w:val="right"/>
            </w:pPr>
            <w:r>
              <w:rPr>
                <w:rFonts w:ascii="Calibri" w:hAnsi="Calibri"/>
                <w:b w:val="0"/>
                <w:i w:val="0"/>
                <w:color w:val="000000"/>
                <w:sz w:val="17"/>
              </w:rPr>
              <w:t>30.0</w:t>
            </w:r>
          </w:p>
        </w:tc>
        <w:tc>
          <w:tcPr>
            <w:tcW w:w="1020" w:type="dxa"/>
          </w:tcPr>
          <w:p>
            <w:pPr>
              <w:jc w:val="center"/>
            </w:pPr>
            <w:r>
              <w:rPr>
                <w:rFonts w:ascii="Calibri" w:hAnsi="Calibri"/>
                <w:b w:val="0"/>
                <w:i w:val="0"/>
                <w:color w:val="000000"/>
                <w:sz w:val="17"/>
              </w:rPr>
              <w:t>2027</w:t>
            </w:r>
          </w:p>
        </w:tc>
        <w:tc>
          <w:tcPr>
            <w:tcW w:w="1134" w:type="dxa"/>
          </w:tcPr>
          <w:p>
            <w:pPr>
              <w:jc w:val="center"/>
            </w:pPr>
            <w:r>
              <w:rPr>
                <w:rFonts w:ascii="Calibri" w:hAnsi="Calibri"/>
                <w:b w:val="0"/>
                <w:i w:val="0"/>
                <w:color w:val="000000"/>
                <w:sz w:val="17"/>
              </w:rPr>
              <w:t>~9 months from licensing</w:t>
            </w:r>
          </w:p>
        </w:tc>
        <w:tc>
          <w:tcPr>
            <w:tcW w:w="1134" w:type="dxa"/>
          </w:tcPr>
          <w:p>
            <w:pPr>
              <w:jc w:val="right"/>
            </w:pPr>
            <w:r>
              <w:rPr>
                <w:rFonts w:ascii="Calibri" w:hAnsi="Calibri"/>
                <w:b w:val="0"/>
                <w:i w:val="0"/>
                <w:color w:val="000000"/>
                <w:sz w:val="17"/>
              </w:rPr>
              <w:t>€3,687,870*</w:t>
            </w:r>
          </w:p>
        </w:tc>
      </w:tr>
      <w:tr>
        <w:tc>
          <w:tcPr>
            <w:tcW w:w="2154" w:type="dxa"/>
          </w:tcPr>
          <w:p>
            <w:pPr>
              <w:jc w:val="left"/>
            </w:pPr>
            <w:r>
              <w:rPr>
                <w:rFonts w:ascii="Calibri" w:hAnsi="Calibri"/>
                <w:b w:val="0"/>
                <w:i w:val="0"/>
                <w:color w:val="000000"/>
                <w:sz w:val="17"/>
              </w:rPr>
              <w:t>Esperia Energy (Tseri 2-C)</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6.30</w:t>
            </w:r>
          </w:p>
        </w:tc>
        <w:tc>
          <w:tcPr>
            <w:tcW w:w="567" w:type="dxa"/>
          </w:tcPr>
          <w:p>
            <w:pPr>
              <w:jc w:val="right"/>
            </w:pPr>
            <w:r>
              <w:rPr>
                <w:rFonts w:ascii="Calibri" w:hAnsi="Calibri"/>
                <w:b w:val="0"/>
                <w:i w:val="0"/>
                <w:color w:val="000000"/>
                <w:sz w:val="17"/>
              </w:rPr>
              <w:t>25.0</w:t>
            </w:r>
          </w:p>
        </w:tc>
        <w:tc>
          <w:tcPr>
            <w:tcW w:w="1020" w:type="dxa"/>
          </w:tcPr>
          <w:p>
            <w:pPr>
              <w:jc w:val="center"/>
            </w:pPr>
            <w:r>
              <w:rPr>
                <w:rFonts w:ascii="Calibri" w:hAnsi="Calibri"/>
                <w:b w:val="0"/>
                <w:i w:val="0"/>
                <w:color w:val="000000"/>
                <w:sz w:val="17"/>
              </w:rPr>
              <w:t>2027</w:t>
            </w:r>
          </w:p>
        </w:tc>
        <w:tc>
          <w:tcPr>
            <w:tcW w:w="1134" w:type="dxa"/>
          </w:tcPr>
          <w:p>
            <w:pPr>
              <w:jc w:val="center"/>
            </w:pPr>
            <w:r>
              <w:rPr>
                <w:rFonts w:ascii="Calibri" w:hAnsi="Calibri"/>
                <w:b w:val="0"/>
                <w:i w:val="0"/>
                <w:color w:val="000000"/>
                <w:sz w:val="17"/>
              </w:rPr>
              <w:t>Licence ~6 months</w:t>
            </w:r>
          </w:p>
        </w:tc>
        <w:tc>
          <w:tcPr>
            <w:tcW w:w="1134" w:type="dxa"/>
          </w:tcPr>
          <w:p>
            <w:pPr>
              <w:jc w:val="right"/>
            </w:pPr>
            <w:r>
              <w:rPr>
                <w:rFonts w:ascii="Calibri" w:hAnsi="Calibri"/>
                <w:b w:val="0"/>
                <w:i w:val="0"/>
                <w:color w:val="000000"/>
                <w:sz w:val="17"/>
              </w:rPr>
              <w:t>€3,073,225*</w:t>
            </w:r>
          </w:p>
        </w:tc>
      </w:tr>
      <w:tr>
        <w:tc>
          <w:tcPr>
            <w:shd w:val="clear" w:color="auto" w:fill="1A365D"/>
            <w:tcW w:w="2154" w:type="dxa"/>
          </w:tcPr>
          <w:p>
            <w:pPr>
              <w:jc w:val="left"/>
            </w:pPr>
            <w:r>
              <w:rPr>
                <w:rFonts w:ascii="Calibri" w:hAnsi="Calibri"/>
                <w:b/>
                <w:i w:val="0"/>
                <w:color w:val="FFFFFF"/>
                <w:sz w:val="17"/>
              </w:rPr>
              <w:t>Batch 2 — 2027 — Subtotal</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22.29</w:t>
            </w:r>
          </w:p>
        </w:tc>
        <w:tc>
          <w:tcPr>
            <w:shd w:val="clear" w:color="auto" w:fill="1A365D"/>
            <w:tcW w:w="567" w:type="dxa"/>
          </w:tcPr>
          <w:p>
            <w:pPr>
              <w:jc w:val="right"/>
            </w:pPr>
            <w:r>
              <w:rPr>
                <w:rFonts w:ascii="Calibri" w:hAnsi="Calibri"/>
                <w:b/>
                <w:i w:val="0"/>
                <w:color w:val="FFFFFF"/>
                <w:sz w:val="17"/>
              </w:rPr>
              <w:t>115.0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€12,405,139</w:t>
            </w:r>
          </w:p>
        </w:tc>
      </w:tr>
      <w:tr>
        <w:tc>
          <w:tcPr>
            <w:tcW w:w="2154" w:type="dxa"/>
          </w:tcPr>
          <w:p>
            <w:pPr>
              <w:jc w:val="left"/>
            </w:pPr>
            <w:r>
              <w:rPr>
                <w:rFonts w:ascii="Calibri" w:hAnsi="Calibri"/>
                <w:b w:val="0"/>
                <w:i w:val="0"/>
                <w:color w:val="000000"/>
                <w:sz w:val="17"/>
              </w:rPr>
              <w:t>Esperia Energy (Frenaros)</w:t>
            </w:r>
          </w:p>
        </w:tc>
        <w:tc>
          <w:tcPr>
            <w:tcW w:w="793" w:type="dxa"/>
          </w:tcPr>
          <w:p>
            <w:pPr>
              <w:jc w:val="center"/>
            </w:pPr>
            <w:r>
              <w:rPr>
                <w:rFonts w:ascii="Calibri" w:hAnsi="Calibri"/>
                <w:b w:val="0"/>
                <w:i w:val="0"/>
                <w:color w:val="000000"/>
                <w:sz w:val="17"/>
              </w:rPr>
              <w:t>Famagusta</w:t>
            </w:r>
          </w:p>
        </w:tc>
        <w:tc>
          <w:tcPr>
            <w:tcW w:w="567" w:type="dxa"/>
          </w:tcPr>
          <w:p>
            <w:pPr>
              <w:jc w:val="right"/>
            </w:pPr>
            <w:r>
              <w:rPr>
                <w:rFonts w:ascii="Calibri" w:hAnsi="Calibri"/>
                <w:b w:val="0"/>
                <w:i w:val="0"/>
                <w:color w:val="000000"/>
                <w:sz w:val="17"/>
              </w:rPr>
              <w:t>25.00</w:t>
            </w:r>
          </w:p>
        </w:tc>
        <w:tc>
          <w:tcPr>
            <w:tcW w:w="567" w:type="dxa"/>
          </w:tcPr>
          <w:p>
            <w:pPr>
              <w:jc w:val="right"/>
            </w:pPr>
            <w:r>
              <w:rPr>
                <w:rFonts w:ascii="Calibri" w:hAnsi="Calibri"/>
                <w:b w:val="0"/>
                <w:i w:val="0"/>
                <w:color w:val="000000"/>
                <w:sz w:val="17"/>
              </w:rPr>
              <w:t>100.0</w:t>
            </w:r>
          </w:p>
        </w:tc>
        <w:tc>
          <w:tcPr>
            <w:tcW w:w="1020" w:type="dxa"/>
          </w:tcPr>
          <w:p>
            <w:pPr>
              <w:jc w:val="center"/>
            </w:pPr>
            <w:r>
              <w:rPr>
                <w:rFonts w:ascii="Calibri" w:hAnsi="Calibri"/>
                <w:b w:val="0"/>
                <w:i w:val="0"/>
                <w:color w:val="000000"/>
                <w:sz w:val="17"/>
              </w:rPr>
              <w:t>Q2 2028</w:t>
            </w:r>
          </w:p>
        </w:tc>
        <w:tc>
          <w:tcPr>
            <w:tcW w:w="1134" w:type="dxa"/>
          </w:tcPr>
          <w:p>
            <w:pPr>
              <w:jc w:val="center"/>
            </w:pPr>
            <w:r>
              <w:rPr>
                <w:rFonts w:ascii="Calibri" w:hAnsi="Calibri"/>
                <w:b w:val="0"/>
                <w:i w:val="0"/>
                <w:color w:val="000000"/>
                <w:sz w:val="17"/>
              </w:rPr>
              <w:t>Per EPC schedule</w:t>
            </w:r>
          </w:p>
        </w:tc>
        <w:tc>
          <w:tcPr>
            <w:tcW w:w="1134" w:type="dxa"/>
          </w:tcPr>
          <w:p>
            <w:pPr>
              <w:jc w:val="right"/>
            </w:pPr>
            <w:r>
              <w:rPr>
                <w:rFonts w:ascii="Calibri" w:hAnsi="Calibri"/>
                <w:b w:val="0"/>
                <w:i w:val="0"/>
                <w:color w:val="000000"/>
                <w:sz w:val="17"/>
              </w:rPr>
              <w:t>€10,088,014</w:t>
            </w:r>
          </w:p>
        </w:tc>
      </w:tr>
      <w:tr>
        <w:tc>
          <w:tcPr>
            <w:tcW w:w="2154" w:type="dxa"/>
          </w:tcPr>
          <w:p>
            <w:pPr>
              <w:jc w:val="left"/>
            </w:pPr>
            <w:r>
              <w:rPr>
                <w:rFonts w:ascii="Calibri" w:hAnsi="Calibri"/>
                <w:b w:val="0"/>
                <w:i w:val="0"/>
                <w:color w:val="000000"/>
                <w:sz w:val="17"/>
              </w:rPr>
              <w:t>Esperia Green Energy (Famagusta 2)</w:t>
            </w:r>
          </w:p>
        </w:tc>
        <w:tc>
          <w:tcPr>
            <w:tcW w:w="793" w:type="dxa"/>
          </w:tcPr>
          <w:p>
            <w:pPr>
              <w:jc w:val="center"/>
            </w:pPr>
            <w:r>
              <w:rPr>
                <w:rFonts w:ascii="Calibri" w:hAnsi="Calibri"/>
                <w:b w:val="0"/>
                <w:i w:val="0"/>
                <w:color w:val="000000"/>
                <w:sz w:val="17"/>
              </w:rPr>
              <w:t>Famagusta</w:t>
            </w:r>
          </w:p>
        </w:tc>
        <w:tc>
          <w:tcPr>
            <w:tcW w:w="567" w:type="dxa"/>
          </w:tcPr>
          <w:p>
            <w:pPr>
              <w:jc w:val="right"/>
            </w:pPr>
            <w:r>
              <w:rPr>
                <w:rFonts w:ascii="Calibri" w:hAnsi="Calibri"/>
                <w:b w:val="0"/>
                <w:i w:val="0"/>
                <w:color w:val="000000"/>
                <w:sz w:val="17"/>
              </w:rPr>
              <w:t>7.00</w:t>
            </w:r>
          </w:p>
        </w:tc>
        <w:tc>
          <w:tcPr>
            <w:tcW w:w="567" w:type="dxa"/>
          </w:tcPr>
          <w:p>
            <w:pPr>
              <w:jc w:val="right"/>
            </w:pPr>
            <w:r>
              <w:rPr>
                <w:rFonts w:ascii="Calibri" w:hAnsi="Calibri"/>
                <w:b w:val="0"/>
                <w:i w:val="0"/>
                <w:color w:val="000000"/>
                <w:sz w:val="17"/>
              </w:rPr>
              <w:t>25.0</w:t>
            </w:r>
          </w:p>
        </w:tc>
        <w:tc>
          <w:tcPr>
            <w:tcW w:w="1020" w:type="dxa"/>
          </w:tcPr>
          <w:p>
            <w:pPr>
              <w:jc w:val="center"/>
            </w:pPr>
            <w:r>
              <w:rPr>
                <w:rFonts w:ascii="Calibri" w:hAnsi="Calibri"/>
                <w:b w:val="0"/>
                <w:i w:val="0"/>
                <w:color w:val="000000"/>
                <w:sz w:val="17"/>
              </w:rPr>
              <w:t>Q2 2028</w:t>
            </w:r>
          </w:p>
        </w:tc>
        <w:tc>
          <w:tcPr>
            <w:tcW w:w="1134" w:type="dxa"/>
          </w:tcPr>
          <w:p>
            <w:pPr>
              <w:jc w:val="center"/>
            </w:pPr>
            <w:r>
              <w:rPr>
                <w:rFonts w:ascii="Calibri" w:hAnsi="Calibri"/>
                <w:b w:val="0"/>
                <w:i w:val="0"/>
                <w:color w:val="000000"/>
                <w:sz w:val="17"/>
              </w:rPr>
              <w:t>Phase 2</w:t>
            </w:r>
          </w:p>
        </w:tc>
        <w:tc>
          <w:tcPr>
            <w:tcW w:w="1134" w:type="dxa"/>
          </w:tcPr>
          <w:p>
            <w:pPr>
              <w:jc w:val="right"/>
            </w:pPr>
            <w:r>
              <w:rPr>
                <w:rFonts w:ascii="Calibri" w:hAnsi="Calibri"/>
                <w:b w:val="0"/>
                <w:i w:val="0"/>
                <w:color w:val="000000"/>
                <w:sz w:val="17"/>
              </w:rPr>
              <w:t>€3,073,225*</w:t>
            </w:r>
          </w:p>
        </w:tc>
      </w:tr>
      <w:tr>
        <w:tc>
          <w:tcPr>
            <w:shd w:val="clear" w:color="auto" w:fill="1A365D"/>
            <w:tcW w:w="2154" w:type="dxa"/>
          </w:tcPr>
          <w:p>
            <w:pPr>
              <w:jc w:val="left"/>
            </w:pPr>
            <w:r>
              <w:rPr>
                <w:rFonts w:ascii="Calibri" w:hAnsi="Calibri"/>
                <w:b/>
                <w:i w:val="0"/>
                <w:color w:val="FFFFFF"/>
                <w:sz w:val="17"/>
              </w:rPr>
              <w:t>Batch 3 — 2028 — Subtotal</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32.00</w:t>
            </w:r>
          </w:p>
        </w:tc>
        <w:tc>
          <w:tcPr>
            <w:shd w:val="clear" w:color="auto" w:fill="1A365D"/>
            <w:tcW w:w="567" w:type="dxa"/>
          </w:tcPr>
          <w:p>
            <w:pPr>
              <w:jc w:val="right"/>
            </w:pPr>
            <w:r>
              <w:rPr>
                <w:rFonts w:ascii="Calibri" w:hAnsi="Calibri"/>
                <w:b/>
                <w:i w:val="0"/>
                <w:color w:val="FFFFFF"/>
                <w:sz w:val="17"/>
              </w:rPr>
              <w:t>125.0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€13,161,239</w:t>
            </w:r>
          </w:p>
        </w:tc>
      </w:tr>
      <w:tr>
        <w:tc>
          <w:tcPr>
            <w:shd w:val="clear" w:color="auto" w:fill="1A365D"/>
            <w:tcW w:w="2154" w:type="dxa"/>
          </w:tcPr>
          <w:p>
            <w:pPr>
              <w:jc w:val="left"/>
            </w:pPr>
            <w:r>
              <w:rPr>
                <w:rFonts w:ascii="Calibri" w:hAnsi="Calibri"/>
                <w:b/>
                <w:i w:val="0"/>
                <w:color w:val="FFFFFF"/>
                <w:sz w:val="17"/>
              </w:rPr>
              <w:t>TOTAL SCHEDULE 1  (9 pipeline parks)</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75.49</w:t>
            </w:r>
          </w:p>
        </w:tc>
        <w:tc>
          <w:tcPr>
            <w:shd w:val="clear" w:color="auto" w:fill="1A365D"/>
            <w:tcW w:w="567" w:type="dxa"/>
          </w:tcPr>
          <w:p>
            <w:pPr>
              <w:jc w:val="right"/>
            </w:pPr>
            <w:r>
              <w:rPr>
                <w:rFonts w:ascii="Calibri" w:hAnsi="Calibri"/>
                <w:b/>
                <w:i w:val="0"/>
                <w:color w:val="FFFFFF"/>
                <w:sz w:val="17"/>
              </w:rPr>
              <w:t>315.0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€34,458,823</w:t>
            </w:r>
          </w:p>
        </w:tc>
      </w:tr>
    </w:tbl>
    <w:p>
      <w:pPr>
        <w:spacing w:after="80"/>
        <w:jc w:val="both"/>
      </w:pPr>
      <w:r>
        <w:rPr>
          <w:rFonts w:ascii="Calibri" w:hAnsi="Calibri"/>
          <w:b w:val="0"/>
          <w:i w:val="0"/>
          <w:color w:val="404040"/>
          <w:sz w:val="18"/>
        </w:rPr>
        <w:t>* Indicative Prices marked * use the nearest Linyang configuration (LY202601271) where MW/MWh is not an exact quoted line: Tseri, Tseri 2-A, Tseri 3, Famagusta, Tseri 2-B, Tseri 2-C, Famagusta 2. Limassol and Frenaros are exact LY lines.</w:t>
      </w:r>
    </w:p>
    <w:p>
      <w:pPr>
        <w:spacing w:before="320" w:after="80"/>
      </w:pPr>
      <w:r>
        <w:rPr>
          <w:rFonts w:ascii="Calibri" w:hAnsi="Calibri"/>
          <w:b/>
          <w:i w:val="0"/>
          <w:color w:val="C9A432"/>
          <w:sz w:val="24"/>
        </w:rPr>
        <w:t>3.   INDICATIVE PROGRAMME</w:t>
      </w:r>
    </w:p>
    <w:tbl>
      <w:tblPr>
        <w:tblLook w:firstColumn="1" w:firstRow="1" w:lastColumn="0" w:lastRow="0" w:noHBand="0" w:noVBand="1" w:val="04A0"/>
        <w:tblW w:w="7370" w:type="dxa"/>
        <w:tblLayout w:type="fixed"/>
      </w:tblPr>
      <w:tblGrid>
        <w:gridCol w:w="3118"/>
        <w:gridCol w:w="567"/>
        <w:gridCol w:w="680"/>
        <w:gridCol w:w="1134"/>
        <w:gridCol w:w="1871"/>
      </w:tblGrid>
      <w:tr>
        <w:tc>
          <w:tcPr>
            <w:shd w:val="clear" w:color="auto" w:fill="1A365D"/>
            <w:vAlign w:val="center"/>
            <w:tcW w:w="3118" w:type="dxa"/>
          </w:tcPr>
          <w:p>
            <w:pPr>
              <w:jc w:val="center"/>
            </w:pPr>
            <w:r>
              <w:rPr>
                <w:rFonts w:ascii="Calibri" w:hAnsi="Calibri"/>
                <w:b/>
                <w:i w:val="0"/>
                <w:color w:val="FFFFFF"/>
                <w:sz w:val="16"/>
              </w:rPr>
              <w:t>Batch / Phase</w:t>
            </w:r>
          </w:p>
        </w:tc>
        <w:tc>
          <w:tcPr>
            <w:shd w:val="clear" w:color="auto" w:fill="1A365D"/>
            <w:vAlign w:val="center"/>
            <w:tcW w:w="567" w:type="dxa"/>
          </w:tcPr>
          <w:p>
            <w:pPr>
              <w:jc w:val="center"/>
            </w:pPr>
            <w:r>
              <w:rPr>
                <w:rFonts w:ascii="Calibri" w:hAnsi="Calibri"/>
                <w:b/>
                <w:i w:val="0"/>
                <w:color w:val="FFFFFF"/>
                <w:sz w:val="16"/>
              </w:rPr>
              <w:t>Parks</w:t>
            </w:r>
          </w:p>
        </w:tc>
        <w:tc>
          <w:tcPr>
            <w:shd w:val="clear" w:color="auto" w:fill="1A365D"/>
            <w:vAlign w:val="center"/>
            <w:tcW w:w="680" w:type="dxa"/>
          </w:tcPr>
          <w:p>
            <w:pPr>
              <w:jc w:val="center"/>
            </w:pPr>
            <w:r>
              <w:rPr>
                <w:rFonts w:ascii="Calibri" w:hAnsi="Calibri"/>
                <w:b/>
                <w:i w:val="0"/>
                <w:color w:val="FFFFFF"/>
                <w:sz w:val="16"/>
              </w:rPr>
              <w:t>MWh</w:t>
            </w:r>
          </w:p>
        </w:tc>
        <w:tc>
          <w:tcPr>
            <w:shd w:val="clear" w:color="auto" w:fill="1A365D"/>
            <w:vAlign w:val="center"/>
            <w:tcW w:w="1134" w:type="dxa"/>
          </w:tcPr>
          <w:p>
            <w:pPr>
              <w:jc w:val="center"/>
            </w:pPr>
            <w:r>
              <w:rPr>
                <w:rFonts w:ascii="Calibri" w:hAnsi="Calibri"/>
                <w:b/>
                <w:i w:val="0"/>
                <w:color w:val="FFFFFF"/>
                <w:sz w:val="16"/>
              </w:rPr>
              <w:t>EPC target</w:t>
            </w:r>
          </w:p>
        </w:tc>
        <w:tc>
          <w:tcPr>
            <w:shd w:val="clear" w:color="auto" w:fill="1A365D"/>
            <w:vAlign w:val="center"/>
            <w:tcW w:w="1871" w:type="dxa"/>
          </w:tcPr>
          <w:p>
            <w:pPr>
              <w:jc w:val="center"/>
            </w:pPr>
            <w:r>
              <w:rPr>
                <w:rFonts w:ascii="Calibri" w:hAnsi="Calibri"/>
                <w:b/>
                <w:i w:val="0"/>
                <w:color w:val="FFFFFF"/>
                <w:sz w:val="16"/>
              </w:rPr>
              <w:t>Indicative value (ex VAT)</w:t>
            </w:r>
          </w:p>
        </w:tc>
      </w:tr>
      <w:tr>
        <w:tc>
          <w:tcPr>
            <w:tcW w:w="3118" w:type="dxa"/>
          </w:tcPr>
          <w:p>
            <w:pPr>
              <w:jc w:val="left"/>
            </w:pPr>
            <w:r>
              <w:rPr>
                <w:rFonts w:ascii="Calibri" w:hAnsi="Calibri"/>
                <w:b w:val="0"/>
                <w:i w:val="0"/>
                <w:color w:val="000000"/>
                <w:sz w:val="17"/>
              </w:rPr>
              <w:t>Batch 1 — 2026</w:t>
            </w:r>
          </w:p>
        </w:tc>
        <w:tc>
          <w:tcPr>
            <w:tcW w:w="567" w:type="dxa"/>
          </w:tcPr>
          <w:p>
            <w:pPr>
              <w:jc w:val="center"/>
            </w:pPr>
            <w:r>
              <w:rPr>
                <w:rFonts w:ascii="Calibri" w:hAnsi="Calibri"/>
                <w:b w:val="0"/>
                <w:i w:val="0"/>
                <w:color w:val="000000"/>
                <w:sz w:val="17"/>
              </w:rPr>
              <w:t>4</w:t>
            </w:r>
          </w:p>
        </w:tc>
        <w:tc>
          <w:tcPr>
            <w:tcW w:w="680" w:type="dxa"/>
          </w:tcPr>
          <w:p>
            <w:pPr>
              <w:jc w:val="right"/>
            </w:pPr>
            <w:r>
              <w:rPr>
                <w:rFonts w:ascii="Calibri" w:hAnsi="Calibri"/>
                <w:b w:val="0"/>
                <w:i w:val="0"/>
                <w:color w:val="000000"/>
                <w:sz w:val="17"/>
              </w:rPr>
              <w:t>75.0</w:t>
            </w:r>
          </w:p>
        </w:tc>
        <w:tc>
          <w:tcPr>
            <w:tcW w:w="1134" w:type="dxa"/>
          </w:tcPr>
          <w:p>
            <w:pPr>
              <w:jc w:val="right"/>
            </w:pPr>
            <w:r>
              <w:rPr>
                <w:rFonts w:ascii="Calibri" w:hAnsi="Calibri"/>
                <w:b w:val="0"/>
                <w:i w:val="0"/>
                <w:color w:val="000000"/>
                <w:sz w:val="17"/>
              </w:rPr>
              <w:t>2026 (per park)</w:t>
            </w:r>
          </w:p>
        </w:tc>
        <w:tc>
          <w:tcPr>
            <w:tcW w:w="1871" w:type="dxa"/>
          </w:tcPr>
          <w:p>
            <w:pPr>
              <w:jc w:val="right"/>
            </w:pPr>
            <w:r>
              <w:rPr>
                <w:rFonts w:ascii="Calibri" w:hAnsi="Calibri"/>
                <w:b w:val="0"/>
                <w:i w:val="0"/>
                <w:color w:val="000000"/>
                <w:sz w:val="17"/>
              </w:rPr>
              <w:t>€8,892,445</w:t>
            </w:r>
          </w:p>
        </w:tc>
      </w:tr>
      <w:tr>
        <w:tc>
          <w:tcPr>
            <w:tcW w:w="3118" w:type="dxa"/>
          </w:tcPr>
          <w:p>
            <w:pPr>
              <w:jc w:val="left"/>
            </w:pPr>
            <w:r>
              <w:rPr>
                <w:rFonts w:ascii="Calibri" w:hAnsi="Calibri"/>
                <w:b w:val="0"/>
                <w:i w:val="0"/>
                <w:color w:val="000000"/>
                <w:sz w:val="17"/>
              </w:rPr>
              <w:t>Batch 2 — 2027</w:t>
            </w:r>
          </w:p>
        </w:tc>
        <w:tc>
          <w:tcPr>
            <w:tcW w:w="567" w:type="dxa"/>
          </w:tcPr>
          <w:p>
            <w:pPr>
              <w:jc w:val="center"/>
            </w:pPr>
            <w:r>
              <w:rPr>
                <w:rFonts w:ascii="Calibri" w:hAnsi="Calibri"/>
                <w:b w:val="0"/>
                <w:i w:val="0"/>
                <w:color w:val="000000"/>
                <w:sz w:val="17"/>
              </w:rPr>
              <w:t>3</w:t>
            </w:r>
          </w:p>
        </w:tc>
        <w:tc>
          <w:tcPr>
            <w:tcW w:w="680" w:type="dxa"/>
          </w:tcPr>
          <w:p>
            <w:pPr>
              <w:jc w:val="right"/>
            </w:pPr>
            <w:r>
              <w:rPr>
                <w:rFonts w:ascii="Calibri" w:hAnsi="Calibri"/>
                <w:b w:val="0"/>
                <w:i w:val="0"/>
                <w:color w:val="000000"/>
                <w:sz w:val="17"/>
              </w:rPr>
              <w:t>115.0</w:t>
            </w:r>
          </w:p>
        </w:tc>
        <w:tc>
          <w:tcPr>
            <w:tcW w:w="1134" w:type="dxa"/>
          </w:tcPr>
          <w:p>
            <w:pPr>
              <w:jc w:val="right"/>
            </w:pPr>
            <w:r>
              <w:rPr>
                <w:rFonts w:ascii="Calibri" w:hAnsi="Calibri"/>
                <w:b w:val="0"/>
                <w:i w:val="0"/>
                <w:color w:val="000000"/>
                <w:sz w:val="17"/>
              </w:rPr>
              <w:t>2027 (per park)</w:t>
            </w:r>
          </w:p>
        </w:tc>
        <w:tc>
          <w:tcPr>
            <w:tcW w:w="1871" w:type="dxa"/>
          </w:tcPr>
          <w:p>
            <w:pPr>
              <w:jc w:val="right"/>
            </w:pPr>
            <w:r>
              <w:rPr>
                <w:rFonts w:ascii="Calibri" w:hAnsi="Calibri"/>
                <w:b w:val="0"/>
                <w:i w:val="0"/>
                <w:color w:val="000000"/>
                <w:sz w:val="17"/>
              </w:rPr>
              <w:t>€12,405,139</w:t>
            </w:r>
          </w:p>
        </w:tc>
      </w:tr>
      <w:tr>
        <w:tc>
          <w:tcPr>
            <w:tcW w:w="3118" w:type="dxa"/>
          </w:tcPr>
          <w:p>
            <w:pPr>
              <w:jc w:val="left"/>
            </w:pPr>
            <w:r>
              <w:rPr>
                <w:rFonts w:ascii="Calibri" w:hAnsi="Calibri"/>
                <w:b w:val="0"/>
                <w:i w:val="0"/>
                <w:color w:val="000000"/>
                <w:sz w:val="17"/>
              </w:rPr>
              <w:t>Batch 3 — 2028</w:t>
            </w:r>
          </w:p>
        </w:tc>
        <w:tc>
          <w:tcPr>
            <w:tcW w:w="567" w:type="dxa"/>
          </w:tcPr>
          <w:p>
            <w:pPr>
              <w:jc w:val="center"/>
            </w:pPr>
            <w:r>
              <w:rPr>
                <w:rFonts w:ascii="Calibri" w:hAnsi="Calibri"/>
                <w:b w:val="0"/>
                <w:i w:val="0"/>
                <w:color w:val="000000"/>
                <w:sz w:val="17"/>
              </w:rPr>
              <w:t>2</w:t>
            </w:r>
          </w:p>
        </w:tc>
        <w:tc>
          <w:tcPr>
            <w:tcW w:w="680" w:type="dxa"/>
          </w:tcPr>
          <w:p>
            <w:pPr>
              <w:jc w:val="right"/>
            </w:pPr>
            <w:r>
              <w:rPr>
                <w:rFonts w:ascii="Calibri" w:hAnsi="Calibri"/>
                <w:b w:val="0"/>
                <w:i w:val="0"/>
                <w:color w:val="000000"/>
                <w:sz w:val="17"/>
              </w:rPr>
              <w:t>125.0</w:t>
            </w:r>
          </w:p>
        </w:tc>
        <w:tc>
          <w:tcPr>
            <w:tcW w:w="1134" w:type="dxa"/>
          </w:tcPr>
          <w:p>
            <w:pPr>
              <w:jc w:val="right"/>
            </w:pPr>
            <w:r>
              <w:rPr>
                <w:rFonts w:ascii="Calibri" w:hAnsi="Calibri"/>
                <w:b w:val="0"/>
                <w:i w:val="0"/>
                <w:color w:val="000000"/>
                <w:sz w:val="17"/>
              </w:rPr>
              <w:t>Q2 2028</w:t>
            </w:r>
          </w:p>
        </w:tc>
        <w:tc>
          <w:tcPr>
            <w:tcW w:w="1871" w:type="dxa"/>
          </w:tcPr>
          <w:p>
            <w:pPr>
              <w:jc w:val="right"/>
            </w:pPr>
            <w:r>
              <w:rPr>
                <w:rFonts w:ascii="Calibri" w:hAnsi="Calibri"/>
                <w:b w:val="0"/>
                <w:i w:val="0"/>
                <w:color w:val="000000"/>
                <w:sz w:val="17"/>
              </w:rPr>
              <w:t>€13,161,239</w:t>
            </w:r>
          </w:p>
        </w:tc>
      </w:tr>
    </w:tbl>
    <w:p>
      <w:pPr>
        <w:spacing w:before="320" w:after="80"/>
      </w:pPr>
      <w:r>
        <w:rPr>
          <w:rFonts w:ascii="Calibri" w:hAnsi="Calibri"/>
          <w:b/>
          <w:i w:val="0"/>
          <w:color w:val="C9A432"/>
          <w:sz w:val="24"/>
        </w:rPr>
        <w:t>4.   COMMERCIAL SUMMARY</w:t>
      </w:r>
    </w:p>
    <w:p>
      <w:pPr>
        <w:spacing w:after="100"/>
        <w:jc w:val="both"/>
      </w:pPr>
      <w:r>
        <w:rPr>
          <w:rFonts w:ascii="Calibri" w:hAnsi="Calibri"/>
          <w:b w:val="0"/>
          <w:i w:val="0"/>
          <w:color w:val="000000"/>
          <w:sz w:val="20"/>
        </w:rPr>
        <w:t>4.1  Schedule 1 shows Indicative Prices (excl. VAT) from Linyang quotation LY202601271. Payment terms, civil works scope, and the binding Contract Price are fixed in each executed EPC using the Indicative and Confirmed Price mechanism (EPC §6.1).</w:t>
      </w:r>
    </w:p>
    <w:p>
      <w:pPr>
        <w:spacing w:after="100"/>
        <w:jc w:val="both"/>
      </w:pPr>
      <w:r>
        <w:rPr>
          <w:rFonts w:ascii="Calibri" w:hAnsi="Calibri"/>
          <w:b w:val="0"/>
          <w:i w:val="0"/>
          <w:color w:val="000000"/>
          <w:sz w:val="20"/>
        </w:rPr>
        <w:t>Effective MWh for each pipeline park will be stated in that park's phase EPC Schedule A.</w:t>
      </w:r>
    </w:p>
    <w:p>
      <w:pPr>
        <w:spacing w:after="100"/>
        <w:jc w:val="both"/>
      </w:pPr>
      <w:r>
        <w:rPr>
          <w:rFonts w:ascii="Calibri" w:hAnsi="Calibri"/>
          <w:b w:val="0"/>
          <w:i w:val="0"/>
          <w:color w:val="000000"/>
          <w:sz w:val="20"/>
        </w:rPr>
        <w:t>4.2  Schedule 1 indicatives are valid for ninety (90) days from this LOI for planning. The Confirmed Contract Price for each park or batch is set when Lighthief issues the Confirmed Price Certificate under Clause 4.3.</w:t>
      </w:r>
    </w:p>
    <w:p>
      <w:pPr>
        <w:spacing w:after="100"/>
        <w:jc w:val="both"/>
      </w:pPr>
      <w:r>
        <w:rPr>
          <w:rFonts w:ascii="Calibri" w:hAnsi="Calibri"/>
          <w:b w:val="0"/>
          <w:i w:val="0"/>
          <w:color w:val="000000"/>
          <w:sz w:val="20"/>
        </w:rPr>
        <w:t>4.3  (Two-way price commitment) Each EPC will state an Indicative Price (as in Schedule 1 or updated in writing before signing). Within fourteen (14) days after the Client receives grid Connection Terms for that park or batch, Lighthief will issue a Confirmed Price Certificate fixing the Contract Price. The Confirmed Price equals the Indicative Price unless the battery raw-material index (Mysteel lithium carbonate) or EUR/CNY moves beyond the thresholds in EPC §6.1 from the January 2026 reference values (155,000 CNY/tonne (Mysteel China battery-grade spot, January 2026 monthly average); 8.18 CNY per EUR (January 2026 average)). Where a threshold is exceeded, the Confirmed Price adjusts to reflect verified movement on the equipment cost base: downward adjustments are passed through to the Client on milestones not yet invoiced; upward adjustments are capped at five percent (5%) of the Indicative Price. If the calculated upward adjustment would exceed five percent (5%), either Party may decline to proceed with that EPC without penalty. Lighthief will provide a Price Basis Certificate at EPC signing (and at equipment delivery where applicable) showing the reference indices and calculation so the Client can verify how the price follows the market.</w:t>
      </w:r>
    </w:p>
    <w:p>
      <w:pPr>
        <w:spacing w:after="100"/>
        <w:jc w:val="both"/>
      </w:pPr>
      <w:r>
        <w:rPr>
          <w:rFonts w:ascii="Calibri" w:hAnsi="Calibri"/>
          <w:b w:val="0"/>
          <w:i w:val="0"/>
          <w:color w:val="000000"/>
          <w:sz w:val="20"/>
        </w:rPr>
        <w:t>4.4  (Price lock — signature by 29 May 2026) The Parties acknowledge that, as of the date of this LOI, the Mysteel lithium carbonate index has moved materially above the January 2026 reference in Clause 4.3, while EUR/CNY remains within the EPC FX threshold. Schedule 1 therefore reflects pricing locked with Linyang on the January 2026 quotation basis, not today's spot index. Linyang has confirmed that where this LOI and the relevant park or batch EPC are executed on or before 29 May 2026, the Indicative Price (as in Schedule 1 or updated in writing before signing) shall be the Confirmed Price for equipment cost purposes, without upward raw-material or FX adjustment for index movement occurring before that EPC Effective Date. Clause 4.3 two-way adjustments apply after signing only to verified movement from the indices stated in the Price Basis Certificate at EPC signing.</w:t>
      </w:r>
    </w:p>
    <w:p>
      <w:pPr>
        <w:spacing w:before="320" w:after="80"/>
      </w:pPr>
      <w:r>
        <w:rPr>
          <w:rFonts w:ascii="Calibri" w:hAnsi="Calibri"/>
          <w:b/>
          <w:i w:val="0"/>
          <w:color w:val="C9A432"/>
          <w:sz w:val="24"/>
        </w:rPr>
        <w:t>5.   NEXT STEPS</w:t>
      </w:r>
    </w:p>
    <w:p>
      <w:pPr>
        <w:spacing w:after="100"/>
        <w:jc w:val="both"/>
      </w:pPr>
      <w:r>
        <w:rPr>
          <w:rFonts w:ascii="Calibri" w:hAnsi="Calibri"/>
          <w:b w:val="0"/>
          <w:i w:val="0"/>
          <w:color w:val="000000"/>
          <w:sz w:val="20"/>
        </w:rPr>
        <w:t>5.1  The Parties will negotiate EPCs per batch in Section 3. LTSA, EMS, and warranty terms are agreed in each EPC — not in this LOI.</w:t>
      </w:r>
    </w:p>
    <w:p>
      <w:pPr>
        <w:spacing w:before="320" w:after="80"/>
      </w:pPr>
      <w:r>
        <w:rPr>
          <w:rFonts w:ascii="Calibri" w:hAnsi="Calibri"/>
          <w:b/>
          <w:i w:val="0"/>
          <w:color w:val="C9A432"/>
          <w:sz w:val="24"/>
        </w:rPr>
        <w:t>6.   GOOD FAITH</w:t>
      </w:r>
    </w:p>
    <w:p>
      <w:pPr>
        <w:spacing w:after="100"/>
        <w:jc w:val="both"/>
      </w:pPr>
      <w:r>
        <w:rPr>
          <w:rFonts w:ascii="Calibri" w:hAnsi="Calibri"/>
          <w:b w:val="0"/>
          <w:i w:val="0"/>
          <w:color w:val="000000"/>
          <w:sz w:val="20"/>
        </w:rPr>
        <w:t>6.1  The Parties will negotiate each batch EPC in good faith. If terms for a batch are not agreed within ninety (90) days of that batch's EPC target in Section 3, either Party may end this LOI for that batch only, without liability except Clause 1.3.</w:t>
      </w:r>
    </w:p>
    <w:p>
      <w:pPr>
        <w:spacing w:before="320" w:after="80"/>
      </w:pPr>
      <w:r>
        <w:rPr>
          <w:rFonts w:ascii="Calibri" w:hAnsi="Calibri"/>
          <w:b/>
          <w:i w:val="0"/>
          <w:color w:val="C9A432"/>
          <w:sz w:val="24"/>
        </w:rPr>
        <w:t>7.   EXCLUSIVITY</w:t>
      </w:r>
    </w:p>
    <w:p>
      <w:pPr>
        <w:spacing w:after="100"/>
        <w:jc w:val="both"/>
      </w:pPr>
      <w:r>
        <w:rPr>
          <w:rFonts w:ascii="Calibri" w:hAnsi="Calibri"/>
          <w:b w:val="0"/>
          <w:i w:val="0"/>
          <w:color w:val="000000"/>
          <w:sz w:val="20"/>
        </w:rPr>
        <w:t>7.1  (Binding) Until this LOI expires or the relevant Schedule 1 EPC is signed, the Client will not appoint another EPC contractor for those parks or procure parallel BESS equipment for them from an OEM other than Linyang (Cyprus portfolio).</w:t>
      </w:r>
    </w:p>
    <w:p>
      <w:pPr>
        <w:spacing w:after="100"/>
        <w:jc w:val="both"/>
      </w:pPr>
      <w:r>
        <w:rPr>
          <w:rFonts w:ascii="Calibri" w:hAnsi="Calibri"/>
          <w:b w:val="0"/>
          <w:i w:val="0"/>
          <w:color w:val="000000"/>
          <w:sz w:val="20"/>
        </w:rPr>
        <w:t>7.2  Exclusivity does not apply on Valid Reason (Clause 1.3) or if Lighthief has not proposed an EPC for signature within ninety (90) days of this LOI (unless extended in writing).</w:t>
      </w:r>
    </w:p>
    <w:p>
      <w:pPr>
        <w:spacing w:after="100"/>
        <w:jc w:val="both"/>
      </w:pPr>
      <w:r>
        <w:rPr>
          <w:rFonts w:ascii="Calibri" w:hAnsi="Calibri"/>
          <w:b w:val="0"/>
          <w:i w:val="0"/>
          <w:color w:val="000000"/>
          <w:sz w:val="20"/>
        </w:rPr>
        <w:t>7.3  Exclusivity ends when the Schedule 1 EPC is signed, on Valid Reason, or if either Party materially breaches this LOI and does not remedy within thirty (30) days of notice.</w:t>
      </w:r>
    </w:p>
    <w:p>
      <w:pPr>
        <w:spacing w:after="100"/>
        <w:jc w:val="both"/>
      </w:pPr>
      <w:r>
        <w:rPr>
          <w:rFonts w:ascii="Calibri" w:hAnsi="Calibri"/>
          <w:b w:val="0"/>
          <w:i w:val="0"/>
          <w:color w:val="000000"/>
          <w:sz w:val="20"/>
        </w:rPr>
        <w:t>7.4  Applies to the nine (9) pipeline parks only — not Galascope Ltd (LCY-LOI-GAL-B1-2026-R15).</w:t>
      </w:r>
    </w:p>
    <w:p>
      <w:pPr>
        <w:spacing w:before="320" w:after="80"/>
      </w:pPr>
      <w:r>
        <w:rPr>
          <w:rFonts w:ascii="Calibri" w:hAnsi="Calibri"/>
          <w:b/>
          <w:i w:val="0"/>
          <w:color w:val="C9A432"/>
          <w:sz w:val="24"/>
        </w:rPr>
        <w:t>8.   CONFIDENTIALITY</w:t>
      </w:r>
    </w:p>
    <w:p>
      <w:pPr>
        <w:spacing w:after="100"/>
        <w:jc w:val="both"/>
      </w:pPr>
      <w:r>
        <w:rPr>
          <w:rFonts w:ascii="Calibri" w:hAnsi="Calibri"/>
          <w:b w:val="0"/>
          <w:i w:val="0"/>
          <w:color w:val="000000"/>
          <w:sz w:val="20"/>
        </w:rPr>
        <w:t>8.1  (Binding) Each Party shall keep confidential this LOI and related information, except to advisers, lenders, or as required by law. Survives five (5) years.</w:t>
      </w:r>
    </w:p>
    <w:p>
      <w:pPr>
        <w:spacing w:before="320" w:after="80"/>
      </w:pPr>
      <w:r>
        <w:rPr>
          <w:rFonts w:ascii="Calibri" w:hAnsi="Calibri"/>
          <w:b/>
          <w:i w:val="0"/>
          <w:color w:val="C9A432"/>
          <w:sz w:val="24"/>
        </w:rPr>
        <w:t>9.   TERM AND GOVERNING LAW</w:t>
      </w:r>
    </w:p>
    <w:p>
      <w:pPr>
        <w:spacing w:after="100"/>
        <w:jc w:val="both"/>
      </w:pPr>
      <w:r>
        <w:rPr>
          <w:rFonts w:ascii="Calibri" w:hAnsi="Calibri"/>
          <w:b w:val="0"/>
          <w:i w:val="0"/>
          <w:color w:val="000000"/>
          <w:sz w:val="20"/>
        </w:rPr>
        <w:t>9.1  This LOI runs until the earlier of: all Schedule 1 EPCs signed, thirty-six (36) months from signing, or termination of a phase under Section 6.</w:t>
      </w:r>
    </w:p>
    <w:p>
      <w:pPr>
        <w:spacing w:after="100"/>
        <w:jc w:val="both"/>
      </w:pPr>
      <w:r>
        <w:rPr>
          <w:rFonts w:ascii="Calibri" w:hAnsi="Calibri"/>
          <w:b w:val="0"/>
          <w:i w:val="0"/>
          <w:color w:val="000000"/>
          <w:sz w:val="20"/>
        </w:rPr>
        <w:t>9.2  Governed by Cyprus law. Cyprus courts have exclusive jurisdiction.</w:t>
      </w:r>
    </w:p>
    <w:tbl>
      <w:tblPr>
        <w:tblLook w:firstColumn="1" w:firstRow="1" w:lastColumn="0" w:lastRow="0" w:noHBand="0" w:noVBand="1" w:val="04A0"/>
        <w:tblW w:w="7938" w:type="dxa"/>
        <w:tblLayout w:type="fixed"/>
      </w:tblPr>
      <w:tblGrid>
        <w:gridCol w:w="7938"/>
      </w:tblGrid>
      <w:tr>
        <w:tc>
          <w:tcPr>
            <w:shd w:val="clear" w:color="auto" w:fill="FEF3C7"/>
            <w:tcW w:w="7938" w:type="dxa"/>
          </w:tcPr>
          <w:p>
            <w:pPr>
              <w:jc w:val="both"/>
            </w:pPr>
            <w:r>
              <w:rPr>
                <w:rFonts w:ascii="Calibri" w:hAnsi="Calibri"/>
                <w:b/>
                <w:i w:val="0"/>
                <w:color w:val="92400E"/>
                <w:sz w:val="18"/>
              </w:rPr>
              <w:t xml:space="preserve">NATURE OF THIS DOCUMENT:  </w:t>
            </w:r>
            <w:r>
              <w:rPr>
                <w:rFonts w:ascii="Calibri" w:hAnsi="Calibri"/>
                <w:b w:val="0"/>
                <w:i w:val="0"/>
                <w:color w:val="78350F"/>
                <w:sz w:val="18"/>
              </w:rPr>
              <w:t>Non-binding except Clauses 1.3, 7, and 8. Nine (9) pipeline parks only. Galascope Ltd: LCY-LOI-GAL-B1-2026-R15. Binding price and payment terms are in each EPC.</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r>
              <w:rPr>
                <w:rFonts w:ascii="Calibri" w:hAnsi="Calibri"/>
                <w:b/>
                <w:i w:val="0"/>
                <w:color w:val="FFFFFF"/>
                <w:sz w:val="18"/>
              </w:rPr>
              <w:t>For and on behalf of</w:t>
              <w:br/>
              <w:t>Lighthief Cyprus Ltd</w:t>
            </w:r>
          </w:p>
        </w:tc>
        <w:tc>
          <w:tcPr>
            <w:shd w:val="clear" w:color="auto" w:fill="1A365D"/>
            <w:tcW w:w="3969" w:type="dxa"/>
          </w:tcPr>
          <w:p>
            <w:r>
              <w:rPr>
                <w:rFonts w:ascii="Calibri" w:hAnsi="Calibri"/>
                <w:b/>
                <w:i w:val="0"/>
                <w:color w:val="FFFFFF"/>
                <w:sz w:val="18"/>
              </w:rPr>
              <w:t>For and on behalf of</w:t>
              <w:br/>
              <w:t>Esperia Energy Group</w:t>
            </w:r>
          </w:p>
        </w:tc>
      </w:tr>
      <w:tr>
        <w:tc>
          <w:tcPr>
            <w:tcW w:w="3969" w:type="dxa"/>
          </w:tcPr>
          <w:p>
            <w:r>
              <w:rPr>
                <w:rFonts w:ascii="Calibri" w:hAnsi="Calibri"/>
                <w:b w:val="0"/>
                <w:i w:val="0"/>
                <w:color w:val="000000"/>
                <w:sz w:val="20"/>
              </w:rPr>
              <w:t>Name:   Alexander Papacosta</w:t>
            </w:r>
          </w:p>
        </w:tc>
        <w:tc>
          <w:tcPr>
            <w:tcW w:w="3969" w:type="dxa"/>
          </w:tcPr>
          <w:p>
            <w:r>
              <w:rPr>
                <w:rFonts w:ascii="Calibri" w:hAnsi="Calibri"/>
                <w:b w:val="0"/>
                <w:i w:val="0"/>
                <w:color w:val="000000"/>
                <w:sz w:val="20"/>
              </w:rPr>
              <w:t>Name:   ___________________________</w:t>
            </w:r>
          </w:p>
        </w:tc>
      </w:tr>
      <w:tr>
        <w:tc>
          <w:tcPr>
            <w:tcW w:w="3969" w:type="dxa"/>
          </w:tcPr>
          <w:p>
            <w:r>
              <w:rPr>
                <w:rFonts w:ascii="Calibri" w:hAnsi="Calibri"/>
                <w:b w:val="0"/>
                <w:i w:val="0"/>
                <w:color w:val="000000"/>
                <w:sz w:val="20"/>
              </w:rPr>
              <w:t>Title:    Managing Director</w:t>
            </w:r>
          </w:p>
        </w:tc>
        <w:tc>
          <w:tcPr>
            <w:tcW w:w="3969" w:type="dxa"/>
          </w:tcPr>
          <w:p>
            <w:r>
              <w:rPr>
                <w:rFonts w:ascii="Calibri" w:hAnsi="Calibri"/>
                <w:b w:val="0"/>
                <w:i w:val="0"/>
                <w:color w:val="000000"/>
                <w:sz w:val="20"/>
              </w:rPr>
              <w:t>Title:    ___________________________</w:t>
            </w:r>
          </w:p>
        </w:tc>
      </w:tr>
      <w:tr>
        <w:tc>
          <w:tcPr>
            <w:tcW w:w="3969" w:type="dxa"/>
          </w:tcPr>
          <w:p>
            <w:r>
              <w:rPr>
                <w:rFonts w:ascii="Calibri" w:hAnsi="Calibri"/>
                <w:b w:val="0"/>
                <w:i w:val="0"/>
                <w:color w:val="000000"/>
                <w:sz w:val="20"/>
              </w:rPr>
              <w:t>Signature:   ___________________________</w:t>
            </w:r>
          </w:p>
        </w:tc>
        <w:tc>
          <w:tcPr>
            <w:tcW w:w="3969" w:type="dxa"/>
          </w:tcPr>
          <w:p>
            <w:r>
              <w:rPr>
                <w:rFonts w:ascii="Calibri" w:hAnsi="Calibri"/>
                <w:b w:val="0"/>
                <w:i w:val="0"/>
                <w:color w:val="000000"/>
                <w:sz w:val="20"/>
              </w:rPr>
              <w:t>Signature:   ___________________________</w:t>
            </w:r>
          </w:p>
        </w:tc>
      </w:tr>
      <w:tr>
        <w:tc>
          <w:tcPr>
            <w:tcW w:w="3969" w:type="dxa"/>
          </w:tcPr>
          <w:p>
            <w:r>
              <w:rPr>
                <w:rFonts w:ascii="Calibri" w:hAnsi="Calibri"/>
                <w:b w:val="0"/>
                <w:i w:val="0"/>
                <w:color w:val="000000"/>
                <w:sz w:val="20"/>
              </w:rPr>
              <w:t>Date:   ___________________________</w:t>
            </w:r>
          </w:p>
        </w:tc>
        <w:tc>
          <w:tcPr>
            <w:tcW w:w="3969" w:type="dxa"/>
          </w:tcPr>
          <w:p>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LCY-LOI-ESP-PIPELINE-2026-R15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Lighthief Cyprus Ltd · HE 477423 · solarfarms.cy · DRAFT v10 — May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Executive Summary  |  Page </w:t>
    </w:r>
    <w:r>
      <w:fldChar w:fldCharType="begin"/>
      <w:instrText xml:space="preserve"> PAGE </w:instrText>
      <w:fldChar w:fldCharType="separate"/>
    </w:r>
    <w:fldChar w:fldCharType="end"/>
    <w:r>
      <w:t>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R1 · LCY-PARK-REG · Park &amp; Pipeline Register  |  Page </w:t>
    </w:r>
    <w:r>
      <w:fldChar w:fldCharType="begin"/>
      <w:instrText xml:space="preserve"> PAGE </w:instrText>
      <w:fldChar w:fldCharType="separate"/>
    </w:r>
    <w:fldChar w:fldCharType="end"/>
    <w:r>
      <w:t>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R2 · LCY-FUTURE-BIZ · Future Business Protection  |  Page </w:t>
    </w:r>
    <w:r>
      <w:fldChar w:fldCharType="begin"/>
      <w:instrText xml:space="preserve"> PAGE </w:instrText>
      <w:fldChar w:fldCharType="separate"/>
    </w:r>
    <w:fldChar w:fldCharType="end"/>
    <w: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L1 · LCY-LOI-GAL-B1-2026-R15 · LOI Galascope Ltd  |  Page </w:t>
    </w:r>
    <w:r>
      <w:fldChar w:fldCharType="begin"/>
      <w:instrText xml:space="preserve"> PAGE </w:instrText>
      <w:fldChar w:fldCharType="separate"/>
    </w:r>
    <w:fldChar w:fldCharType="end"/>
    <w:r>
      <w:t>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L2 · LCY-LOI-ESP-PIPELINE · LOI Esperia Pipeline  |  Page </w:t>
    </w:r>
    <w:r>
      <w:fldChar w:fldCharType="begin"/>
      <w:instrText xml:space="preserve"> PAGE </w:instrText>
      <w:fldChar w:fldCharType="separate"/>
    </w:r>
    <w:fldChar w:fldCharType="end"/>
    <w:r>
      <w:t>1</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 · LCY-MOI-TOCA-2026-001 · Main Agreement  |  Page </w:t>
    </w:r>
    <w:r>
      <w:fldChar w:fldCharType="begin"/>
      <w:instrText xml:space="preserve"> PAGE </w:instrText>
      <w:fldChar w:fldCharType="separate"/>
    </w:r>
    <w:fldChar w:fldCharType="end"/>
    <w:r>
      <w:t>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2 · LCY-MOI-TOCA-2026-001 · Schedule 1 &amp; 1A  |  Page </w:t>
    </w:r>
    <w:r>
      <w:fldChar w:fldCharType="begin"/>
      <w:instrText xml:space="preserve"> PAGE </w:instrText>
      <w:fldChar w:fldCharType="separate"/>
    </w:r>
    <w:fldChar w:fldCharType="end"/>
    <w:r>
      <w:t>1</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3 · LCY-MOI-TOCA-2026-001 · Schedule 2  |  Page </w:t>
    </w:r>
    <w:r>
      <w:fldChar w:fldCharType="begin"/>
      <w:instrText xml:space="preserve"> PAGE </w:instrText>
      <w:fldChar w:fldCharType="separate"/>
    </w:r>
    <w:fldChar w:fldCharType="end"/>
    <w:r>
      <w:t>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4 · LCY-MOI-TOCA-2026-001 · Schedule 3  |  Page </w:t>
    </w:r>
    <w:r>
      <w:fldChar w:fldCharType="begin"/>
      <w:instrText xml:space="preserve"> PAGE </w:instrText>
      <w:fldChar w:fldCharType="separate"/>
    </w:r>
    <w:fldChar w:fldCharType="end"/>
    <w:r>
      <w:t>1</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5 · LCY-MOI-TOCA-2026-001 · Execution  |  Page </w:t>
    </w:r>
    <w:r>
      <w:fldChar w:fldCharType="begin"/>
      <w:instrText xml:space="preserve"> PAGE </w:instrText>
      <w:fldChar w:fldCharType="separate"/>
    </w:r>
    <w:fldChar w:fldCharType="end"/>
    <w:r>
      <w:t>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6 · LCY-MOI-TOCA-2026-001 · Annex A  |  Page </w:t>
    </w:r>
    <w:r>
      <w:fldChar w:fldCharType="begin"/>
      <w:instrText xml:space="preserve"> PAGE </w:instrText>
      <w:fldChar w:fldCharType="separate"/>
    </w:r>
    <w:fldChar w:fldCharType="end"/>
    <w:r>
      <w:t>1</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7 · LCY-MOI-TOCA-2026-001 · Annex B  |  Page </w:t>
    </w:r>
    <w:r>
      <w:fldChar w:fldCharType="begin"/>
      <w:instrText xml:space="preserve"> PAGE </w:instrText>
      <w:fldChar w:fldCharType="separate"/>
    </w:r>
    <w:fldChar w:fldCharType="end"/>
    <w:r>
      <w:t>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8 · LCY-EMP-AP-2026-001 · MD Employment Agreement  |  Page </w:t>
    </w:r>
    <w:r>
      <w:fldChar w:fldCharType="begin"/>
      <w:instrText xml:space="preserve"> PAGE </w:instrText>
      <w:fldChar w:fldCharType="separate"/>
    </w:r>
    <w:fldChar w:fldCharType="end"/>
    <w:r>
      <w:t>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9 · LCY-SHR-EMP-2026-001 · Shareholder Resolution (MD Employment)  |  Page </w:t>
    </w:r>
    <w:r>
      <w:fldChar w:fldCharType="begin"/>
      <w:instrText xml:space="preserve"> PAGE </w:instrText>
      <w:fldChar w:fldCharType="separate"/>
    </w:r>
    <w:fldChar w:fldCharType="end"/>
    <w:r>
      <w:t>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10 · LCY-MD-EQ-2026-001 · Equity Participation Side Letter  |  Page </w:t>
    </w:r>
    <w:r>
      <w:fldChar w:fldCharType="begin"/>
      <w:instrText xml:space="preserve"> PAGE </w:instrText>
      <w:fldChar w:fldCharType="separate"/>
    </w:r>
    <w:fldChar w:fldCharType="end"/>
    <w:r>
      <w:t>1</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11 · LCY-OPT-A-2026-001 · Founder Runway &amp; MD Economics  |  Page </w:t>
    </w:r>
    <w:r>
      <w:fldChar w:fldCharType="begin"/>
      <w:instrText xml:space="preserve"> PAGE </w:instrText>
      <w:fldChar w:fldCharType="separate"/>
    </w:r>
    <w:fldChar w:fldCharType="end"/>
    <w:r>
      <w:t>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12 · LCY-MOI-ADH-2026-001 · Deed of Group Adherence  |  Page </w:t>
    </w:r>
    <w:r>
      <w:fldChar w:fldCharType="begin"/>
      <w:instrText xml:space="preserve"> PAGE </w:instrText>
      <w:fldChar w:fldCharType="separate"/>
    </w:r>
    <w:fldChar w:fldCharType="end"/>
    <w:r>
      <w:t>1</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13 · LCY-DIR-IND-2026-001 · Director &amp; Officer Protections  |  Page </w:t>
    </w:r>
    <w:r>
      <w:fldChar w:fldCharType="begin"/>
      <w:instrText xml:space="preserve"> PAGE </w:instrText>
      <w:fldChar w:fldCharType="separate"/>
    </w:r>
    <w:fldChar w:fldCharType="end"/>
    <w:r>
      <w:t>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14 · LCY-SHR-DO-2026-001 · Shareholder Resolution (D&amp;O)  |  Page </w:t>
    </w:r>
    <w:r>
      <w:fldChar w:fldCharType="begin"/>
      <w:instrText xml:space="preserve"> PAGE </w:instrText>
      <w:fldChar w:fldCharType="separate"/>
    </w:r>
    <w:fldChar w:fldCharType="end"/>
    <w:r>
      <w:t>1</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15 · LCY-GOV-SIGN-2026-001 · Signing Matrix &amp; Governance  |  Page </w:t>
    </w:r>
    <w:r>
      <w:fldChar w:fldCharType="begin"/>
      <w:instrText xml:space="preserve"> PAGE </w:instrText>
      <w:fldChar w:fldCharType="separate"/>
    </w:r>
    <w:fldChar w:fldCharType="end"/>
    <w:r>
      <w:t>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16 · LCY-BRD-2026-001 · Board Minutes (Phase 1)  |  Page </w:t>
    </w:r>
    <w:r>
      <w:fldChar w:fldCharType="begin"/>
      <w:instrText xml:space="preserve"> PAGE </w:instrText>
      <w:fldChar w:fldCharType="separate"/>
    </w:r>
    <w:fldChar w:fldCharType="end"/>
    <w:r>
      <w:t>1</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17 · LCY-BRD-2026-002 · Board Minutes (Phase 2)  |  Page </w:t>
    </w:r>
    <w:r>
      <w:fldChar w:fldCharType="begin"/>
      <w:instrText xml:space="preserve"> PAGE </w:instrText>
      <w:fldChar w:fldCharType="separate"/>
    </w:r>
    <w:fldChar w:fldCharType="end"/>
    <w: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