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ALEXANDER PAPACOSTA — LEGAL DOCUMENT PACK</w:t>
      </w:r>
    </w:p>
    <w:p>
      <w:pPr>
        <w:jc w:val="center"/>
      </w:pPr>
      <w:r>
        <w:rPr>
          <w:rFonts w:ascii="Calibri" w:hAnsi="Calibri"/>
          <w:b w:val="0"/>
          <w:i/>
          <w:color w:val="404040"/>
          <w:sz w:val="22"/>
        </w:rPr>
        <w:t>Lighthief Cyprus Ltd · Founder Alignment · May 2026</w:t>
      </w:r>
    </w:p>
    <w:p>
      <w:pPr>
        <w:jc w:val="center"/>
      </w:pPr>
      <w:r>
        <w:rPr>
          <w:rFonts w:ascii="Calibri" w:hAnsi="Calibri"/>
          <w:b w:val="0"/>
          <w:i w:val="0"/>
          <w:color w:val="404040"/>
          <w:sz w:val="18"/>
        </w:rPr>
        <w:t>Combined draft for counsel review — not for execution without legal sign-off</w:t>
      </w:r>
    </w:p>
    <w:p/>
    <w:p>
      <w:r>
        <w:rPr>
          <w:rFonts w:ascii="Calibri" w:hAnsi="Calibri"/>
          <w:b/>
          <w:i w:val="0"/>
          <w:color w:val="1A365D"/>
          <w:sz w:val="24"/>
        </w:rPr>
        <w:t>DOCUMENT INDEX</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w:t>
            </w:r>
          </w:p>
        </w:tc>
        <w:tc>
          <w:tcPr>
            <w:tcW w:type="dxa" w:w="2351"/>
            <w:shd w:fill="1A365D" w:val="clear"/>
          </w:tcPr>
          <w:p>
            <w:r/>
            <w:r>
              <w:rPr>
                <w:rFonts w:ascii="Calibri" w:hAnsi="Calibri"/>
                <w:b/>
                <w:i w:val="0"/>
                <w:color w:val="FFFFFF"/>
                <w:sz w:val="18"/>
              </w:rPr>
              <w:t>Reference</w:t>
            </w:r>
          </w:p>
        </w:tc>
        <w:tc>
          <w:tcPr>
            <w:tcW w:type="dxa" w:w="2351"/>
            <w:shd w:fill="1A365D" w:val="clear"/>
          </w:tcPr>
          <w:p>
            <w:r/>
            <w:r>
              <w:rPr>
                <w:rFonts w:ascii="Calibri" w:hAnsi="Calibri"/>
                <w:b/>
                <w:i w:val="0"/>
                <w:color w:val="FFFFFF"/>
                <w:sz w:val="18"/>
              </w:rPr>
              <w:t>Document</w:t>
            </w:r>
          </w:p>
        </w:tc>
        <w:tc>
          <w:tcPr>
            <w:tcW w:type="dxa" w:w="2351"/>
            <w:shd w:fill="1A365D" w:val="clear"/>
          </w:tcPr>
          <w:p>
            <w:r/>
            <w:r>
              <w:rPr>
                <w:rFonts w:ascii="Calibri" w:hAnsi="Calibri"/>
                <w:b/>
                <w:i w:val="0"/>
                <w:color w:val="FFFFFF"/>
                <w:sz w:val="18"/>
              </w:rPr>
              <w:t>Pagination</w:t>
            </w:r>
          </w:p>
        </w:tc>
      </w:tr>
      <w:tr>
        <w:tc>
          <w:tcPr>
            <w:tcW w:type="dxa" w:w="2351"/>
          </w:tcPr>
          <w:p>
            <w:r/>
            <w:r>
              <w:rPr>
                <w:rFonts w:ascii="Calibri" w:hAnsi="Calibri"/>
                <w:b w:val="0"/>
                <w:i w:val="0"/>
                <w:color w:val="000000"/>
                <w:sz w:val="18"/>
              </w:rPr>
              <w:t>1</w:t>
            </w:r>
          </w:p>
        </w:tc>
        <w:tc>
          <w:tcPr>
            <w:tcW w:type="dxa" w:w="2351"/>
          </w:tcPr>
          <w:p>
            <w:r/>
            <w:r>
              <w:rPr>
                <w:rFonts w:ascii="Calibri" w:hAnsi="Calibri"/>
                <w:b w:val="0"/>
                <w:i w:val="0"/>
                <w:color w:val="000000"/>
                <w:sz w:val="18"/>
              </w:rPr>
              <w:t>LCY-MOI-TOCA-2026-001</w:t>
            </w:r>
          </w:p>
        </w:tc>
        <w:tc>
          <w:tcPr>
            <w:tcW w:type="dxa" w:w="2351"/>
          </w:tcPr>
          <w:p>
            <w:r/>
            <w:r>
              <w:rPr>
                <w:rFonts w:ascii="Calibri" w:hAnsi="Calibri"/>
                <w:b w:val="0"/>
                <w:i w:val="0"/>
                <w:color w:val="000000"/>
                <w:sz w:val="18"/>
              </w:rPr>
              <w:t>Team Operational Consultancy Agreement — Main Agreement</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2</w:t>
            </w:r>
          </w:p>
        </w:tc>
        <w:tc>
          <w:tcPr>
            <w:tcW w:type="dxa" w:w="2351"/>
          </w:tcPr>
          <w:p>
            <w:r/>
            <w:r>
              <w:rPr>
                <w:rFonts w:ascii="Calibri" w:hAnsi="Calibri"/>
                <w:b w:val="0"/>
                <w:i w:val="0"/>
                <w:color w:val="000000"/>
                <w:sz w:val="18"/>
              </w:rPr>
              <w:t>LCY-MOI-TOCA-2026-001 · Sch. 1</w:t>
            </w:r>
          </w:p>
        </w:tc>
        <w:tc>
          <w:tcPr>
            <w:tcW w:type="dxa" w:w="2351"/>
          </w:tcPr>
          <w:p>
            <w:r/>
            <w:r>
              <w:rPr>
                <w:rFonts w:ascii="Calibri" w:hAnsi="Calibri"/>
                <w:b w:val="0"/>
                <w:i w:val="0"/>
                <w:color w:val="000000"/>
                <w:sz w:val="18"/>
              </w:rPr>
              <w:t>Schedule 1 — Existing Project Parks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3</w:t>
            </w:r>
          </w:p>
        </w:tc>
        <w:tc>
          <w:tcPr>
            <w:tcW w:type="dxa" w:w="2351"/>
          </w:tcPr>
          <w:p>
            <w:r/>
            <w:r>
              <w:rPr>
                <w:rFonts w:ascii="Calibri" w:hAnsi="Calibri"/>
                <w:b w:val="0"/>
                <w:i w:val="0"/>
                <w:color w:val="000000"/>
                <w:sz w:val="18"/>
              </w:rPr>
              <w:t>LCY-MOI-TOCA-2026-001 · Sch. 2</w:t>
            </w:r>
          </w:p>
        </w:tc>
        <w:tc>
          <w:tcPr>
            <w:tcW w:type="dxa" w:w="2351"/>
          </w:tcPr>
          <w:p>
            <w:r/>
            <w:r>
              <w:rPr>
                <w:rFonts w:ascii="Calibri" w:hAnsi="Calibri"/>
                <w:b w:val="0"/>
                <w:i w:val="0"/>
                <w:color w:val="000000"/>
                <w:sz w:val="18"/>
              </w:rPr>
              <w:t>Schedule 2 — Net Margin Calculation Example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4</w:t>
            </w:r>
          </w:p>
        </w:tc>
        <w:tc>
          <w:tcPr>
            <w:tcW w:type="dxa" w:w="2351"/>
          </w:tcPr>
          <w:p>
            <w:r/>
            <w:r>
              <w:rPr>
                <w:rFonts w:ascii="Calibri" w:hAnsi="Calibri"/>
                <w:b w:val="0"/>
                <w:i w:val="0"/>
                <w:color w:val="000000"/>
                <w:sz w:val="18"/>
              </w:rPr>
              <w:t>LCY-MOI-TOCA-2026-001 · Sch. 3</w:t>
            </w:r>
          </w:p>
        </w:tc>
        <w:tc>
          <w:tcPr>
            <w:tcW w:type="dxa" w:w="2351"/>
          </w:tcPr>
          <w:p>
            <w:r/>
            <w:r>
              <w:rPr>
                <w:rFonts w:ascii="Calibri" w:hAnsi="Calibri"/>
                <w:b w:val="0"/>
                <w:i w:val="0"/>
                <w:color w:val="000000"/>
                <w:sz w:val="18"/>
              </w:rPr>
              <w:t>Schedule 3 — Scope of Operational Services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5</w:t>
            </w:r>
          </w:p>
        </w:tc>
        <w:tc>
          <w:tcPr>
            <w:tcW w:type="dxa" w:w="2351"/>
          </w:tcPr>
          <w:p>
            <w:r/>
            <w:r>
              <w:rPr>
                <w:rFonts w:ascii="Calibri" w:hAnsi="Calibri"/>
                <w:b w:val="0"/>
                <w:i w:val="0"/>
                <w:color w:val="000000"/>
                <w:sz w:val="18"/>
              </w:rPr>
              <w:t>LCY-MOI-TOCA-2026-001 · Execution</w:t>
            </w:r>
          </w:p>
        </w:tc>
        <w:tc>
          <w:tcPr>
            <w:tcW w:type="dxa" w:w="2351"/>
          </w:tcPr>
          <w:p>
            <w:r/>
            <w:r>
              <w:rPr>
                <w:rFonts w:ascii="Calibri" w:hAnsi="Calibri"/>
                <w:b w:val="0"/>
                <w:i w:val="0"/>
                <w:color w:val="000000"/>
                <w:sz w:val="18"/>
              </w:rPr>
              <w:t>Execution — Consultancy Agreement Signatures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6</w:t>
            </w:r>
          </w:p>
        </w:tc>
        <w:tc>
          <w:tcPr>
            <w:tcW w:type="dxa" w:w="2351"/>
          </w:tcPr>
          <w:p>
            <w:r/>
            <w:r>
              <w:rPr>
                <w:rFonts w:ascii="Calibri" w:hAnsi="Calibri"/>
                <w:b w:val="0"/>
                <w:i w:val="0"/>
                <w:color w:val="000000"/>
                <w:sz w:val="18"/>
              </w:rPr>
              <w:t>LCY-MOI-TOCA-2026-001 · Annex A</w:t>
            </w:r>
          </w:p>
        </w:tc>
        <w:tc>
          <w:tcPr>
            <w:tcW w:type="dxa" w:w="2351"/>
          </w:tcPr>
          <w:p>
            <w:r/>
            <w:r>
              <w:rPr>
                <w:rFonts w:ascii="Calibri" w:hAnsi="Calibri"/>
                <w:b w:val="0"/>
                <w:i w:val="0"/>
                <w:color w:val="000000"/>
                <w:sz w:val="18"/>
              </w:rPr>
              <w:t>Annex A — Written Shareholder Resolution (Moi Ostrov)</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7</w:t>
            </w:r>
          </w:p>
        </w:tc>
        <w:tc>
          <w:tcPr>
            <w:tcW w:type="dxa" w:w="2351"/>
          </w:tcPr>
          <w:p>
            <w:r/>
            <w:r>
              <w:rPr>
                <w:rFonts w:ascii="Calibri" w:hAnsi="Calibri"/>
                <w:b w:val="0"/>
                <w:i w:val="0"/>
                <w:color w:val="000000"/>
                <w:sz w:val="18"/>
              </w:rPr>
              <w:t>LCY-MOI-TOCA-2026-001 · Annex B</w:t>
            </w:r>
          </w:p>
        </w:tc>
        <w:tc>
          <w:tcPr>
            <w:tcW w:type="dxa" w:w="2351"/>
          </w:tcPr>
          <w:p>
            <w:r/>
            <w:r>
              <w:rPr>
                <w:rFonts w:ascii="Calibri" w:hAnsi="Calibri"/>
                <w:b w:val="0"/>
                <w:i w:val="0"/>
                <w:color w:val="000000"/>
                <w:sz w:val="18"/>
              </w:rPr>
              <w:t>Annex B — UBO Personal Undertaking</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8</w:t>
            </w:r>
          </w:p>
        </w:tc>
        <w:tc>
          <w:tcPr>
            <w:tcW w:type="dxa" w:w="2351"/>
          </w:tcPr>
          <w:p>
            <w:r/>
            <w:r>
              <w:rPr>
                <w:rFonts w:ascii="Calibri" w:hAnsi="Calibri"/>
                <w:b w:val="0"/>
                <w:i w:val="0"/>
                <w:color w:val="000000"/>
                <w:sz w:val="18"/>
              </w:rPr>
              <w:t>LCY-EMP-AP-2026-001</w:t>
            </w:r>
          </w:p>
        </w:tc>
        <w:tc>
          <w:tcPr>
            <w:tcW w:type="dxa" w:w="2351"/>
          </w:tcPr>
          <w:p>
            <w:r/>
            <w:r>
              <w:rPr>
                <w:rFonts w:ascii="Calibri" w:hAnsi="Calibri"/>
                <w:b w:val="0"/>
                <w:i w:val="0"/>
                <w:color w:val="000000"/>
                <w:sz w:val="18"/>
              </w:rPr>
              <w:t>MD Employment Agreement (€2k net → €5k gross)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9</w:t>
            </w:r>
          </w:p>
        </w:tc>
        <w:tc>
          <w:tcPr>
            <w:tcW w:type="dxa" w:w="2351"/>
          </w:tcPr>
          <w:p>
            <w:r/>
            <w:r>
              <w:rPr>
                <w:rFonts w:ascii="Calibri" w:hAnsi="Calibri"/>
                <w:b w:val="0"/>
                <w:i w:val="0"/>
                <w:color w:val="000000"/>
                <w:sz w:val="18"/>
              </w:rPr>
              <w:t>LCY-SHR-EMP-2026-001</w:t>
            </w:r>
          </w:p>
        </w:tc>
        <w:tc>
          <w:tcPr>
            <w:tcW w:type="dxa" w:w="2351"/>
          </w:tcPr>
          <w:p>
            <w:r/>
            <w:r>
              <w:rPr>
                <w:rFonts w:ascii="Calibri" w:hAnsi="Calibri"/>
                <w:b w:val="0"/>
                <w:i w:val="0"/>
                <w:color w:val="000000"/>
                <w:sz w:val="18"/>
              </w:rPr>
              <w:t>Shareholder Resolution — MD Employment Approval</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10</w:t>
            </w:r>
          </w:p>
        </w:tc>
        <w:tc>
          <w:tcPr>
            <w:tcW w:type="dxa" w:w="2351"/>
          </w:tcPr>
          <w:p>
            <w:r/>
            <w:r>
              <w:rPr>
                <w:rFonts w:ascii="Calibri" w:hAnsi="Calibri"/>
                <w:b w:val="0"/>
                <w:i w:val="0"/>
                <w:color w:val="000000"/>
                <w:sz w:val="18"/>
              </w:rPr>
              <w:t>LCY-MD-EQ-2026-001</w:t>
            </w:r>
          </w:p>
        </w:tc>
        <w:tc>
          <w:tcPr>
            <w:tcW w:type="dxa" w:w="2351"/>
          </w:tcPr>
          <w:p>
            <w:r/>
            <w:r>
              <w:rPr>
                <w:rFonts w:ascii="Calibri" w:hAnsi="Calibri"/>
                <w:b w:val="0"/>
                <w:i w:val="0"/>
                <w:color w:val="000000"/>
                <w:sz w:val="18"/>
              </w:rPr>
              <w:t>MD Equity Participation Side Letter</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11</w:t>
            </w:r>
          </w:p>
        </w:tc>
        <w:tc>
          <w:tcPr>
            <w:tcW w:type="dxa" w:w="2351"/>
          </w:tcPr>
          <w:p>
            <w:r/>
            <w:r>
              <w:rPr>
                <w:rFonts w:ascii="Calibri" w:hAnsi="Calibri"/>
                <w:b w:val="0"/>
                <w:i w:val="0"/>
                <w:color w:val="000000"/>
                <w:sz w:val="18"/>
              </w:rPr>
              <w:t>LCY-OPT-A-2026-001</w:t>
            </w:r>
          </w:p>
        </w:tc>
        <w:tc>
          <w:tcPr>
            <w:tcW w:type="dxa" w:w="2351"/>
          </w:tcPr>
          <w:p>
            <w:r/>
            <w:r>
              <w:rPr>
                <w:rFonts w:ascii="Calibri" w:hAnsi="Calibri"/>
                <w:b w:val="0"/>
                <w:i w:val="0"/>
                <w:color w:val="000000"/>
                <w:sz w:val="18"/>
              </w:rPr>
              <w:t>Option A — Founder Runway &amp; MD Economics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12</w:t>
            </w:r>
          </w:p>
        </w:tc>
        <w:tc>
          <w:tcPr>
            <w:tcW w:type="dxa" w:w="2351"/>
          </w:tcPr>
          <w:p>
            <w:r/>
            <w:r>
              <w:rPr>
                <w:rFonts w:ascii="Calibri" w:hAnsi="Calibri"/>
                <w:b w:val="0"/>
                <w:i w:val="0"/>
                <w:color w:val="000000"/>
                <w:sz w:val="18"/>
              </w:rPr>
              <w:t>LCY-MOI-ADH-2026-001</w:t>
            </w:r>
          </w:p>
        </w:tc>
        <w:tc>
          <w:tcPr>
            <w:tcW w:type="dxa" w:w="2351"/>
          </w:tcPr>
          <w:p>
            <w:r/>
            <w:r>
              <w:rPr>
                <w:rFonts w:ascii="Calibri" w:hAnsi="Calibri"/>
                <w:b w:val="0"/>
                <w:i w:val="0"/>
                <w:color w:val="000000"/>
                <w:sz w:val="18"/>
              </w:rPr>
              <w:t>Deed of Group Adherence (template)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13</w:t>
            </w:r>
          </w:p>
        </w:tc>
        <w:tc>
          <w:tcPr>
            <w:tcW w:type="dxa" w:w="2351"/>
          </w:tcPr>
          <w:p>
            <w:r/>
            <w:r>
              <w:rPr>
                <w:rFonts w:ascii="Calibri" w:hAnsi="Calibri"/>
                <w:b w:val="0"/>
                <w:i w:val="0"/>
                <w:color w:val="000000"/>
                <w:sz w:val="18"/>
              </w:rPr>
              <w:t>LCY-DIR-IND-2026-001</w:t>
            </w:r>
          </w:p>
        </w:tc>
        <w:tc>
          <w:tcPr>
            <w:tcW w:type="dxa" w:w="2351"/>
          </w:tcPr>
          <w:p>
            <w:r/>
            <w:r>
              <w:rPr>
                <w:rFonts w:ascii="Calibri" w:hAnsi="Calibri"/>
                <w:b w:val="0"/>
                <w:i w:val="0"/>
                <w:color w:val="000000"/>
                <w:sz w:val="18"/>
              </w:rPr>
              <w:t>Director &amp; Officer Protections (D&amp;O + indemnity)</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14</w:t>
            </w:r>
          </w:p>
        </w:tc>
        <w:tc>
          <w:tcPr>
            <w:tcW w:type="dxa" w:w="2351"/>
          </w:tcPr>
          <w:p>
            <w:r/>
            <w:r>
              <w:rPr>
                <w:rFonts w:ascii="Calibri" w:hAnsi="Calibri"/>
                <w:b w:val="0"/>
                <w:i w:val="0"/>
                <w:color w:val="000000"/>
                <w:sz w:val="18"/>
              </w:rPr>
              <w:t>LCY-SHR-DO-2026-001</w:t>
            </w:r>
          </w:p>
        </w:tc>
        <w:tc>
          <w:tcPr>
            <w:tcW w:type="dxa" w:w="2351"/>
          </w:tcPr>
          <w:p>
            <w:r/>
            <w:r>
              <w:rPr>
                <w:rFonts w:ascii="Calibri" w:hAnsi="Calibri"/>
                <w:b w:val="0"/>
                <w:i w:val="0"/>
                <w:color w:val="000000"/>
                <w:sz w:val="18"/>
              </w:rPr>
              <w:t>Shareholder Resolution — D&amp;O Insurance &amp; Indemnity</w:t>
            </w:r>
          </w:p>
        </w:tc>
        <w:tc>
          <w:tcPr>
            <w:tcW w:type="dxa" w:w="2351"/>
          </w:tcPr>
          <w:p>
            <w:r/>
            <w:r>
              <w:rPr>
                <w:rFonts w:ascii="Calibri" w:hAnsi="Calibri"/>
                <w:b w:val="0"/>
                <w:i w:val="0"/>
                <w:color w:val="000000"/>
                <w:sz w:val="18"/>
              </w:rPr>
              <w:t>Restarts at page 1</w:t>
            </w:r>
          </w:p>
        </w:tc>
      </w:tr>
    </w:tbl>
    <w:p/>
    <w:p>
      <w:pPr>
        <w:jc w:val="both"/>
      </w:pPr>
      <w:r>
        <w:rPr>
          <w:rFonts w:ascii="Calibri" w:hAnsi="Calibri"/>
          <w:b w:val="0"/>
          <w:i w:val="0"/>
          <w:color w:val="404040"/>
          <w:sz w:val="18"/>
        </w:rPr>
        <w:t>Each part below begins on a new page with its own footer and page numbering. Print or PDF each section separately using the footer label, or print the full pack for counsel review.</w:t>
      </w:r>
    </w:p>
    <w:p>
      <w:pPr>
        <w:sectPr>
          <w:footerReference w:type="default" r:id="rId9"/>
          <w:pgSz w:w="12240" w:h="15840"/>
          <w:pgMar w:top="1134" w:right="1417" w:bottom="1247" w:left="1417" w:header="720" w:footer="720" w:gutter="0"/>
          <w:cols w:space="720"/>
          <w:docGrid w:linePitch="360"/>
        </w:sectPr>
      </w:pPr>
    </w:p>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TEAM OPERATIONAL CONSULTANCY AGREEMENT</w:t>
      </w:r>
    </w:p>
    <w:p>
      <w:pPr>
        <w:jc w:val="center"/>
      </w:pPr>
      <w:r>
        <w:rPr>
          <w:rFonts w:ascii="Calibri" w:hAnsi="Calibri"/>
          <w:b w:val="0"/>
          <w:i/>
          <w:color w:val="404040"/>
          <w:sz w:val="22"/>
        </w:rPr>
        <w:t>BESS EPC Portfolio &amp; Future Business Operations — Lighthief Cyprus Ltd</w:t>
      </w:r>
    </w:p>
    <w:p/>
    <w:p>
      <w:pPr>
        <w:jc w:val="both"/>
      </w:pPr>
      <w:r>
        <w:rPr>
          <w:rFonts w:ascii="Calibri" w:hAnsi="Calibri"/>
          <w:b w:val="0"/>
          <w:i w:val="0"/>
          <w:color w:val="000000"/>
          <w:sz w:val="20"/>
        </w:rPr>
        <w:br/>
        <w:t>Date: ______________________ 2026</w:t>
        <w:br/>
        <w:t xml:space="preserve">    |  </w:t>
        <w:br/>
        <w:t xml:space="preserve">  Reference: LCY-MOI-TOCA-2026-001</w:t>
        <w:br/>
        <w:t xml:space="preserve">    |  </w:t>
        <w:br/>
        <w:t xml:space="preserve">  Executed as a Deed</w:t>
        <w:br/>
      </w:r>
    </w:p>
    <w:p>
      <w:r>
        <w:rPr>
          <w:rFonts w:ascii="Calibri" w:hAnsi="Calibri"/>
          <w:b w:val="0"/>
          <w:i w:val="0"/>
          <w:color w:val="000000"/>
          <w:sz w:val="20"/>
        </w:rPr>
        <w:t>═══ PARTIES ═══</w:t>
      </w:r>
    </w:p>
    <w:p>
      <w:r>
        <w:rPr>
          <w:rFonts w:ascii="Calibri" w:hAnsi="Calibri"/>
          <w:b/>
          <w:i w:val="0"/>
          <w:color w:val="1A365D"/>
          <w:sz w:val="20"/>
        </w:rPr>
        <w:t>The Company</w:t>
      </w:r>
    </w:p>
    <w:p>
      <w:r>
        <w:rPr>
          <w:rFonts w:ascii="Calibri" w:hAnsi="Calibri"/>
          <w:b w:val="0"/>
          <w:i w:val="0"/>
          <w:color w:val="000000"/>
          <w:sz w:val="18"/>
        </w:rPr>
        <w:t>Lighthief Cyprus Ltd</w:t>
      </w:r>
    </w:p>
    <w:p>
      <w:r>
        <w:rPr>
          <w:rFonts w:ascii="Calibri" w:hAnsi="Calibri"/>
          <w:b w:val="0"/>
          <w:i w:val="0"/>
          <w:color w:val="000000"/>
          <w:sz w:val="18"/>
        </w:rPr>
        <w:t>Company No. HE 477423</w:t>
      </w:r>
    </w:p>
    <w:p>
      <w:r>
        <w:rPr>
          <w:rFonts w:ascii="Calibri" w:hAnsi="Calibri"/>
          <w:b w:val="0"/>
          <w:i w:val="0"/>
          <w:color w:val="000000"/>
          <w:sz w:val="18"/>
        </w:rPr>
        <w:t>TIN: 60187188Q</w:t>
      </w:r>
    </w:p>
    <w:p>
      <w:r>
        <w:rPr>
          <w:rFonts w:ascii="Calibri" w:hAnsi="Calibri"/>
          <w:b w:val="0"/>
          <w:i w:val="0"/>
          <w:color w:val="000000"/>
          <w:sz w:val="18"/>
        </w:rPr>
        <w:t>Registered: Agiou Andreou 241, AG TRIAS COURT, Flat/Office 31, 3036 Limassol, Cyprus</w:t>
      </w:r>
    </w:p>
    <w:p>
      <w:r>
        <w:rPr>
          <w:rFonts w:ascii="Calibri" w:hAnsi="Calibri"/>
          <w:b w:val="0"/>
          <w:i w:val="0"/>
          <w:color w:val="000000"/>
          <w:sz w:val="18"/>
        </w:rPr>
        <w:t>Operational: 28 October Ave 249, Lophitis Business Center 1, Office 201, 3035 Limassol</w:t>
      </w:r>
    </w:p>
    <w:p>
      <w:r>
        <w:rPr>
          <w:rFonts w:ascii="Calibri" w:hAnsi="Calibri"/>
          <w:b w:val="0"/>
          <w:i w:val="0"/>
          <w:color w:val="000000"/>
          <w:sz w:val="18"/>
        </w:rPr>
        <w:t>Director: Alexander Papacosta (Cyprus ID: 1241318)</w:t>
      </w:r>
    </w:p>
    <w:p>
      <w:r>
        <w:rPr>
          <w:rFonts w:ascii="Calibri" w:hAnsi="Calibri"/>
          <w:b w:val="0"/>
          <w:i w:val="0"/>
          <w:color w:val="000000"/>
          <w:sz w:val="18"/>
        </w:rPr>
        <w:t>Shareholder: Lighthief International Ltd</w:t>
      </w:r>
    </w:p>
    <w:p>
      <w:r>
        <w:rPr>
          <w:rFonts w:ascii="Calibri" w:hAnsi="Calibri"/>
          <w:b w:val="0"/>
          <w:i w:val="0"/>
          <w:color w:val="000000"/>
          <w:sz w:val="18"/>
        </w:rPr>
        <w:t>UBO: Dr. Arkadiusz Sybaris</w:t>
      </w:r>
    </w:p>
    <w:p>
      <w:r>
        <w:rPr>
          <w:rFonts w:ascii="Calibri" w:hAnsi="Calibri"/>
          <w:b w:val="0"/>
          <w:i w:val="0"/>
          <w:color w:val="000000"/>
          <w:sz w:val="18"/>
        </w:rPr>
        <w:t>(hereinafter "the Company")</w:t>
      </w:r>
    </w:p>
    <w:p>
      <w:r>
        <w:rPr>
          <w:rFonts w:ascii="Calibri" w:hAnsi="Calibri"/>
          <w:b/>
          <w:i w:val="0"/>
          <w:color w:val="1A365D"/>
          <w:sz w:val="20"/>
        </w:rPr>
        <w:t>The Consultant</w:t>
      </w:r>
    </w:p>
    <w:p>
      <w:r>
        <w:rPr>
          <w:rFonts w:ascii="Calibri" w:hAnsi="Calibri"/>
          <w:b w:val="0"/>
          <w:i w:val="0"/>
          <w:color w:val="000000"/>
          <w:sz w:val="18"/>
        </w:rPr>
        <w:t>Moi Ostrov Ltd</w:t>
      </w:r>
    </w:p>
    <w:p>
      <w:r>
        <w:rPr>
          <w:rFonts w:ascii="Calibri" w:hAnsi="Calibri"/>
          <w:b w:val="0"/>
          <w:i w:val="0"/>
          <w:color w:val="000000"/>
          <w:sz w:val="18"/>
        </w:rPr>
        <w:t>Company No. HE 319483</w:t>
      </w:r>
    </w:p>
    <w:p>
      <w:r>
        <w:rPr>
          <w:rFonts w:ascii="Calibri" w:hAnsi="Calibri"/>
          <w:b w:val="0"/>
          <w:i w:val="0"/>
          <w:color w:val="000000"/>
          <w:sz w:val="18"/>
        </w:rPr>
        <w:t>Registered: 7 Nikolaou Ellina, Shop 2, 8016 Paphos, Cyprus</w:t>
      </w:r>
    </w:p>
    <w:p>
      <w:r>
        <w:rPr>
          <w:rFonts w:ascii="Calibri" w:hAnsi="Calibri"/>
          <w:b w:val="0"/>
          <w:i w:val="0"/>
          <w:color w:val="000000"/>
          <w:sz w:val="18"/>
        </w:rPr>
        <w:t>Director: Alexander Papacosta (Cyprus ID: 1241318)</w:t>
      </w:r>
    </w:p>
    <w:p>
      <w:r>
        <w:rPr>
          <w:rFonts w:ascii="Calibri" w:hAnsi="Calibri"/>
          <w:b w:val="0"/>
          <w:i w:val="0"/>
          <w:color w:val="000000"/>
          <w:sz w:val="18"/>
        </w:rPr>
        <w:t>Email: al@moiostrov.com</w:t>
      </w:r>
    </w:p>
    <w:p>
      <w:r>
        <w:rPr>
          <w:rFonts w:ascii="Calibri" w:hAnsi="Calibri"/>
          <w:b w:val="0"/>
          <w:i w:val="0"/>
          <w:color w:val="000000"/>
          <w:sz w:val="18"/>
        </w:rPr>
        <w:t>Tel: +357 99 164 158</w:t>
      </w:r>
    </w:p>
    <w:p>
      <w:r>
        <w:rPr>
          <w:rFonts w:ascii="Calibri" w:hAnsi="Calibri"/>
          <w:b w:val="0"/>
          <w:i w:val="0"/>
          <w:color w:val="000000"/>
          <w:sz w:val="18"/>
        </w:rPr>
        <w:t>(hereinafter "the Consultant")</w:t>
      </w:r>
    </w:p>
    <w:p/>
    <w:p>
      <w:pPr>
        <w:jc w:val="both"/>
      </w:pPr>
      <w:r>
        <w:rPr>
          <w:rFonts w:ascii="Calibri" w:hAnsi="Calibri"/>
          <w:b w:val="0"/>
          <w:i w:val="0"/>
          <w:color w:val="000000"/>
          <w:sz w:val="20"/>
        </w:rPr>
        <w:t>The Company and the Consultant are each a "Party" and together the "Parties".</w:t>
      </w:r>
    </w:p>
    <w:p>
      <w:r>
        <w:rPr>
          <w:rFonts w:ascii="Calibri" w:hAnsi="Calibri"/>
          <w:b w:val="0"/>
          <w:i w:val="0"/>
          <w:color w:val="000000"/>
          <w:sz w:val="20"/>
        </w:rPr>
        <w:t>═══ RECITALS ═══</w:t>
      </w:r>
    </w:p>
    <w:p>
      <w:pPr>
        <w:spacing w:before="28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Company is engaged as the exclusive EPC contractor for the delivery of Battery Energy Storage Systems (BESS) across 51 solar parks in Cyprus, comprising a portfolio of approximately 881.78 MWh, under distribution and EPC agreements with Linyang Energy, Voltus Energy, and end clients (the "Existing Project").</w:t>
      </w:r>
    </w:p>
    <w:p>
      <w:pPr>
        <w:jc w:val="both"/>
      </w:pPr>
      <w:r>
        <w:rPr>
          <w:rFonts w:ascii="Calibri" w:hAnsi="Calibri"/>
          <w:b w:val="0"/>
          <w:i w:val="0"/>
          <w:color w:val="000000"/>
          <w:sz w:val="20"/>
        </w:rPr>
        <w:t>(B) Alexander Papacosta, the sole director of the Consultant and currently a director of the Company, personally originated, structured, and secured the Existing Project, including establishing the Linyang distribution partnership, negotiating EPC terms with all six client groups, obtaining SCADA/EMS quotations from Voltus Energy, and developing the entire Cyprus BESS pipeline.</w:t>
      </w:r>
    </w:p>
    <w:p>
      <w:pPr>
        <w:jc w:val="both"/>
      </w:pPr>
      <w:r>
        <w:rPr>
          <w:rFonts w:ascii="Calibri" w:hAnsi="Calibri"/>
          <w:b w:val="0"/>
          <w:i w:val="0"/>
          <w:color w:val="000000"/>
          <w:sz w:val="20"/>
        </w:rPr>
        <w:t>(C) In addition to origination, the Consultant provides ongoing operational services essential to the Company's business, including project management, team coordination and supervision, subcontractor procurement and oversight, client relationship management, supply chain management, EPC execution planning, and quality assurance — as more particularly described in Schedule 3.</w:t>
      </w:r>
    </w:p>
    <w:p>
      <w:pPr>
        <w:jc w:val="both"/>
      </w:pPr>
      <w:r>
        <w:rPr>
          <w:rFonts w:ascii="Calibri" w:hAnsi="Calibri"/>
          <w:b w:val="0"/>
          <w:i w:val="0"/>
          <w:color w:val="000000"/>
          <w:sz w:val="20"/>
        </w:rPr>
        <w:t>(D) The Company anticipates future business beyond the Existing Project, including but not limited to: fund-generated EPC contracts, management fees, operations and maintenance (O&amp;M) revenue, energy trading, BESS supply margins, and new client acquisitions (the "Future Business").</w:t>
      </w:r>
    </w:p>
    <w:p>
      <w:pPr>
        <w:jc w:val="both"/>
      </w:pPr>
      <w:r>
        <w:rPr>
          <w:rFonts w:ascii="Calibri" w:hAnsi="Calibri"/>
          <w:b w:val="0"/>
          <w:i w:val="0"/>
          <w:color w:val="000000"/>
          <w:sz w:val="20"/>
        </w:rPr>
        <w:t>(E) The Parties wish to formalise a two-part fee structure recognising: (i) the Consultant's entitlement to an Origination Fee for the Existing Project (Part A); and (ii) a Team Operations Fee on future Cyprus BESS EPC and O&amp;M business as described in Part B and Clause 3.1A.</w:t>
      </w:r>
    </w:p>
    <w:p>
      <w:pPr>
        <w:jc w:val="both"/>
      </w:pPr>
      <w:r>
        <w:rPr>
          <w:rFonts w:ascii="Calibri" w:hAnsi="Calibri"/>
          <w:b w:val="0"/>
          <w:i w:val="0"/>
          <w:color w:val="000000"/>
          <w:sz w:val="20"/>
        </w:rPr>
        <w:t>(F) Lighthief International Ltd, as the sole shareholder of the Company, has approved this Agreement by way of a Written Shareholder Resolution annexed hereto as Annex A. The ultimate beneficial owner, Dr. Arkadiusz Sybaris, has provided a personal undertaking annexed hereto as Annex B.</w:t>
      </w:r>
    </w:p>
    <w:p>
      <w:pPr>
        <w:jc w:val="both"/>
      </w:pPr>
      <w:r>
        <w:rPr>
          <w:rFonts w:ascii="Calibri" w:hAnsi="Calibri"/>
          <w:b w:val="0"/>
          <w:i w:val="0"/>
          <w:color w:val="000000"/>
          <w:sz w:val="20"/>
        </w:rPr>
        <w:t>(G) The Parties intend that this Agreement shall be a binding contractual obligation of the Company for the Minimum Term and on the terms set out in Clause 5, including survival of accrued fee entitlements on signed contracts, and shall be disclosed to new shareholders as a Pre-Existing Obligation pursuant to Clause 6.3, without prejudice to the statutory rights of shareholders under the Companies Law, Cap. 113.</w:t>
      </w:r>
    </w:p>
    <w:p>
      <w:pPr>
        <w:jc w:val="both"/>
      </w:pPr>
      <w:r>
        <w:rPr>
          <w:rFonts w:ascii="Calibri" w:hAnsi="Calibri"/>
          <w:b w:val="0"/>
          <w:i w:val="0"/>
          <w:color w:val="000000"/>
          <w:sz w:val="20"/>
        </w:rPr>
        <w:t>NOW THIS DEED WITNESSES as follows:</w:t>
      </w:r>
    </w:p>
    <w:p>
      <w:r>
        <w:rPr>
          <w:rFonts w:ascii="Calibri" w:hAnsi="Calibri"/>
          <w:b w:val="0"/>
          <w:i w:val="0"/>
          <w:color w:val="000000"/>
          <w:sz w:val="20"/>
        </w:rPr>
        <w:t>═══ CLAUSE 1 — DEFINITIONS ═══</w:t>
      </w:r>
    </w:p>
    <w:p>
      <w:pPr>
        <w:spacing w:before="280"/>
      </w:pPr>
      <w:r>
        <w:rPr>
          <w:rFonts w:ascii="Calibri" w:hAnsi="Calibri"/>
          <w:b/>
          <w:i w:val="0"/>
          <w:color w:val="C9A432"/>
          <w:sz w:val="24"/>
        </w:rPr>
        <w:t>1. Definitions</w:t>
      </w:r>
    </w:p>
    <w:p>
      <w:pPr>
        <w:jc w:val="both"/>
      </w:pPr>
      <w:r>
        <w:rPr>
          <w:rFonts w:ascii="Calibri" w:hAnsi="Calibri"/>
          <w:b w:val="0"/>
          <w:i w:val="0"/>
          <w:color w:val="000000"/>
          <w:sz w:val="20"/>
        </w:rPr>
        <w:t>1.1 In this Agreement:</w:t>
      </w:r>
    </w:p>
    <w:p>
      <w:pPr>
        <w:jc w:val="both"/>
      </w:pPr>
      <w:r>
        <w:rPr>
          <w:rFonts w:ascii="Calibri" w:hAnsi="Calibri"/>
          <w:b w:val="0"/>
          <w:i w:val="0"/>
          <w:color w:val="000000"/>
          <w:sz w:val="20"/>
        </w:rPr>
        <w:br/>
        <w:t xml:space="preserve">  "Client Price" means the total price invoiced by the Company to an end client (or any intermediary on behalf of an end client) for the supply, installation, and commissioning of a BESS system at a Park, as set out in the EPC contract between the Company and such client, inclusive of all EPC works, project management, and margin.</w:t>
        <w:br/>
      </w:r>
    </w:p>
    <w:p>
      <w:pPr>
        <w:jc w:val="both"/>
      </w:pPr>
      <w:r>
        <w:rPr>
          <w:rFonts w:ascii="Calibri" w:hAnsi="Calibri"/>
          <w:b w:val="0"/>
          <w:i w:val="0"/>
          <w:color w:val="000000"/>
          <w:sz w:val="20"/>
        </w:rPr>
        <w:br/>
        <w:t xml:space="preserve">  "CIF Cost" means the landed cost of BESS equipment (battery containers, PCS/MV skids, and associated OEM hardware) delivered CIF Limassol, Cyprus, as invoiced by Linyang/Solarfun to the Company, including import duties and customs clearance.</w:t>
        <w:br/>
      </w:r>
    </w:p>
    <w:p>
      <w:pPr>
        <w:jc w:val="both"/>
      </w:pPr>
      <w:r>
        <w:rPr>
          <w:rFonts w:ascii="Calibri" w:hAnsi="Calibri"/>
          <w:b w:val="0"/>
          <w:i w:val="0"/>
          <w:color w:val="000000"/>
          <w:sz w:val="20"/>
        </w:rPr>
        <w:br/>
        <w:t xml:space="preserve">  "EPC Cost" means all costs incurred by the Company in delivering the BESS to the end client, excluding CIF Cost, including but not limited to: civil works, electrical works, EMS/SCADA (Voltus), lightning protection (DEHN), logistics, crane hire, cabling, commissioning, project management, insurance, and all other installation and compliance costs.</w:t>
        <w:br/>
      </w:r>
    </w:p>
    <w:p>
      <w:pPr>
        <w:jc w:val="both"/>
      </w:pPr>
      <w:r>
        <w:rPr>
          <w:rFonts w:ascii="Calibri" w:hAnsi="Calibri"/>
          <w:b w:val="0"/>
          <w:i w:val="0"/>
          <w:color w:val="000000"/>
          <w:sz w:val="20"/>
        </w:rPr>
        <w:br/>
        <w:t xml:space="preserve">  "Net Margin" means, for each Park or revenue stream:</w:t>
        <w:br/>
      </w:r>
    </w:p>
    <w:p>
      <w:pPr>
        <w:jc w:val="both"/>
      </w:pPr>
      <w:r>
        <w:rPr>
          <w:rFonts w:ascii="Calibri" w:hAnsi="Calibri"/>
          <w:b w:val="0"/>
          <w:i w:val="0"/>
          <w:color w:val="000000"/>
          <w:sz w:val="20"/>
        </w:rPr>
        <w:br/>
        <w:t xml:space="preserve">  Net Margin = Client Price − CIF Cost − EPC Cost</w:t>
        <w:br/>
      </w:r>
    </w:p>
    <w:p>
      <w:pPr>
        <w:jc w:val="both"/>
      </w:pPr>
      <w:r>
        <w:rPr>
          <w:rFonts w:ascii="Calibri" w:hAnsi="Calibri"/>
          <w:b w:val="0"/>
          <w:i w:val="0"/>
          <w:color w:val="000000"/>
          <w:sz w:val="20"/>
        </w:rPr>
        <w:br/>
        <w:t xml:space="preserve">  being the gross profit earned by the Company before corporate overheads, tax, and the Fee.</w:t>
        <w:br/>
      </w:r>
    </w:p>
    <w:p>
      <w:pPr>
        <w:jc w:val="both"/>
      </w:pPr>
      <w:r>
        <w:rPr>
          <w:rFonts w:ascii="Calibri" w:hAnsi="Calibri"/>
          <w:b w:val="0"/>
          <w:i w:val="0"/>
          <w:color w:val="000000"/>
          <w:sz w:val="20"/>
        </w:rPr>
        <w:br/>
        <w:t xml:space="preserve">  "Net Revenue" means, for revenue streams that do not involve CIF/EPC cost structures (e.g. management fees, O&amp;M contracts, energy trading, fund carried interest, advisory fees), the total revenue received by the Company less any direct third-party costs specifically attributable to delivering that service.</w:t>
        <w:br/>
      </w:r>
    </w:p>
    <w:p>
      <w:pPr>
        <w:jc w:val="both"/>
      </w:pPr>
      <w:r>
        <w:rPr>
          <w:rFonts w:ascii="Calibri" w:hAnsi="Calibri"/>
          <w:b w:val="0"/>
          <w:i w:val="0"/>
          <w:color w:val="000000"/>
          <w:sz w:val="20"/>
        </w:rPr>
        <w:br/>
        <w:t xml:space="preserve">  "Origination Fee" means thirty percent (30%) of the Net Margin on the Existing Project, payable under Part A.</w:t>
        <w:br/>
      </w:r>
    </w:p>
    <w:p>
      <w:pPr>
        <w:jc w:val="both"/>
      </w:pPr>
      <w:r>
        <w:rPr>
          <w:rFonts w:ascii="Calibri" w:hAnsi="Calibri"/>
          <w:b w:val="0"/>
          <w:i w:val="0"/>
          <w:color w:val="000000"/>
          <w:sz w:val="20"/>
        </w:rPr>
        <w:br/>
        <w:t xml:space="preserve">  "Team Operations Fee" means thirty percent (30%) of the Net Margin or Net Revenue (as applicable) on all Company business, payable under Part B, and controlled and distributed by the Director at his discretion to the operational team.</w:t>
        <w:br/>
      </w:r>
    </w:p>
    <w:p>
      <w:pPr>
        <w:jc w:val="both"/>
      </w:pPr>
      <w:r>
        <w:rPr>
          <w:rFonts w:ascii="Calibri" w:hAnsi="Calibri"/>
          <w:b w:val="0"/>
          <w:i w:val="0"/>
          <w:color w:val="000000"/>
          <w:sz w:val="20"/>
        </w:rPr>
        <w:br/>
        <w:t xml:space="preserve">  "Park" means each individual solar park and its associated BESS installation, as listed in Schedule 1.</w:t>
        <w:br/>
      </w:r>
    </w:p>
    <w:p>
      <w:pPr>
        <w:jc w:val="both"/>
      </w:pPr>
      <w:r>
        <w:rPr>
          <w:rFonts w:ascii="Calibri" w:hAnsi="Calibri"/>
          <w:b w:val="0"/>
          <w:i w:val="0"/>
          <w:color w:val="000000"/>
          <w:sz w:val="20"/>
        </w:rPr>
        <w:br/>
        <w:t xml:space="preserve">  "Existing Project" means the entire portfolio of 51 Parks listed in Schedule 1, and any additional BESS parks added to the Company's EPC portfolio that were originated or introduced by Alexander Papacosta prior to the date of this Agreement.</w:t>
        <w:br/>
      </w:r>
    </w:p>
    <w:p>
      <w:pPr>
        <w:jc w:val="both"/>
      </w:pPr>
      <w:r>
        <w:rPr>
          <w:rFonts w:ascii="Calibri" w:hAnsi="Calibri"/>
          <w:b w:val="0"/>
          <w:i w:val="0"/>
          <w:color w:val="000000"/>
          <w:sz w:val="20"/>
        </w:rPr>
        <w:br/>
        <w:t xml:space="preserve">  "Future Business" means all revenue earned by the Company from any source whatsoever that does not form part of the Existing Project, including but not limited to: (i) fund-generated EPC contracts; (ii) fund management fees; (iii) operations and maintenance (O&amp;M) contracts; (iv) energy trading or energy arbitrage revenue; (v) BESS supply margins on new projects; (vi) consultancy, advisory, or engineering fees; (vii) carried interest or performance fees from any fund vehicle; (viii) new client EPC contracts; and (ix) any other revenue stream of the Company.</w:t>
        <w:br/>
      </w:r>
    </w:p>
    <w:p>
      <w:pPr>
        <w:jc w:val="both"/>
      </w:pPr>
      <w:r>
        <w:rPr>
          <w:rFonts w:ascii="Calibri" w:hAnsi="Calibri"/>
          <w:b w:val="0"/>
          <w:i w:val="0"/>
          <w:color w:val="000000"/>
          <w:sz w:val="20"/>
        </w:rPr>
        <w:br/>
        <w:t xml:space="preserve">  "Director" means Alexander Papacosta (Cyprus ID: 1241318) in his capacity as a director of the Company and director of the Consultant.</w:t>
        <w:br/>
      </w:r>
    </w:p>
    <w:p>
      <w:pPr>
        <w:jc w:val="both"/>
      </w:pPr>
      <w:r>
        <w:rPr>
          <w:rFonts w:ascii="Calibri" w:hAnsi="Calibri"/>
          <w:b w:val="0"/>
          <w:i w:val="0"/>
          <w:color w:val="000000"/>
          <w:sz w:val="20"/>
        </w:rPr>
        <w:br/>
        <w:t xml:space="preserve">  "Protected Matter" has the meaning given in Clause 5.3.</w:t>
        <w:br/>
      </w:r>
    </w:p>
    <w:p>
      <w:pPr>
        <w:jc w:val="both"/>
      </w:pPr>
      <w:r>
        <w:rPr>
          <w:rFonts w:ascii="Calibri" w:hAnsi="Calibri"/>
          <w:b w:val="0"/>
          <w:i w:val="0"/>
          <w:color w:val="000000"/>
          <w:sz w:val="20"/>
        </w:rPr>
        <w:br/>
        <w:t xml:space="preserve">  "Group" means the Company and every entity that is, directly or indirectly, controlled by the same ultimate beneficial owner as the Company's shareholder (currently Dr. Arkadiusz Sybaris), including without limitation Lighthief International Ltd, any Polish, EU or other affiliate, and any entity formed after the date of this Agreement in which Dr. Arkadiusz Sybaris (alone or with persons acting in concert with him) holds, directly or indirectly, more than fifty percent (50%) of the voting rights, equity, or the right to appoint a majority of the board.</w:t>
        <w:br/>
      </w:r>
    </w:p>
    <w:p>
      <w:pPr>
        <w:jc w:val="both"/>
      </w:pPr>
      <w:r>
        <w:rPr>
          <w:rFonts w:ascii="Calibri" w:hAnsi="Calibri"/>
          <w:b w:val="0"/>
          <w:i w:val="0"/>
          <w:color w:val="000000"/>
          <w:sz w:val="20"/>
        </w:rPr>
        <w:br/>
        <w:t xml:space="preserve">  "Protected Project" means any BESS EPC contract, BESS equipment supply contract, LTSA/O&amp;M contract, or other contract for the delivery, installation, commissioning, or long-term operation of battery energy storage in respect of: (i) any Park listed in Schedule 1; (ii) any client or client group listed in Schedule 1; or (iii) any Future Business opportunity that was originated, introduced, or materially developed by the Consultant or the Director prior to or after the date of this Agreement for delivery in the Republic of Cyprus.</w:t>
        <w:br/>
      </w:r>
    </w:p>
    <w:p>
      <w:pPr>
        <w:jc w:val="both"/>
      </w:pPr>
      <w:r>
        <w:rPr>
          <w:rFonts w:ascii="Calibri" w:hAnsi="Calibri"/>
          <w:b w:val="0"/>
          <w:i w:val="0"/>
          <w:color w:val="000000"/>
          <w:sz w:val="20"/>
        </w:rPr>
        <w:br/>
        <w:t xml:space="preserve">  "Deemed Group Receipt" means, where any member of the Group (other than the Company) receives payment from an end client or intermediary in respect of a Protected Project, the amount so received shall be treated for all purposes of this Agreement as if it had been received by the Company on the date of actual receipt by such Group member.</w:t>
        <w:br/>
      </w:r>
    </w:p>
    <w:p>
      <w:r>
        <w:rPr>
          <w:rFonts w:ascii="Calibri" w:hAnsi="Calibri"/>
          <w:b w:val="0"/>
          <w:i w:val="0"/>
          <w:color w:val="000000"/>
          <w:sz w:val="20"/>
        </w:rPr>
        <w:t>═══ CLAUSE 2 — PART A: ORIGINATION FEE ═══</w:t>
      </w:r>
    </w:p>
    <w:p>
      <w:pPr>
        <w:spacing w:before="240"/>
      </w:pPr>
      <w:r>
        <w:rPr>
          <w:rFonts w:ascii="Calibri" w:hAnsi="Calibri"/>
          <w:b/>
          <w:i w:val="0"/>
          <w:color w:val="1A365D"/>
          <w:sz w:val="22"/>
        </w:rPr>
        <w:t>PART A — ORIGINATION FEE (Existing Project — 51 BESS Parks)</w:t>
      </w:r>
    </w:p>
    <w:p>
      <w:pPr>
        <w:spacing w:before="280"/>
      </w:pPr>
      <w:r>
        <w:rPr>
          <w:rFonts w:ascii="Calibri" w:hAnsi="Calibri"/>
          <w:b/>
          <w:i w:val="0"/>
          <w:color w:val="C9A432"/>
          <w:sz w:val="24"/>
        </w:rPr>
        <w:t>2. Origination Fee — Existing Project</w:t>
      </w:r>
    </w:p>
    <w:p>
      <w:pPr>
        <w:jc w:val="both"/>
      </w:pPr>
      <w:r>
        <w:rPr>
          <w:rFonts w:ascii="Calibri" w:hAnsi="Calibri"/>
          <w:b w:val="0"/>
          <w:i w:val="0"/>
          <w:color w:val="000000"/>
          <w:sz w:val="20"/>
        </w:rPr>
        <w:t>2.1 In consideration of the Consultant's role in personally originating, structuring, and securing the Existing Project, the Company shall pay the Consultant an Origination Fee equal to thirty percent (30%) of the Net Margin on each Park in the Existing Project.</w:t>
      </w:r>
    </w:p>
    <w:p>
      <w:pPr>
        <w:jc w:val="both"/>
      </w:pPr>
      <w:r>
        <w:rPr>
          <w:rFonts w:ascii="Calibri" w:hAnsi="Calibri"/>
          <w:b w:val="0"/>
          <w:i w:val="0"/>
          <w:color w:val="000000"/>
          <w:sz w:val="20"/>
        </w:rPr>
        <w:t>2.2 The Origination Fee shall be calculated on a per-Park basis. The Company shall provide the Consultant with a detailed margin calculation for each Park within fourteen (14) days of issuing each invoice to the end client, showing: (i) Client Price invoiced; (ii) CIF Cost allocated; (iii) EPC Cost allocated; and (iv) resulting Net Margin and Origination Fee amount.</w:t>
      </w:r>
    </w:p>
    <w:p>
      <w:pPr>
        <w:jc w:val="both"/>
      </w:pPr>
      <w:r>
        <w:rPr>
          <w:rFonts w:ascii="Calibri" w:hAnsi="Calibri"/>
          <w:b w:val="0"/>
          <w:i w:val="0"/>
          <w:color w:val="000000"/>
          <w:sz w:val="20"/>
        </w:rPr>
        <w:t>2.3 Payment Timing — Mirror Client Milestones: The Origination Fee shall become due and payable in instalments that mirror the payment milestones received from the end client. Whenever the Company receives a payment from an end client in respect of a Park, the proportionate share of the Origination Fee shall become due to the Consultant within fourteen (14) days of the Company receiving such payment.</w:t>
      </w:r>
    </w:p>
    <w:p>
      <w:pPr>
        <w:jc w:val="both"/>
      </w:pPr>
      <w:r>
        <w:rPr>
          <w:rFonts w:ascii="Calibri" w:hAnsi="Calibri"/>
          <w:b w:val="0"/>
          <w:i w:val="0"/>
          <w:color w:val="000000"/>
          <w:sz w:val="20"/>
        </w:rPr>
        <w:t>For illustration, based on the standard EPC payment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Client Payment Milestone</w:t>
            </w:r>
          </w:p>
        </w:tc>
        <w:tc>
          <w:tcPr>
            <w:tcW w:type="dxa" w:w="3135"/>
            <w:shd w:fill="1A365D" w:val="clear"/>
          </w:tcPr>
          <w:p>
            <w:pPr>
              <w:jc w:val="left"/>
            </w:pPr>
            <w:r>
              <w:rPr>
                <w:b/>
                <w:color w:val="FFFFFF"/>
              </w:rPr>
            </w:r>
            <w:r>
              <w:rPr>
                <w:rFonts w:ascii="Calibri" w:hAnsi="Calibri"/>
                <w:b/>
                <w:i w:val="0"/>
                <w:color w:val="FFFFFF"/>
                <w:sz w:val="18"/>
              </w:rPr>
              <w:t>% of Contract</w:t>
            </w:r>
          </w:p>
        </w:tc>
        <w:tc>
          <w:tcPr>
            <w:tcW w:type="dxa" w:w="3135"/>
            <w:shd w:fill="1A365D" w:val="clear"/>
          </w:tcPr>
          <w:p>
            <w:pPr>
              <w:jc w:val="left"/>
            </w:pPr>
            <w:r>
              <w:rPr>
                <w:b/>
                <w:color w:val="FFFFFF"/>
              </w:rPr>
            </w:r>
            <w:r>
              <w:rPr>
                <w:rFonts w:ascii="Calibri" w:hAnsi="Calibri"/>
                <w:b/>
                <w:i w:val="0"/>
                <w:color w:val="FFFFFF"/>
                <w:sz w:val="18"/>
              </w:rPr>
              <w:t>Origination Fee Payment to Consultant</w:t>
            </w:r>
          </w:p>
        </w:tc>
      </w:tr>
      <w:tr>
        <w:tc>
          <w:tcPr>
            <w:tcW w:type="dxa" w:w="3135"/>
          </w:tcPr>
          <w:p>
            <w:r/>
            <w:r>
              <w:rPr>
                <w:rFonts w:ascii="Calibri" w:hAnsi="Calibri"/>
                <w:b w:val="0"/>
                <w:i w:val="0"/>
                <w:color w:val="000000"/>
                <w:sz w:val="18"/>
              </w:rPr>
              <w:t>Advance (contract signing)</w:t>
            </w:r>
          </w:p>
        </w:tc>
        <w:tc>
          <w:tcPr>
            <w:tcW w:type="dxa" w:w="3135"/>
          </w:tcPr>
          <w:p>
            <w:pPr>
              <w:jc w:val="right"/>
            </w:pPr>
            <w:r/>
            <w:r>
              <w:rPr>
                <w:rFonts w:ascii="Calibri" w:hAnsi="Calibri"/>
                <w:b w:val="0"/>
                <w:i w:val="0"/>
                <w:color w:val="000000"/>
                <w:sz w:val="18"/>
              </w:rPr>
              <w:t>30%</w:t>
            </w:r>
          </w:p>
        </w:tc>
        <w:tc>
          <w:tcPr>
            <w:tcW w:type="dxa" w:w="3135"/>
          </w:tcPr>
          <w:p>
            <w:r/>
            <w:r>
              <w:rPr>
                <w:rFonts w:ascii="Calibri" w:hAnsi="Calibri"/>
                <w:b w:val="0"/>
                <w:i w:val="0"/>
                <w:color w:val="000000"/>
                <w:sz w:val="18"/>
              </w:rPr>
              <w:t>30% of total Origination Fee due, payable within 14 days of receipt</w:t>
            </w:r>
          </w:p>
        </w:tc>
      </w:tr>
      <w:tr>
        <w:tc>
          <w:tcPr>
            <w:tcW w:type="dxa" w:w="3135"/>
          </w:tcPr>
          <w:p>
            <w:r/>
            <w:r>
              <w:rPr>
                <w:rFonts w:ascii="Calibri" w:hAnsi="Calibri"/>
                <w:b w:val="0"/>
                <w:i w:val="0"/>
                <w:color w:val="000000"/>
                <w:sz w:val="18"/>
              </w:rPr>
              <w:t>Pre-shipment</w:t>
            </w:r>
          </w:p>
        </w:tc>
        <w:tc>
          <w:tcPr>
            <w:tcW w:type="dxa" w:w="3135"/>
          </w:tcPr>
          <w:p>
            <w:pPr>
              <w:jc w:val="right"/>
            </w:pPr>
            <w:r/>
            <w:r>
              <w:rPr>
                <w:rFonts w:ascii="Calibri" w:hAnsi="Calibri"/>
                <w:b w:val="0"/>
                <w:i w:val="0"/>
                <w:color w:val="000000"/>
                <w:sz w:val="18"/>
              </w:rPr>
              <w:t>55%</w:t>
            </w:r>
          </w:p>
        </w:tc>
        <w:tc>
          <w:tcPr>
            <w:tcW w:type="dxa" w:w="3135"/>
          </w:tcPr>
          <w:p>
            <w:r/>
            <w:r>
              <w:rPr>
                <w:rFonts w:ascii="Calibri" w:hAnsi="Calibri"/>
                <w:b w:val="0"/>
                <w:i w:val="0"/>
                <w:color w:val="000000"/>
                <w:sz w:val="18"/>
              </w:rPr>
              <w:t>55% of total Origination Fee due, payable within 14 days of receipt</w:t>
            </w:r>
          </w:p>
        </w:tc>
      </w:tr>
      <w:tr>
        <w:tc>
          <w:tcPr>
            <w:tcW w:type="dxa" w:w="3135"/>
          </w:tcPr>
          <w:p>
            <w:r/>
            <w:r>
              <w:rPr>
                <w:rFonts w:ascii="Calibri" w:hAnsi="Calibri"/>
                <w:b w:val="0"/>
                <w:i w:val="0"/>
                <w:color w:val="000000"/>
                <w:sz w:val="18"/>
              </w:rPr>
              <w:t>PAC (Provisional Acceptance)</w:t>
            </w:r>
          </w:p>
        </w:tc>
        <w:tc>
          <w:tcPr>
            <w:tcW w:type="dxa" w:w="3135"/>
          </w:tcPr>
          <w:p>
            <w:pPr>
              <w:jc w:val="right"/>
            </w:pPr>
            <w:r/>
            <w:r>
              <w:rPr>
                <w:rFonts w:ascii="Calibri" w:hAnsi="Calibri"/>
                <w:b w:val="0"/>
                <w:i w:val="0"/>
                <w:color w:val="000000"/>
                <w:sz w:val="18"/>
              </w:rPr>
              <w:t>10%</w:t>
            </w:r>
          </w:p>
        </w:tc>
        <w:tc>
          <w:tcPr>
            <w:tcW w:type="dxa" w:w="3135"/>
          </w:tcPr>
          <w:p>
            <w:r/>
            <w:r>
              <w:rPr>
                <w:rFonts w:ascii="Calibri" w:hAnsi="Calibri"/>
                <w:b w:val="0"/>
                <w:i w:val="0"/>
                <w:color w:val="000000"/>
                <w:sz w:val="18"/>
              </w:rPr>
              <w:t>10% of total Origination Fee due, payable within 14 days of receipt</w:t>
            </w:r>
          </w:p>
        </w:tc>
      </w:tr>
      <w:tr>
        <w:tc>
          <w:tcPr>
            <w:tcW w:type="dxa" w:w="3135"/>
          </w:tcPr>
          <w:p>
            <w:r/>
            <w:r>
              <w:rPr>
                <w:rFonts w:ascii="Calibri" w:hAnsi="Calibri"/>
                <w:b w:val="0"/>
                <w:i w:val="0"/>
                <w:color w:val="000000"/>
                <w:sz w:val="18"/>
              </w:rPr>
              <w:t>FAC (Final Acceptance / Retention)</w:t>
            </w:r>
          </w:p>
        </w:tc>
        <w:tc>
          <w:tcPr>
            <w:tcW w:type="dxa" w:w="3135"/>
          </w:tcPr>
          <w:p>
            <w:pPr>
              <w:jc w:val="right"/>
            </w:pPr>
            <w:r/>
            <w:r>
              <w:rPr>
                <w:rFonts w:ascii="Calibri" w:hAnsi="Calibri"/>
                <w:b w:val="0"/>
                <w:i w:val="0"/>
                <w:color w:val="000000"/>
                <w:sz w:val="18"/>
              </w:rPr>
              <w:t>5%</w:t>
            </w:r>
          </w:p>
        </w:tc>
        <w:tc>
          <w:tcPr>
            <w:tcW w:type="dxa" w:w="3135"/>
          </w:tcPr>
          <w:p>
            <w:r/>
            <w:r>
              <w:rPr>
                <w:rFonts w:ascii="Calibri" w:hAnsi="Calibri"/>
                <w:b w:val="0"/>
                <w:i w:val="0"/>
                <w:color w:val="000000"/>
                <w:sz w:val="18"/>
              </w:rPr>
              <w:t>5% of total Origination Fee due, payable within 14 days of receipt</w:t>
            </w:r>
          </w:p>
        </w:tc>
      </w:tr>
      <w:tr>
        <w:tc>
          <w:tcPr>
            <w:tcW w:type="dxa" w:w="3135"/>
          </w:tcPr>
          <w:p>
            <w:r/>
            <w:r>
              <w:rPr>
                <w:rFonts w:ascii="Calibri" w:hAnsi="Calibri"/>
                <w:b w:val="0"/>
                <w:i w:val="0"/>
                <w:color w:val="000000"/>
                <w:sz w:val="18"/>
              </w:rPr>
              <w:t>Total</w:t>
            </w:r>
          </w:p>
        </w:tc>
        <w:tc>
          <w:tcPr>
            <w:tcW w:type="dxa" w:w="3135"/>
          </w:tcPr>
          <w:p>
            <w:pPr>
              <w:jc w:val="right"/>
            </w:pPr>
            <w:r/>
            <w:r>
              <w:rPr>
                <w:rFonts w:ascii="Calibri" w:hAnsi="Calibri"/>
                <w:b w:val="0"/>
                <w:i w:val="0"/>
                <w:color w:val="000000"/>
                <w:sz w:val="18"/>
              </w:rPr>
              <w:t>100%</w:t>
            </w:r>
          </w:p>
        </w:tc>
        <w:tc>
          <w:tcPr>
            <w:tcW w:type="dxa" w:w="3135"/>
          </w:tcPr>
          <w:p>
            <w:r/>
            <w:r>
              <w:rPr>
                <w:rFonts w:ascii="Calibri" w:hAnsi="Calibri"/>
                <w:b w:val="0"/>
                <w:i w:val="0"/>
                <w:color w:val="000000"/>
                <w:sz w:val="18"/>
              </w:rPr>
              <w:t>100% of Origination Fee paid pro rata with client receipts</w:t>
            </w:r>
          </w:p>
        </w:tc>
      </w:tr>
    </w:tbl>
    <w:p/>
    <w:p>
      <w:pPr>
        <w:jc w:val="both"/>
      </w:pPr>
      <w:r>
        <w:rPr>
          <w:rFonts w:ascii="Calibri" w:hAnsi="Calibri"/>
          <w:b w:val="0"/>
          <w:i w:val="0"/>
          <w:color w:val="000000"/>
          <w:sz w:val="20"/>
        </w:rPr>
        <w:t>2.4 If the actual payment milestones for any particular client differ from those shown above, the same principle shall apply: the Origination Fee shall be payable at the same proportionate rate and at the same time as the Company receives payment from the end client.</w:t>
      </w:r>
    </w:p>
    <w:p>
      <w:pPr>
        <w:jc w:val="both"/>
      </w:pPr>
      <w:r>
        <w:rPr>
          <w:rFonts w:ascii="Calibri" w:hAnsi="Calibri"/>
          <w:b w:val="0"/>
          <w:i w:val="0"/>
          <w:color w:val="000000"/>
          <w:sz w:val="20"/>
        </w:rPr>
        <w:t>2.5 Rationale: The Origination Fee reflects the Consultant's direct and personal contribution in building the entire Existing Project pipeline from zero — including identifying all 51 parks, establishing the Linyang supply relationship, negotiating commercial terms with six separate client groups, and structuring the EPC model. Without these origination activities, the Existing Project would not exist. The 30% rate is commercially proportionate to the value created.</w:t>
      </w:r>
    </w:p>
    <w:p>
      <w:r>
        <w:rPr>
          <w:rFonts w:ascii="Calibri" w:hAnsi="Calibri"/>
          <w:b w:val="0"/>
          <w:i w:val="0"/>
          <w:color w:val="000000"/>
          <w:sz w:val="20"/>
        </w:rPr>
        <w:t>═══ CLAUSE 3 — PART B: TEAM OPERATIONS FEE ═══</w:t>
      </w:r>
    </w:p>
    <w:p>
      <w:pPr>
        <w:spacing w:before="240"/>
      </w:pPr>
      <w:r>
        <w:rPr>
          <w:rFonts w:ascii="Calibri" w:hAnsi="Calibri"/>
          <w:b/>
          <w:i w:val="0"/>
          <w:color w:val="1A365D"/>
          <w:sz w:val="22"/>
        </w:rPr>
        <w:t>PART B — TEAM OPERATIONS FEE (All Company Business)</w:t>
      </w:r>
    </w:p>
    <w:p>
      <w:pPr>
        <w:spacing w:before="280"/>
      </w:pPr>
      <w:r>
        <w:rPr>
          <w:rFonts w:ascii="Calibri" w:hAnsi="Calibri"/>
          <w:b/>
          <w:i w:val="0"/>
          <w:color w:val="C9A432"/>
          <w:sz w:val="24"/>
        </w:rPr>
        <w:t>3. Team Operations Fee — Future Cyprus BESS Business</w:t>
      </w:r>
    </w:p>
    <w:p>
      <w:pPr>
        <w:jc w:val="both"/>
      </w:pPr>
      <w:r>
        <w:rPr>
          <w:rFonts w:ascii="Calibri" w:hAnsi="Calibri"/>
          <w:b w:val="0"/>
          <w:i w:val="0"/>
          <w:color w:val="000000"/>
          <w:sz w:val="20"/>
        </w:rPr>
        <w:t>3.1 In consideration of the Consultant's ongoing provision of team operational services (as described in Schedule 3), the Company shall pay the Consultant a Team Operations Fee equal to thirty percent (30%) of the Net Margin on:</w:t>
      </w:r>
    </w:p>
    <w:p>
      <w:pPr>
        <w:jc w:val="both"/>
      </w:pPr>
      <w:r>
        <w:rPr>
          <w:rFonts w:ascii="Calibri" w:hAnsi="Calibri"/>
          <w:b w:val="0"/>
          <w:i w:val="0"/>
          <w:color w:val="000000"/>
          <w:sz w:val="20"/>
        </w:rPr>
        <w:t>(a) future Cyprus BESS EPC contracts and BESS supply agreements executed through the Company that are not part of the Existing Project; and</w:t>
      </w:r>
    </w:p>
    <w:p>
      <w:pPr>
        <w:jc w:val="both"/>
      </w:pPr>
      <w:r>
        <w:rPr>
          <w:rFonts w:ascii="Calibri" w:hAnsi="Calibri"/>
          <w:b w:val="0"/>
          <w:i w:val="0"/>
          <w:color w:val="000000"/>
          <w:sz w:val="20"/>
        </w:rPr>
        <w:t>(b) O&amp;M and LTSA revenue in respect of BESS installations delivered by the Company in Cyprus, where the Consultant provides operational services under Schedule 3.</w:t>
      </w:r>
    </w:p>
    <w:p>
      <w:pPr>
        <w:jc w:val="both"/>
      </w:pPr>
      <w:r>
        <w:rPr>
          <w:rFonts w:ascii="Calibri" w:hAnsi="Calibri"/>
          <w:b w:val="0"/>
          <w:i w:val="0"/>
          <w:color w:val="000000"/>
          <w:sz w:val="20"/>
        </w:rPr>
        <w:t>3.1A Exclusions: Part B does not apply to: (i) fund GP carried interest or AUM/management fees; (ii) equity subscription proceeds or shareholder investments; (iii) energy trading or arbitrage revenue unless the Consultant delivers those services under a separate written scope; (iv) projects physically located outside the Republic of Cyprus unless agreed in writing per project.</w:t>
      </w:r>
    </w:p>
    <w:p>
      <w:pPr>
        <w:jc w:val="both"/>
      </w:pPr>
      <w:r>
        <w:rPr>
          <w:rFonts w:ascii="Calibri" w:hAnsi="Calibri"/>
          <w:b w:val="0"/>
          <w:i w:val="0"/>
          <w:color w:val="000000"/>
          <w:sz w:val="20"/>
        </w:rPr>
        <w:t>3.2 Team Commission Pool: The Team Operations Fee is a team commission pool. The Director shall determine distribution among operational team members. The Consultant shall maintain confidential records of team allocations available to the Company's board on reasonable request to support the arm's-length character of this Agreement.</w:t>
      </w:r>
    </w:p>
    <w:p>
      <w:pPr>
        <w:jc w:val="both"/>
      </w:pPr>
      <w:r>
        <w:rPr>
          <w:rFonts w:ascii="Calibri" w:hAnsi="Calibri"/>
          <w:b w:val="0"/>
          <w:i w:val="0"/>
          <w:color w:val="000000"/>
          <w:sz w:val="20"/>
        </w:rPr>
        <w:t>3.3 Relationship to Origination Fee: For the Existing Project, the Origination Fee (Part A) and the Team Operations Fee (Part B) are not cumulative. The 30% rate applies once to each revenue stream. For the Existing Project parks listed in Schedule 1, the fee payable is the Origination Fee under Part A. The Team Operations Fee under Part B applies to all Future Business and any revenue streams not covered by Part A.</w:t>
      </w:r>
    </w:p>
    <w:p>
      <w:pPr>
        <w:jc w:val="both"/>
      </w:pPr>
      <w:r>
        <w:rPr>
          <w:rFonts w:ascii="Calibri" w:hAnsi="Calibri"/>
          <w:b w:val="0"/>
          <w:i w:val="0"/>
          <w:color w:val="000000"/>
          <w:sz w:val="20"/>
        </w:rPr>
        <w:t>3.4 Payment Timing: The Team Operations Fee shall become due and payable within fourteen (14) days of the Company receiving the corresponding revenue. For EPC contracts, payment shall mirror the client milestone structure described in Clause 2.3. For recurring revenue (management fees, O&amp;M, subscriptions), payment shall be made within fourteen (14) days of each receipt.</w:t>
      </w:r>
    </w:p>
    <w:p>
      <w:pPr>
        <w:jc w:val="both"/>
      </w:pPr>
      <w:r>
        <w:rPr>
          <w:rFonts w:ascii="Calibri" w:hAnsi="Calibri"/>
          <w:b w:val="0"/>
          <w:i w:val="0"/>
          <w:color w:val="000000"/>
          <w:sz w:val="20"/>
        </w:rPr>
        <w:t>3.5 Part B revenue streams (illustrative):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Revenue Stream</w:t>
            </w:r>
          </w:p>
        </w:tc>
        <w:tc>
          <w:tcPr>
            <w:tcW w:type="dxa" w:w="3135"/>
            <w:shd w:fill="1A365D" w:val="clear"/>
          </w:tcPr>
          <w:p>
            <w:pPr>
              <w:jc w:val="left"/>
            </w:pPr>
            <w:r>
              <w:rPr>
                <w:b/>
                <w:color w:val="FFFFFF"/>
              </w:rPr>
            </w:r>
            <w:r>
              <w:rPr>
                <w:rFonts w:ascii="Calibri" w:hAnsi="Calibri"/>
                <w:b/>
                <w:i w:val="0"/>
                <w:color w:val="FFFFFF"/>
                <w:sz w:val="18"/>
              </w:rPr>
              <w:t>Calculation Base</w:t>
            </w:r>
          </w:p>
        </w:tc>
        <w:tc>
          <w:tcPr>
            <w:tcW w:type="dxa" w:w="3135"/>
            <w:shd w:fill="1A365D" w:val="clear"/>
          </w:tcPr>
          <w:p>
            <w:pPr>
              <w:jc w:val="left"/>
            </w:pPr>
            <w:r>
              <w:rPr>
                <w:b/>
                <w:color w:val="FFFFFF"/>
              </w:rPr>
            </w:r>
            <w:r>
              <w:rPr>
                <w:rFonts w:ascii="Calibri" w:hAnsi="Calibri"/>
                <w:b/>
                <w:i w:val="0"/>
                <w:color w:val="FFFFFF"/>
                <w:sz w:val="18"/>
              </w:rPr>
              <w:t>Part B applies?</w:t>
            </w:r>
          </w:p>
        </w:tc>
      </w:tr>
      <w:tr>
        <w:tc>
          <w:tcPr>
            <w:tcW w:type="dxa" w:w="3135"/>
          </w:tcPr>
          <w:p>
            <w:r/>
            <w:r>
              <w:rPr>
                <w:rFonts w:ascii="Calibri" w:hAnsi="Calibri"/>
                <w:b w:val="0"/>
                <w:i w:val="0"/>
                <w:color w:val="000000"/>
                <w:sz w:val="18"/>
              </w:rPr>
              <w:t>New client Cyprus BESS EPC</w:t>
            </w:r>
          </w:p>
        </w:tc>
        <w:tc>
          <w:tcPr>
            <w:tcW w:type="dxa" w:w="3135"/>
          </w:tcPr>
          <w:p>
            <w:r/>
            <w:r>
              <w:rPr>
                <w:rFonts w:ascii="Calibri" w:hAnsi="Calibri"/>
                <w:b w:val="0"/>
                <w:i w:val="0"/>
                <w:color w:val="000000"/>
                <w:sz w:val="18"/>
              </w:rPr>
              <w:t>Net Margin</w:t>
            </w:r>
          </w:p>
        </w:tc>
        <w:tc>
          <w:tcPr>
            <w:tcW w:type="dxa" w:w="3135"/>
          </w:tcPr>
          <w:p>
            <w:r/>
            <w:r>
              <w:rPr>
                <w:rFonts w:ascii="Calibri" w:hAnsi="Calibri"/>
                <w:b w:val="0"/>
                <w:i w:val="0"/>
                <w:color w:val="000000"/>
                <w:sz w:val="18"/>
              </w:rPr>
              <w:t>Yes — if not in Schedule 1 / Part A</w:t>
            </w:r>
          </w:p>
        </w:tc>
      </w:tr>
      <w:tr>
        <w:tc>
          <w:tcPr>
            <w:tcW w:type="dxa" w:w="3135"/>
          </w:tcPr>
          <w:p>
            <w:r/>
            <w:r>
              <w:rPr>
                <w:rFonts w:ascii="Calibri" w:hAnsi="Calibri"/>
                <w:b w:val="0"/>
                <w:i w:val="0"/>
                <w:color w:val="000000"/>
                <w:sz w:val="18"/>
              </w:rPr>
              <w:t>Cyprus O&amp;M / LTSA</w:t>
            </w:r>
          </w:p>
        </w:tc>
        <w:tc>
          <w:tcPr>
            <w:tcW w:type="dxa" w:w="3135"/>
          </w:tcPr>
          <w:p>
            <w:r/>
            <w:r>
              <w:rPr>
                <w:rFonts w:ascii="Calibri" w:hAnsi="Calibri"/>
                <w:b w:val="0"/>
                <w:i w:val="0"/>
                <w:color w:val="000000"/>
                <w:sz w:val="18"/>
              </w:rPr>
              <w:t>Net Revenue</w:t>
            </w:r>
          </w:p>
        </w:tc>
        <w:tc>
          <w:tcPr>
            <w:tcW w:type="dxa" w:w="3135"/>
          </w:tcPr>
          <w:p>
            <w:r/>
            <w:r>
              <w:rPr>
                <w:rFonts w:ascii="Calibri" w:hAnsi="Calibri"/>
                <w:b w:val="0"/>
                <w:i w:val="0"/>
                <w:color w:val="000000"/>
                <w:sz w:val="18"/>
              </w:rPr>
              <w:t>Yes — where Schedule 3 services provided</w:t>
            </w:r>
          </w:p>
        </w:tc>
      </w:tr>
      <w:tr>
        <w:tc>
          <w:tcPr>
            <w:tcW w:type="dxa" w:w="3135"/>
          </w:tcPr>
          <w:p>
            <w:r/>
            <w:r>
              <w:rPr>
                <w:rFonts w:ascii="Calibri" w:hAnsi="Calibri"/>
                <w:b w:val="0"/>
                <w:i w:val="0"/>
                <w:color w:val="000000"/>
                <w:sz w:val="18"/>
              </w:rPr>
              <w:t>Fund management fees / carry</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excluded by Clause 3.1A</w:t>
            </w:r>
          </w:p>
        </w:tc>
      </w:tr>
      <w:tr>
        <w:tc>
          <w:tcPr>
            <w:tcW w:type="dxa" w:w="3135"/>
          </w:tcPr>
          <w:p>
            <w:r/>
            <w:r>
              <w:rPr>
                <w:rFonts w:ascii="Calibri" w:hAnsi="Calibri"/>
                <w:b w:val="0"/>
                <w:i w:val="0"/>
                <w:color w:val="000000"/>
                <w:sz w:val="18"/>
              </w:rPr>
              <w:t>Energy trading / arbitrage</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separate written scope</w:t>
            </w:r>
          </w:p>
        </w:tc>
      </w:tr>
      <w:tr>
        <w:tc>
          <w:tcPr>
            <w:tcW w:type="dxa" w:w="3135"/>
          </w:tcPr>
          <w:p>
            <w:r/>
            <w:r>
              <w:rPr>
                <w:rFonts w:ascii="Calibri" w:hAnsi="Calibri"/>
                <w:b w:val="0"/>
                <w:i w:val="0"/>
                <w:color w:val="000000"/>
                <w:sz w:val="18"/>
              </w:rPr>
              <w:t>Non-Cyprus BESS projects</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per-project written agreement</w:t>
            </w:r>
          </w:p>
        </w:tc>
      </w:tr>
    </w:tbl>
    <w:p/>
    <w:p>
      <w:pPr>
        <w:jc w:val="both"/>
      </w:pPr>
      <w:r>
        <w:rPr>
          <w:rFonts w:ascii="Calibri" w:hAnsi="Calibri"/>
          <w:b w:val="0"/>
          <w:i w:val="0"/>
          <w:color w:val="000000"/>
          <w:sz w:val="20"/>
        </w:rPr>
        <w:t>3.6 Rationale: The Team Operations Fee reflects the market cost of retaining a high-performing operational team capable of delivering complex multi-site BESS EPC projects. The Director manages the team's composition, performance, and compensation from within this fee, eliminating the need for the Company to maintain a separate payroll, HR function, or performance management system for operational staff. The 30% rate is consistent with industry norms for outsourced project management and operational consultancy in the EPC sector.</w:t>
      </w:r>
    </w:p>
    <w:p>
      <w:r>
        <w:rPr>
          <w:rFonts w:ascii="Calibri" w:hAnsi="Calibri"/>
          <w:b w:val="0"/>
          <w:i w:val="0"/>
          <w:color w:val="000000"/>
          <w:sz w:val="20"/>
        </w:rPr>
        <w:t>═══ CLAUSE 4 — AUDIT AND TRANSPARENCY ═══</w:t>
      </w:r>
    </w:p>
    <w:p>
      <w:pPr>
        <w:spacing w:before="280"/>
      </w:pPr>
      <w:r>
        <w:rPr>
          <w:rFonts w:ascii="Calibri" w:hAnsi="Calibri"/>
          <w:b/>
          <w:i w:val="0"/>
          <w:color w:val="C9A432"/>
          <w:sz w:val="24"/>
        </w:rPr>
        <w:t>4. Audit, Reporting and Transparency</w:t>
      </w:r>
    </w:p>
    <w:p>
      <w:pPr>
        <w:jc w:val="both"/>
      </w:pPr>
      <w:r>
        <w:rPr>
          <w:rFonts w:ascii="Calibri" w:hAnsi="Calibri"/>
          <w:b w:val="0"/>
          <w:i w:val="0"/>
          <w:color w:val="000000"/>
          <w:sz w:val="20"/>
        </w:rPr>
        <w:t>4.1 Margin Reporting: The Company shall provide the Consultant with a detailed calculation for each fee payment, showing: (i) revenue received; (ii) applicable costs; (iii) resulting Net Margin or Net Revenue; and (iv) fee amount. Reports shall be provided within fourteen (14) days of each client payment.</w:t>
      </w:r>
    </w:p>
    <w:p>
      <w:pPr>
        <w:jc w:val="both"/>
      </w:pPr>
      <w:r>
        <w:rPr>
          <w:rFonts w:ascii="Calibri" w:hAnsi="Calibri"/>
          <w:b w:val="0"/>
          <w:i w:val="0"/>
          <w:color w:val="000000"/>
          <w:sz w:val="20"/>
        </w:rPr>
        <w:t>4.2 Quarterly Summary: The Company shall provide a quarterly summary showing all revenue received, fees accrued, fees paid, and fees outstanding, broken down by Existing Project and Future Business.</w:t>
      </w:r>
    </w:p>
    <w:p>
      <w:pPr>
        <w:jc w:val="both"/>
      </w:pPr>
      <w:r>
        <w:rPr>
          <w:rFonts w:ascii="Calibri" w:hAnsi="Calibri"/>
          <w:b w:val="0"/>
          <w:i w:val="0"/>
          <w:color w:val="000000"/>
          <w:sz w:val="20"/>
        </w:rPr>
        <w:t>4.3 Audit Right: The Consultant shall have the right, upon reasonable written notice, to inspect the Company's books, records, invoices, and bank statements relating to all revenue streams to verify the accuracy of fee calculations. The Company shall retain all such records for a minimum of seven (7) years.</w:t>
      </w:r>
    </w:p>
    <w:p>
      <w:r>
        <w:rPr>
          <w:rFonts w:ascii="Calibri" w:hAnsi="Calibri"/>
          <w:b w:val="0"/>
          <w:i w:val="0"/>
          <w:color w:val="000000"/>
          <w:sz w:val="20"/>
        </w:rPr>
        <w:t>═══ CLAUSE 5 — DURATION AND PROTECTION ═══</w:t>
      </w:r>
    </w:p>
    <w:p>
      <w:pPr>
        <w:spacing w:before="280"/>
      </w:pPr>
      <w:r>
        <w:rPr>
          <w:rFonts w:ascii="Calibri" w:hAnsi="Calibri"/>
          <w:b/>
          <w:i w:val="0"/>
          <w:color w:val="C9A432"/>
          <w:sz w:val="24"/>
        </w:rPr>
        <w:t>5. Duration, Term and Protection</w:t>
      </w:r>
    </w:p>
    <w:p>
      <w:pPr>
        <w:jc w:val="both"/>
      </w:pPr>
      <w:r>
        <w:rPr>
          <w:rFonts w:ascii="Calibri" w:hAnsi="Calibri"/>
          <w:b w:val="0"/>
          <w:i w:val="0"/>
          <w:color w:val="000000"/>
          <w:sz w:val="20"/>
        </w:rPr>
        <w:t>5.1 Commencement: This Agreement shall commence on the date first written above.</w:t>
      </w:r>
    </w:p>
    <w:p>
      <w:pPr>
        <w:jc w:val="both"/>
      </w:pPr>
      <w:r>
        <w:rPr>
          <w:rFonts w:ascii="Calibri" w:hAnsi="Calibri"/>
          <w:b w:val="0"/>
          <w:i w:val="0"/>
          <w:color w:val="000000"/>
          <w:sz w:val="20"/>
        </w:rPr>
        <w:t>5.2 Minimum Term: This Agreement shall have a minimum term of five (5) years from the date of commencement (the "Minimum Term"), after which it shall automatically renew for successive periods of three (3) years unless terminated by mutual written agreement of both Parties.</w:t>
      </w:r>
    </w:p>
    <w:p>
      <w:pPr>
        <w:jc w:val="both"/>
      </w:pPr>
      <w:r>
        <w:rPr>
          <w:rFonts w:ascii="Calibri" w:hAnsi="Calibri"/>
          <w:b w:val="0"/>
          <w:i w:val="0"/>
          <w:color w:val="000000"/>
          <w:sz w:val="20"/>
        </w:rPr>
        <w:t>5.3 Term and Protected Matter Status:</w:t>
      </w:r>
    </w:p>
    <w:p>
      <w:pPr>
        <w:jc w:val="both"/>
      </w:pPr>
      <w:r>
        <w:rPr>
          <w:rFonts w:ascii="Calibri" w:hAnsi="Calibri"/>
          <w:b w:val="0"/>
          <w:i w:val="0"/>
          <w:color w:val="000000"/>
          <w:sz w:val="20"/>
        </w:rPr>
        <w:t>(a) During the Minimum Term, this Agreement may not be terminated by the Company except for material uncured breach by the Consultant (following thirty (30) days' written notice and opportunity to cure) or by mutual written agreement. After the Minimum Term, either Party may terminate on twelve (12) months' written notice, subject to accrued fees on signed contracts and Clause 5.5.</w:t>
      </w:r>
    </w:p>
    <w:p>
      <w:pPr>
        <w:jc w:val="both"/>
      </w:pPr>
      <w:r>
        <w:rPr>
          <w:rFonts w:ascii="Calibri" w:hAnsi="Calibri"/>
          <w:b w:val="0"/>
          <w:i w:val="0"/>
          <w:color w:val="000000"/>
          <w:sz w:val="20"/>
        </w:rPr>
        <w:t>(b) This Agreement is designated as a "Protected Matter". Amendment or termination during the Minimum Term requires consent of shareholders holding at least seventy-five percent (75%) of voting shares, or unanimous consent if fewer than three shareholders. This shall be reflected in the Articles prior to any transfer of shares to a new shareholder. Nothing in this Agreement limits statutory rights under the Companies Law, Cap. 113.</w:t>
      </w:r>
    </w:p>
    <w:p>
      <w:pPr>
        <w:jc w:val="both"/>
      </w:pPr>
      <w:r>
        <w:rPr>
          <w:rFonts w:ascii="Calibri" w:hAnsi="Calibri"/>
          <w:b w:val="0"/>
          <w:i w:val="0"/>
          <w:color w:val="000000"/>
          <w:sz w:val="20"/>
        </w:rPr>
        <w:t>5.4 Pre-Existing Obligation and Survival: This Agreement is a material pre-existing obligation of the Company and shall be disclosed to new shareholders pursuant to Clause 6.3. Fees accrued on contracts signed during the term survive termination in respect of those contracts. Nothing in this Agreement purports to override mandatory provisions of Cap. 113 or to prevent shareholders from exercising rights expressly conferred by law.</w:t>
      </w:r>
    </w:p>
    <w:p>
      <w:pPr>
        <w:jc w:val="both"/>
      </w:pPr>
      <w:r>
        <w:rPr>
          <w:rFonts w:ascii="Calibri" w:hAnsi="Calibri"/>
          <w:b w:val="0"/>
          <w:i w:val="0"/>
          <w:color w:val="000000"/>
          <w:sz w:val="20"/>
        </w:rPr>
        <w:t>5.5 Liquidated Damages: If the Company repudiates or terminates without cause (other than Consultant material breach) before expiry of the Minimum Term, the Company shall pay liquidated damages equal to the average annual Origination Fee and Team Operations Fee paid in the preceding twenty-four (24) months, capped at twelve (12) months' average fees, as a genuine pre-estimate of loss. No liquidated damages apply following expiry of the Minimum Term or on termination for Consultant material breach.</w:t>
      </w:r>
    </w:p>
    <w:p>
      <w:pPr>
        <w:jc w:val="both"/>
      </w:pPr>
      <w:r>
        <w:rPr>
          <w:rFonts w:ascii="Calibri" w:hAnsi="Calibri"/>
          <w:b w:val="0"/>
          <w:i w:val="0"/>
          <w:color w:val="000000"/>
          <w:sz w:val="20"/>
        </w:rPr>
        <w:t>5.6 Any purported variation that reduces fees accrued before the purported variation shall not bind the Consultant without the Consultant's written consent.</w:t>
      </w:r>
    </w:p>
    <w:p>
      <w:r>
        <w:rPr>
          <w:rFonts w:ascii="Calibri" w:hAnsi="Calibri"/>
          <w:b w:val="0"/>
          <w:i w:val="0"/>
          <w:color w:val="000000"/>
          <w:sz w:val="20"/>
        </w:rPr>
        <w:t>═══ CLAUSE 6 — PROTECTION OF CONSULTANT'S RIGHTS ═══</w:t>
      </w:r>
    </w:p>
    <w:p>
      <w:pPr>
        <w:spacing w:before="280"/>
      </w:pPr>
      <w:r>
        <w:rPr>
          <w:rFonts w:ascii="Calibri" w:hAnsi="Calibri"/>
          <w:b/>
          <w:i w:val="0"/>
          <w:color w:val="C9A432"/>
          <w:sz w:val="24"/>
        </w:rPr>
        <w:t>6. Protection of the Consultant's Rights</w:t>
      </w:r>
    </w:p>
    <w:p>
      <w:pPr>
        <w:jc w:val="both"/>
      </w:pPr>
      <w:r>
        <w:rPr>
          <w:rFonts w:ascii="Calibri" w:hAnsi="Calibri"/>
          <w:b w:val="0"/>
          <w:i w:val="0"/>
          <w:color w:val="000000"/>
          <w:sz w:val="20"/>
        </w:rPr>
        <w:t>6.1 Independent Contractual Right: The Consultant's right to the Origination Fee and Team Operations Fee arises under this Agreement as an independent contractual right of the Consultant and is not contingent upon Alexander Papacosta holding any office, directorship, employment, or other position with the Company. All fees shall remain payable regardless of whether Alexander Papacosta is removed as director, resigns, or ceases to hold any role with the Company for any reason.</w:t>
      </w:r>
    </w:p>
    <w:p>
      <w:pPr>
        <w:jc w:val="both"/>
      </w:pPr>
      <w:r>
        <w:rPr>
          <w:rFonts w:ascii="Calibri" w:hAnsi="Calibri"/>
          <w:b w:val="0"/>
          <w:i w:val="0"/>
          <w:color w:val="000000"/>
          <w:sz w:val="20"/>
        </w:rPr>
        <w:t>6.2 Survival on Change of Control: If the shares of the Company are sold, transferred, or otherwise disposed of (whether in whole or in part), or if a new shareholder acquires control, the Company's obligations under this Agreement shall be binding on any successor owner, acquirer, or controlling party. The Company shall procure that any transferee of its shares or business expressly assumes the obligations under this Agreement as a condition of such transfer.</w:t>
      </w:r>
    </w:p>
    <w:p>
      <w:pPr>
        <w:jc w:val="both"/>
      </w:pPr>
      <w:r>
        <w:rPr>
          <w:rFonts w:ascii="Calibri" w:hAnsi="Calibri"/>
          <w:b w:val="0"/>
          <w:i w:val="0"/>
          <w:color w:val="000000"/>
          <w:sz w:val="20"/>
        </w:rPr>
        <w:t>6.3 Condition Precedent for New Shareholders: No shares in the Company shall be issued, transferred, or allotted to any new shareholder unless, as a condition precedent to such issuance, transfer, or allotment, the new shareholder has:</w:t>
      </w:r>
    </w:p>
    <w:p>
      <w:pPr>
        <w:jc w:val="both"/>
      </w:pPr>
      <w:r>
        <w:rPr>
          <w:rFonts w:ascii="Calibri" w:hAnsi="Calibri"/>
          <w:b w:val="0"/>
          <w:i w:val="0"/>
          <w:color w:val="000000"/>
          <w:sz w:val="20"/>
        </w:rPr>
        <w:t>(a) received a copy of this Agreement;</w:t>
      </w:r>
    </w:p>
    <w:p>
      <w:pPr>
        <w:jc w:val="both"/>
      </w:pPr>
      <w:r>
        <w:rPr>
          <w:rFonts w:ascii="Calibri" w:hAnsi="Calibri"/>
          <w:b w:val="0"/>
          <w:i w:val="0"/>
          <w:color w:val="000000"/>
          <w:sz w:val="20"/>
        </w:rPr>
        <w:t>(b) executed a written deed of acknowledgement confirming that: (i) they have read and understood this Agreement; (ii) they acknowledge this Agreement as a Pre-Existing Obligation of the Company; (iii) they shall not challenge the validity of fees properly accrued and payable under this Agreement in respect of contracts signed before their admission as shareholder, except as required by law or by order of a court of competent jurisdiction; and (iv) they acknowledge the Protected Matter status described in Clause 5.3(b);</w:t>
      </w:r>
    </w:p>
    <w:p>
      <w:pPr>
        <w:jc w:val="both"/>
      </w:pPr>
      <w:r>
        <w:rPr>
          <w:rFonts w:ascii="Calibri" w:hAnsi="Calibri"/>
          <w:b w:val="0"/>
          <w:i w:val="0"/>
          <w:color w:val="000000"/>
          <w:sz w:val="20"/>
        </w:rPr>
        <w:t>(c) executed any Shareholder Agreement that incorporates the obligations in sub-clause (b) above.</w:t>
      </w:r>
    </w:p>
    <w:p>
      <w:pPr>
        <w:jc w:val="both"/>
      </w:pPr>
      <w:r>
        <w:rPr>
          <w:rFonts w:ascii="Calibri" w:hAnsi="Calibri"/>
          <w:b w:val="0"/>
          <w:i w:val="0"/>
          <w:color w:val="000000"/>
          <w:sz w:val="20"/>
        </w:rPr>
        <w:t>6.4 No Set-Off: The Company shall not set off, deduct, or withhold any amount from any fee for any reason, including any claim, counterclaim, or dispute the Company may have against the Consultant or Alexander Papacosta, unless determined by a final, non-appealable court order or arbitral award.</w:t>
      </w:r>
    </w:p>
    <w:p>
      <w:pPr>
        <w:jc w:val="both"/>
      </w:pPr>
      <w:r>
        <w:rPr>
          <w:rFonts w:ascii="Calibri" w:hAnsi="Calibri"/>
          <w:b w:val="0"/>
          <w:i w:val="0"/>
          <w:color w:val="000000"/>
          <w:sz w:val="20"/>
        </w:rPr>
        <w:t>6.5 Payment before discretionary distributions: Fees accrued in respect of revenue received shall be paid before the Company declares discretionary dividends or makes discretionary shareholder distributions attributable to that revenue. This clause does not create security or priority over statutory or secured creditors.</w:t>
      </w:r>
    </w:p>
    <w:p>
      <w:pPr>
        <w:jc w:val="both"/>
      </w:pPr>
      <w:r>
        <w:rPr>
          <w:rFonts w:ascii="Calibri" w:hAnsi="Calibri"/>
          <w:b w:val="0"/>
          <w:i w:val="0"/>
          <w:color w:val="000000"/>
          <w:sz w:val="20"/>
        </w:rPr>
        <w:t>6.6 Specific Performance: The Parties acknowledge that damages alone would not be an adequate remedy for breach of this Agreement and that the Consultant shall be entitled to seek specific performance, injunctive relief, or any other equitable remedy in addition to any other rights or remedies available at law.</w:t>
      </w:r>
    </w:p>
    <w:p>
      <w:pPr>
        <w:jc w:val="both"/>
      </w:pPr>
      <w:r>
        <w:rPr>
          <w:rFonts w:ascii="Calibri" w:hAnsi="Calibri"/>
          <w:b w:val="0"/>
          <w:i w:val="0"/>
          <w:color w:val="000000"/>
          <w:sz w:val="20"/>
        </w:rPr>
        <w:t>6.7 Notification Obligation: The Company shall immediately notify the Consultant in writing of: (a) any proposed change in directorship; (b) any proposed transfer or reorganisation of shares; (c) any proposal to amend the articles of association; (d) any winding-up petition or insolvency event; (e) any shareholder resolution that may affect this Agreement; or (f) any proposal to admit a new shareholder or investor.</w:t>
      </w:r>
    </w:p>
    <w:p>
      <w:pPr>
        <w:jc w:val="both"/>
      </w:pPr>
      <w:r>
        <w:rPr>
          <w:rFonts w:ascii="Calibri" w:hAnsi="Calibri"/>
          <w:b w:val="0"/>
          <w:i w:val="0"/>
          <w:color w:val="000000"/>
          <w:sz w:val="20"/>
        </w:rPr>
        <w:t>6.8 Articles of Association: The Company shall, prior to any transfer of shares to a new shareholder, amend its Articles of Association to include the following provisions:</w:t>
      </w:r>
    </w:p>
    <w:p>
      <w:pPr>
        <w:jc w:val="both"/>
      </w:pPr>
      <w:r>
        <w:rPr>
          <w:rFonts w:ascii="Calibri" w:hAnsi="Calibri"/>
          <w:b w:val="0"/>
          <w:i w:val="0"/>
          <w:color w:val="000000"/>
          <w:sz w:val="20"/>
        </w:rPr>
        <w:t>(a) classification of the Team Operational Consultancy Agreement (this Agreement) as a "Protected Matter" requiring consent of shareholders holding at least seventy-five percent (75%) of voting shares (or unanimous consent if fewer than three shareholders) to modify or terminate during the Minimum Term, subject to Cap. 113;</w:t>
      </w:r>
    </w:p>
    <w:p>
      <w:pPr>
        <w:jc w:val="both"/>
      </w:pPr>
      <w:r>
        <w:rPr>
          <w:rFonts w:ascii="Calibri" w:hAnsi="Calibri"/>
          <w:b w:val="0"/>
          <w:i w:val="0"/>
          <w:color w:val="000000"/>
          <w:sz w:val="20"/>
        </w:rPr>
        <w:t>(b) a requirement that all share transfers are conditional upon the transferee executing the deed of acknowledgement described in Clause 6.3(b); and</w:t>
      </w:r>
    </w:p>
    <w:p>
      <w:pPr>
        <w:jc w:val="both"/>
      </w:pPr>
      <w:r>
        <w:rPr>
          <w:rFonts w:ascii="Calibri" w:hAnsi="Calibri"/>
          <w:b w:val="0"/>
          <w:i w:val="0"/>
          <w:color w:val="000000"/>
          <w:sz w:val="20"/>
        </w:rPr>
        <w:t>(c) a statement that the Company has a material contractual obligation to Moi Ostrov Ltd and that accrued fees shall be paid before discretionary dividends or distributions attributable to the relevant revenue, as provided in Clause 6.5.</w:t>
      </w:r>
    </w:p>
    <w:p>
      <w:r>
        <w:rPr>
          <w:rFonts w:ascii="Calibri" w:hAnsi="Calibri"/>
          <w:b w:val="0"/>
          <w:i w:val="0"/>
          <w:color w:val="000000"/>
          <w:sz w:val="20"/>
        </w:rPr>
        <w:t>═══ CLAUSE 7 — CONFLICT OF INTEREST ═══</w:t>
      </w:r>
    </w:p>
    <w:p>
      <w:pPr>
        <w:spacing w:before="280"/>
      </w:pPr>
      <w:r>
        <w:rPr>
          <w:rFonts w:ascii="Calibri" w:hAnsi="Calibri"/>
          <w:b/>
          <w:i w:val="0"/>
          <w:color w:val="C9A432"/>
          <w:sz w:val="24"/>
        </w:rPr>
        <w:t>7. Conflict of Interest Acknowledgement</w:t>
      </w:r>
    </w:p>
    <w:p>
      <w:pPr>
        <w:jc w:val="both"/>
      </w:pPr>
      <w:r>
        <w:rPr>
          <w:rFonts w:ascii="Calibri" w:hAnsi="Calibri"/>
          <w:b w:val="0"/>
          <w:i w:val="0"/>
          <w:color w:val="000000"/>
          <w:sz w:val="20"/>
        </w:rPr>
        <w:t>7.1 The Parties acknowledge that Alexander Papacosta is, as at the date of this Agreement, a director of both the Company and the Consultant. The Parties have considered this potential conflict of interest and have determined that this Agreement is in the best interests of the Company because:</w:t>
      </w:r>
    </w:p>
    <w:p>
      <w:pPr>
        <w:jc w:val="both"/>
      </w:pPr>
      <w:r>
        <w:rPr>
          <w:rFonts w:ascii="Calibri" w:hAnsi="Calibri"/>
          <w:b w:val="0"/>
          <w:i w:val="0"/>
          <w:color w:val="000000"/>
          <w:sz w:val="20"/>
        </w:rPr>
        <w:t>(a) the entire Existing Project pipeline was originated, developed, and secured through Alexander Papacosta's personal relationships, market knowledge, and business development activities;</w:t>
      </w:r>
    </w:p>
    <w:p>
      <w:pPr>
        <w:jc w:val="both"/>
      </w:pPr>
      <w:r>
        <w:rPr>
          <w:rFonts w:ascii="Calibri" w:hAnsi="Calibri"/>
          <w:b w:val="0"/>
          <w:i w:val="0"/>
          <w:color w:val="000000"/>
          <w:sz w:val="20"/>
        </w:rPr>
        <w:t>(b) the Consultant provides essential ongoing operational services (Schedule 3) that the Company would otherwise need to resource internally at comparable or greater cost;</w:t>
      </w:r>
    </w:p>
    <w:p>
      <w:pPr>
        <w:jc w:val="both"/>
      </w:pPr>
      <w:r>
        <w:rPr>
          <w:rFonts w:ascii="Calibri" w:hAnsi="Calibri"/>
          <w:b w:val="0"/>
          <w:i w:val="0"/>
          <w:color w:val="000000"/>
          <w:sz w:val="20"/>
        </w:rPr>
        <w:t>(c) the fee rates are commercially reasonable: the Origination Fee reflects the Consultant's contribution to the Existing Project portfolio (Schedule 1), and the Team Operations Fee reflects the market cost of outsourced project management and team operations in the EPC sector;</w:t>
      </w:r>
    </w:p>
    <w:p>
      <w:pPr>
        <w:jc w:val="both"/>
      </w:pPr>
      <w:r>
        <w:rPr>
          <w:rFonts w:ascii="Calibri" w:hAnsi="Calibri"/>
          <w:b w:val="0"/>
          <w:i w:val="0"/>
          <w:color w:val="000000"/>
          <w:sz w:val="20"/>
        </w:rPr>
        <w:t>(d) the sole shareholder of the Company (Lighthief International Ltd) has approved this Agreement by way of the Written Shareholder Resolution in Annex A;</w:t>
      </w:r>
    </w:p>
    <w:p>
      <w:pPr>
        <w:jc w:val="both"/>
      </w:pPr>
      <w:r>
        <w:rPr>
          <w:rFonts w:ascii="Calibri" w:hAnsi="Calibri"/>
          <w:b w:val="0"/>
          <w:i w:val="0"/>
          <w:color w:val="000000"/>
          <w:sz w:val="20"/>
        </w:rPr>
        <w:t>(e) the ultimate beneficial owner has provided a personal undertaking (Annex B) confirming his support for this Agreement;</w:t>
      </w:r>
    </w:p>
    <w:p>
      <w:pPr>
        <w:jc w:val="both"/>
      </w:pPr>
      <w:r>
        <w:rPr>
          <w:rFonts w:ascii="Calibri" w:hAnsi="Calibri"/>
          <w:b w:val="0"/>
          <w:i w:val="0"/>
          <w:color w:val="000000"/>
          <w:sz w:val="20"/>
        </w:rPr>
        <w:t>(f) the Shareholder obtained independent legal advice in connection with this Agreement before approving it.</w:t>
      </w:r>
    </w:p>
    <w:p>
      <w:pPr>
        <w:jc w:val="both"/>
      </w:pPr>
      <w:r>
        <w:rPr>
          <w:rFonts w:ascii="Calibri" w:hAnsi="Calibri"/>
          <w:b w:val="0"/>
          <w:i w:val="0"/>
          <w:color w:val="000000"/>
          <w:sz w:val="20"/>
        </w:rPr>
        <w:t>7.2 Alexander Papacosta has disclosed his interest as a director of both Parties in accordance with Section 191 of the Cyprus Companies Law, Cap. 113, and the Company's constitutional documents.</w:t>
      </w:r>
    </w:p>
    <w:p>
      <w:r>
        <w:rPr>
          <w:rFonts w:ascii="Calibri" w:hAnsi="Calibri"/>
          <w:b w:val="0"/>
          <w:i w:val="0"/>
          <w:color w:val="000000"/>
          <w:sz w:val="20"/>
        </w:rPr>
        <w:t>═══ CLAUSE 8 — LATE PAYMENT ═══</w:t>
      </w:r>
    </w:p>
    <w:p>
      <w:pPr>
        <w:spacing w:before="280"/>
      </w:pPr>
      <w:r>
        <w:rPr>
          <w:rFonts w:ascii="Calibri" w:hAnsi="Calibri"/>
          <w:b/>
          <w:i w:val="0"/>
          <w:color w:val="C9A432"/>
          <w:sz w:val="24"/>
        </w:rPr>
        <w:t>8. Late Payment and Remedies</w:t>
      </w:r>
    </w:p>
    <w:p>
      <w:pPr>
        <w:jc w:val="both"/>
      </w:pPr>
      <w:r>
        <w:rPr>
          <w:rFonts w:ascii="Calibri" w:hAnsi="Calibri"/>
          <w:b w:val="0"/>
          <w:i w:val="0"/>
          <w:color w:val="000000"/>
          <w:sz w:val="20"/>
        </w:rPr>
        <w:t>8.1 If the Company fails to pay any fee instalment within the fourteen (14) day period specified in Clauses 2.3 and 3.4, interest shall accrue on the overdue amount at the rate of 5% per annum above the European Central Bank base rate, compounded monthly, from the due date until the date of actual payment.</w:t>
      </w:r>
    </w:p>
    <w:p>
      <w:pPr>
        <w:jc w:val="both"/>
      </w:pPr>
      <w:r>
        <w:rPr>
          <w:rFonts w:ascii="Calibri" w:hAnsi="Calibri"/>
          <w:b w:val="0"/>
          <w:i w:val="0"/>
          <w:color w:val="000000"/>
          <w:sz w:val="20"/>
        </w:rPr>
        <w:t>8.2 If any fee payment remains overdue for more than thirty (30) days, the Consultant may, at its sole discretion:</w:t>
      </w:r>
    </w:p>
    <w:p>
      <w:pPr>
        <w:jc w:val="both"/>
      </w:pPr>
      <w:r>
        <w:rPr>
          <w:rFonts w:ascii="Calibri" w:hAnsi="Calibri"/>
          <w:b w:val="0"/>
          <w:i w:val="0"/>
          <w:color w:val="000000"/>
          <w:sz w:val="20"/>
        </w:rPr>
        <w:t>(a) declare the entire remaining fee across all revenue streams immediately due and payable;</w:t>
      </w:r>
    </w:p>
    <w:p>
      <w:pPr>
        <w:jc w:val="both"/>
      </w:pPr>
      <w:r>
        <w:rPr>
          <w:rFonts w:ascii="Calibri" w:hAnsi="Calibri"/>
          <w:b w:val="0"/>
          <w:i w:val="0"/>
          <w:color w:val="000000"/>
          <w:sz w:val="20"/>
        </w:rPr>
        <w:t>(b) commence legal proceedings or arbitration for recovery, including the costs of such proceedings;</w:t>
      </w:r>
    </w:p>
    <w:p>
      <w:pPr>
        <w:jc w:val="both"/>
      </w:pPr>
      <w:r>
        <w:rPr>
          <w:rFonts w:ascii="Calibri" w:hAnsi="Calibri"/>
          <w:b w:val="0"/>
          <w:i w:val="0"/>
          <w:color w:val="000000"/>
          <w:sz w:val="20"/>
        </w:rPr>
        <w:t>(c) apply for injunctive relief to prevent the Company from making discretionary distributions or disposing of assets in breach of Clause 6.5.</w:t>
      </w:r>
    </w:p>
    <w:p>
      <w:r>
        <w:rPr>
          <w:rFonts w:ascii="Calibri" w:hAnsi="Calibri"/>
          <w:b w:val="0"/>
          <w:i w:val="0"/>
          <w:color w:val="000000"/>
          <w:sz w:val="20"/>
        </w:rPr>
        <w:t>═══ CLAUSE 9 — CONFIDENTIALITY ═══</w:t>
      </w:r>
    </w:p>
    <w:p>
      <w:pPr>
        <w:spacing w:before="280"/>
      </w:pPr>
      <w:r>
        <w:rPr>
          <w:rFonts w:ascii="Calibri" w:hAnsi="Calibri"/>
          <w:b/>
          <w:i w:val="0"/>
          <w:color w:val="C9A432"/>
          <w:sz w:val="24"/>
        </w:rPr>
        <w:t>9. Confidentiality</w:t>
      </w:r>
    </w:p>
    <w:p>
      <w:pPr>
        <w:jc w:val="both"/>
      </w:pPr>
      <w:r>
        <w:rPr>
          <w:rFonts w:ascii="Calibri" w:hAnsi="Calibri"/>
          <w:b w:val="0"/>
          <w:i w:val="0"/>
          <w:color w:val="000000"/>
          <w:sz w:val="20"/>
        </w:rPr>
        <w:t>9.1 The terms of this Agreement shall be kept strictly confidential by both Parties. Neither Party shall disclose the existence or terms of this Agreement to any third party without the prior written consent of the other, except: (a) to professional advisers under equivalent confidentiality obligations; (b) as required by law or regulation; (c) in legal proceedings to enforce this Agreement; or (d) to a prospective new shareholder as required by Clause 6.3 (limited to confirmation that a material pre-existing obligation exists, with full terms disclosed only upon execution of a confidentiality undertaking).</w:t>
      </w:r>
    </w:p>
    <w:p>
      <w:r>
        <w:rPr>
          <w:rFonts w:ascii="Calibri" w:hAnsi="Calibri"/>
          <w:b w:val="0"/>
          <w:i w:val="0"/>
          <w:color w:val="000000"/>
          <w:sz w:val="20"/>
        </w:rPr>
        <w:t>═══ CLAUSE 10 — DISPUTE RESOLUTION ═══</w:t>
      </w:r>
    </w:p>
    <w:p>
      <w:pPr>
        <w:spacing w:before="280"/>
      </w:pPr>
      <w:r>
        <w:rPr>
          <w:rFonts w:ascii="Calibri" w:hAnsi="Calibri"/>
          <w:b/>
          <w:i w:val="0"/>
          <w:color w:val="C9A432"/>
          <w:sz w:val="24"/>
        </w:rPr>
        <w:t>10. Dispute Resolution</w:t>
      </w:r>
    </w:p>
    <w:p>
      <w:pPr>
        <w:jc w:val="both"/>
      </w:pPr>
      <w:r>
        <w:rPr>
          <w:rFonts w:ascii="Calibri" w:hAnsi="Calibri"/>
          <w:b w:val="0"/>
          <w:i w:val="0"/>
          <w:color w:val="000000"/>
          <w:sz w:val="20"/>
        </w:rPr>
        <w:t>10.1 Negotiation: Any dispute arising out of or in connection with this Agreement shall first be referred to the Parties' senior representatives for resolution by good-faith negotiation for a period of thirty (30) days.</w:t>
      </w:r>
    </w:p>
    <w:p>
      <w:pPr>
        <w:jc w:val="both"/>
      </w:pPr>
      <w:r>
        <w:rPr>
          <w:rFonts w:ascii="Calibri" w:hAnsi="Calibri"/>
          <w:b w:val="0"/>
          <w:i w:val="0"/>
          <w:color w:val="000000"/>
          <w:sz w:val="20"/>
        </w:rPr>
        <w:t>10.2 Arbitration: If the dispute is not resolved within thirty (30) days, either Party may refer it to binding arbitration under the ICC Rules of Arbitration. The arbitration shall be conducted by a sole arbitrator appointed in accordance with the ICC Rules. The seat of arbitration shall be Limassol, Cyprus. The language of arbitration shall be English. The arbitral award shall be final, binding, and enforceable in any jurisdiction.</w:t>
      </w:r>
    </w:p>
    <w:p>
      <w:pPr>
        <w:jc w:val="both"/>
      </w:pPr>
      <w:r>
        <w:rPr>
          <w:rFonts w:ascii="Calibri" w:hAnsi="Calibri"/>
          <w:b w:val="0"/>
          <w:i w:val="0"/>
          <w:color w:val="000000"/>
          <w:sz w:val="20"/>
        </w:rPr>
        <w:t>10.3 Interim Relief: Nothing in this clause shall prevent either Party from applying to the courts of Cyprus or any competent court for interim or conservatory measures, including injunctive relief, pending the outcome of arbitration.</w:t>
      </w:r>
    </w:p>
    <w:p>
      <w:r>
        <w:rPr>
          <w:rFonts w:ascii="Calibri" w:hAnsi="Calibri"/>
          <w:b w:val="0"/>
          <w:i w:val="0"/>
          <w:color w:val="000000"/>
          <w:sz w:val="20"/>
        </w:rPr>
        <w:t>═══ CLAUSE 11 — GENERAL ═══</w:t>
      </w:r>
    </w:p>
    <w:p>
      <w:pPr>
        <w:spacing w:before="280"/>
      </w:pPr>
      <w:r>
        <w:rPr>
          <w:rFonts w:ascii="Calibri" w:hAnsi="Calibri"/>
          <w:b/>
          <w:i w:val="0"/>
          <w:color w:val="C9A432"/>
          <w:sz w:val="24"/>
        </w:rPr>
        <w:t>11. General Provisions</w:t>
      </w:r>
    </w:p>
    <w:p>
      <w:pPr>
        <w:jc w:val="both"/>
      </w:pPr>
      <w:r>
        <w:rPr>
          <w:rFonts w:ascii="Calibri" w:hAnsi="Calibri"/>
          <w:b w:val="0"/>
          <w:i w:val="0"/>
          <w:color w:val="000000"/>
          <w:sz w:val="20"/>
        </w:rPr>
        <w:t>11.1 Entire Agreement: This Agreement (including the Schedules and Annexes) constitutes the entire agreement between the Parties in respect of the subject matter hereof and supersedes all prior agreements, understandings, representations, and discussions.</w:t>
      </w:r>
    </w:p>
    <w:p>
      <w:pPr>
        <w:jc w:val="both"/>
      </w:pPr>
      <w:r>
        <w:rPr>
          <w:rFonts w:ascii="Calibri" w:hAnsi="Calibri"/>
          <w:b w:val="0"/>
          <w:i w:val="0"/>
          <w:color w:val="000000"/>
          <w:sz w:val="20"/>
        </w:rPr>
        <w:t>11.2 Amendments: No amendment, variation, or waiver of this Agreement shall be effective unless made in writing and signed by both Parties, except as provided in Clause 5.3. Nothing in this Agreement prevents shareholders from exercising rights expressly conferred by the Companies Law, Cap. 113, or a court from determining any matter under applicable law.</w:t>
      </w:r>
    </w:p>
    <w:p>
      <w:pPr>
        <w:jc w:val="both"/>
      </w:pPr>
      <w:r>
        <w:rPr>
          <w:rFonts w:ascii="Calibri" w:hAnsi="Calibri"/>
          <w:b w:val="0"/>
          <w:i w:val="0"/>
          <w:color w:val="000000"/>
          <w:sz w:val="20"/>
        </w:rPr>
        <w:t>11.3 Assignment: The Consultant may freely assign its rights (but not obligations) under this Agreement to any entity owned or controlled by Alexander Papacosta. The Company may not assign or transfer its obligations under this Agreement without the Consultant's prior written consent, and any assignment shall require the assignee to assume all obligations hereunder.</w:t>
      </w:r>
    </w:p>
    <w:p>
      <w:pPr>
        <w:jc w:val="both"/>
      </w:pPr>
      <w:r>
        <w:rPr>
          <w:rFonts w:ascii="Calibri" w:hAnsi="Calibri"/>
          <w:b w:val="0"/>
          <w:i w:val="0"/>
          <w:color w:val="000000"/>
          <w:sz w:val="20"/>
        </w:rPr>
        <w:t>11.4 Severability: If any provision is held invalid or unenforceable, the remaining provisions shall continue in full force. The invalid provision shall be replaced by a valid provision that achieves the same commercial effect as closely as possible.</w:t>
      </w:r>
    </w:p>
    <w:p>
      <w:pPr>
        <w:jc w:val="both"/>
      </w:pPr>
      <w:r>
        <w:rPr>
          <w:rFonts w:ascii="Calibri" w:hAnsi="Calibri"/>
          <w:b w:val="0"/>
          <w:i w:val="0"/>
          <w:color w:val="000000"/>
          <w:sz w:val="20"/>
        </w:rPr>
        <w:t>11.5 No Waiver: No failure or delay in exercising any right shall constitute a waiver. A single or partial exercise of any right shall not preclude further exercise.</w:t>
      </w:r>
    </w:p>
    <w:p>
      <w:pPr>
        <w:jc w:val="both"/>
      </w:pPr>
      <w:r>
        <w:rPr>
          <w:rFonts w:ascii="Calibri" w:hAnsi="Calibri"/>
          <w:b w:val="0"/>
          <w:i w:val="0"/>
          <w:color w:val="000000"/>
          <w:sz w:val="20"/>
        </w:rPr>
        <w:t>11.6 Governing Law: This Agreement shall be governed by and construed in accordance with the laws of the Republic of Cyprus.</w:t>
      </w:r>
    </w:p>
    <w:p>
      <w:pPr>
        <w:jc w:val="both"/>
      </w:pPr>
      <w:r>
        <w:rPr>
          <w:rFonts w:ascii="Calibri" w:hAnsi="Calibri"/>
          <w:b w:val="0"/>
          <w:i w:val="0"/>
          <w:color w:val="000000"/>
          <w:sz w:val="20"/>
        </w:rPr>
        <w:t>11.7 Notices: All notices shall be in writing and sent to the registered addresses set out on the first page. Email to al@moiostrov.com (for the Consultant) and office@lighthief.com (for the Company) shall constitute valid notice.</w:t>
      </w:r>
    </w:p>
    <w:p>
      <w:pPr>
        <w:jc w:val="both"/>
      </w:pPr>
      <w:r>
        <w:rPr>
          <w:rFonts w:ascii="Calibri" w:hAnsi="Calibri"/>
          <w:b w:val="0"/>
          <w:i w:val="0"/>
          <w:color w:val="000000"/>
          <w:sz w:val="20"/>
        </w:rPr>
        <w:t>11.8 Counterparts: This Agreement may be executed in counterparts, each of which shall be deemed an original.</w:t>
      </w:r>
    </w:p>
    <w:p>
      <w:r>
        <w:rPr>
          <w:rFonts w:ascii="Calibri" w:hAnsi="Calibri"/>
          <w:b w:val="0"/>
          <w:i w:val="0"/>
          <w:color w:val="000000"/>
          <w:sz w:val="20"/>
        </w:rPr>
        <w:t>═══ CLAUSE 12 — ANTI-CIRCUMVENTION &amp; GROUP ENTITIES ═══</w:t>
      </w:r>
    </w:p>
    <w:p>
      <w:pPr>
        <w:spacing w:before="280"/>
      </w:pPr>
      <w:r>
        <w:rPr>
          <w:rFonts w:ascii="Calibri" w:hAnsi="Calibri"/>
          <w:b/>
          <w:i w:val="0"/>
          <w:color w:val="C9A432"/>
          <w:sz w:val="24"/>
        </w:rPr>
        <w:t>12. Anti-Circumvention, Group Entities and Transfer of Protected Projects</w:t>
      </w:r>
    </w:p>
    <w:p>
      <w:pPr>
        <w:jc w:val="both"/>
      </w:pPr>
      <w:r>
        <w:rPr>
          <w:rFonts w:ascii="Calibri" w:hAnsi="Calibri"/>
          <w:b w:val="0"/>
          <w:i w:val="0"/>
          <w:color w:val="000000"/>
          <w:sz w:val="20"/>
        </w:rPr>
        <w:t>12.1 Purpose: The Parties acknowledge that the Existing Project and the Cyprus BESS pipeline were originated by the Consultant for execution through the Company. The Consultant's fee would be defeated if Protected Projects were performed, invoiced, or paid through another member of the Group without equivalent fee payment.</w:t>
      </w:r>
    </w:p>
    <w:p>
      <w:pPr>
        <w:jc w:val="both"/>
      </w:pPr>
      <w:r>
        <w:rPr>
          <w:rFonts w:ascii="Calibri" w:hAnsi="Calibri"/>
          <w:b w:val="0"/>
          <w:i w:val="0"/>
          <w:color w:val="000000"/>
          <w:sz w:val="20"/>
        </w:rPr>
        <w:t>12.2 Mandatory contracting — Cyprus BESS: Unless the Consultant gives prior written consent, all Protected Projects physically located in the Republic of Cyprus shall be contracted, invoiced, and paid through Lighthief Cyprus Ltd as the sole EPC or supply counterparty to the end client (or the client's designated contracting entity).</w:t>
      </w:r>
    </w:p>
    <w:p>
      <w:pPr>
        <w:jc w:val="both"/>
      </w:pPr>
      <w:r>
        <w:rPr>
          <w:rFonts w:ascii="Calibri" w:hAnsi="Calibri"/>
          <w:b w:val="0"/>
          <w:i w:val="0"/>
          <w:color w:val="000000"/>
          <w:sz w:val="20"/>
        </w:rPr>
        <w:t>12.3 Sybaris-controlled entities: If any member of the Group (including any entity of which Dr. Arkadiusz Sybaris is the ultimate beneficial owner or controlling shareholder) enters into, performs, or receives revenue in respect of a Protected Project without the Company's being the contracting and invoicing party, then:</w:t>
      </w:r>
    </w:p>
    <w:p>
      <w:pPr>
        <w:jc w:val="both"/>
      </w:pPr>
      <w:r>
        <w:rPr>
          <w:rFonts w:ascii="Calibri" w:hAnsi="Calibri"/>
          <w:b w:val="0"/>
          <w:i w:val="0"/>
          <w:color w:val="000000"/>
          <w:sz w:val="20"/>
        </w:rPr>
        <w:t>(a) such receipt shall constitute a Deemed Group Receipt;</w:t>
      </w:r>
    </w:p>
    <w:p>
      <w:pPr>
        <w:jc w:val="both"/>
      </w:pPr>
      <w:r>
        <w:rPr>
          <w:rFonts w:ascii="Calibri" w:hAnsi="Calibri"/>
          <w:b w:val="0"/>
          <w:i w:val="0"/>
          <w:color w:val="000000"/>
          <w:sz w:val="20"/>
        </w:rPr>
        <w:t>(b) the applicable Origination Fee or Team Operations Fee shall be calculated on the same Net Margin or Net Revenue basis as if the Company had received the Client Price or revenue directly;</w:t>
      </w:r>
    </w:p>
    <w:p>
      <w:pPr>
        <w:jc w:val="both"/>
      </w:pPr>
      <w:r>
        <w:rPr>
          <w:rFonts w:ascii="Calibri" w:hAnsi="Calibri"/>
          <w:b w:val="0"/>
          <w:i w:val="0"/>
          <w:color w:val="000000"/>
          <w:sz w:val="20"/>
        </w:rPr>
        <w:t>(c) the Company shall pay such fee within fourteen (14) days of the Deemed Group Receipt; and</w:t>
      </w:r>
    </w:p>
    <w:p>
      <w:pPr>
        <w:jc w:val="both"/>
      </w:pPr>
      <w:r>
        <w:rPr>
          <w:rFonts w:ascii="Calibri" w:hAnsi="Calibri"/>
          <w:b w:val="0"/>
          <w:i w:val="0"/>
          <w:color w:val="000000"/>
          <w:sz w:val="20"/>
        </w:rPr>
        <w:t>(d) Dr. Arkadiusz Sybaris shall procure payment and performance under his personal undertaking (Annex B), and no Group entity shall contract Cyprus Protected Projects without a deed of adherence approved by the Consultant.</w:t>
      </w:r>
    </w:p>
    <w:p>
      <w:pPr>
        <w:jc w:val="both"/>
      </w:pPr>
      <w:r>
        <w:rPr>
          <w:rFonts w:ascii="Calibri" w:hAnsi="Calibri"/>
          <w:b w:val="0"/>
          <w:i w:val="0"/>
          <w:color w:val="000000"/>
          <w:sz w:val="20"/>
        </w:rPr>
        <w:t>12.4 Novation / transfer / hive-down: No Park, client contract, pipeline asset, or Protected Project may be novated, assigned, transferred, or hived down from the Company to any other person or Group member without:</w:t>
      </w:r>
    </w:p>
    <w:p>
      <w:pPr>
        <w:jc w:val="both"/>
      </w:pPr>
      <w:r>
        <w:rPr>
          <w:rFonts w:ascii="Calibri" w:hAnsi="Calibri"/>
          <w:b w:val="0"/>
          <w:i w:val="0"/>
          <w:color w:val="000000"/>
          <w:sz w:val="20"/>
        </w:rPr>
        <w:t>(a) the prior written consent of the Consultant; and</w:t>
      </w:r>
    </w:p>
    <w:p>
      <w:pPr>
        <w:jc w:val="both"/>
      </w:pPr>
      <w:r>
        <w:rPr>
          <w:rFonts w:ascii="Calibri" w:hAnsi="Calibri"/>
          <w:b w:val="0"/>
          <w:i w:val="0"/>
          <w:color w:val="000000"/>
          <w:sz w:val="20"/>
        </w:rPr>
        <w:t>(b) execution of a deed of assumption under which the transferee expressly assumes all obligations under this Agreement in respect of the transferred Protected Project.</w:t>
      </w:r>
    </w:p>
    <w:p>
      <w:pPr>
        <w:jc w:val="both"/>
      </w:pPr>
      <w:r>
        <w:rPr>
          <w:rFonts w:ascii="Calibri" w:hAnsi="Calibri"/>
          <w:b w:val="0"/>
          <w:i w:val="0"/>
          <w:color w:val="000000"/>
          <w:sz w:val="20"/>
        </w:rPr>
        <w:t>12.5 Client payment routing: The Company shall not instruct, permit, or facilitate any end client or intermediary to pay any amount in respect of a Protected Project to any bank account or entity other than the Company, except with the Consultant's prior written consent. Any payment received by a Group member in breach of this clause shall be a Deemed Group Receipt.</w:t>
      </w:r>
    </w:p>
    <w:p>
      <w:pPr>
        <w:jc w:val="both"/>
      </w:pPr>
      <w:r>
        <w:rPr>
          <w:rFonts w:ascii="Calibri" w:hAnsi="Calibri"/>
          <w:b w:val="0"/>
          <w:i w:val="0"/>
          <w:color w:val="000000"/>
          <w:sz w:val="20"/>
        </w:rPr>
        <w:t>12.6 Poland and non-Cyprus territories: This Agreement governs Cyprus Protected Projects. Part B shall not apply to BESS projects physically located outside the Republic of Cyprus unless expressly agreed in writing between the Parties for a named project. For the avoidance of doubt, Clause 12.2–12.5 apply regardless of where the contracting Group entity is incorporated — if the site is in Cyprus and the project is a Protected Project, fee obligations apply.</w:t>
      </w:r>
    </w:p>
    <w:p>
      <w:pPr>
        <w:jc w:val="both"/>
      </w:pPr>
      <w:r>
        <w:rPr>
          <w:rFonts w:ascii="Calibri" w:hAnsi="Calibri"/>
          <w:b w:val="0"/>
          <w:i w:val="0"/>
          <w:color w:val="000000"/>
          <w:sz w:val="20"/>
        </w:rPr>
        <w:t>12.7 Investor / third-party introduced business: Future Business introduced after the date of this Agreement by a third-party investor or shareholder (including any investor in the Company) shall remain subject to Part B when executed through the Company, unless the Parties execute a written carve-out for a named project before contract signature. Investor introduction does not reduce or extinguish fee obligations on Cyprus BESS revenue executed by the Company.</w:t>
      </w:r>
    </w:p>
    <w:p>
      <w:pPr>
        <w:jc w:val="both"/>
      </w:pPr>
      <w:r>
        <w:rPr>
          <w:rFonts w:ascii="Calibri" w:hAnsi="Calibri"/>
          <w:b w:val="0"/>
          <w:i w:val="0"/>
          <w:color w:val="000000"/>
          <w:sz w:val="20"/>
        </w:rPr>
        <w:t>12.8 Equitable remedy: Breach of this Clause 12 entitles the Consultant to seek injunctive relief, specific performance, and recovery of fees calculated on Deemed Group Receipts, in addition to any other remedy.</w:t>
      </w:r>
    </w:p>
    <w:p>
      <w:pPr>
        <w:sectPr>
          <w:footerReference w:type="default" r:id="rId10"/>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1 ═══</w:t>
      </w:r>
    </w:p>
    <w:p>
      <w:pPr>
        <w:spacing w:before="200"/>
      </w:pPr>
      <w:r>
        <w:rPr>
          <w:rFonts w:ascii="Calibri" w:hAnsi="Calibri"/>
          <w:b/>
          <w:i w:val="0"/>
          <w:color w:val="1A365D"/>
          <w:sz w:val="22"/>
        </w:rPr>
        <w:t>Schedule 1 — Existing Project Parks (Part A — Origination Fee)</w:t>
      </w:r>
    </w:p>
    <w:p>
      <w:pPr>
        <w:jc w:val="both"/>
      </w:pPr>
      <w:r>
        <w:rPr>
          <w:rFonts w:ascii="Calibri" w:hAnsi="Calibri"/>
          <w:b w:val="0"/>
          <w:i w:val="0"/>
          <w:color w:val="000000"/>
          <w:sz w:val="20"/>
        </w:rPr>
        <w:t>The Origination Fee applies to all Parks listed below. These were personally originated and secured by Alexander Papacosta.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365D" w:val="clear"/>
          </w:tcPr>
          <w:p>
            <w:pPr>
              <w:jc w:val="left"/>
            </w:pPr>
            <w:r>
              <w:rPr>
                <w:b/>
                <w:color w:val="FFFFFF"/>
              </w:rPr>
            </w:r>
            <w:r>
              <w:rPr>
                <w:rFonts w:ascii="Calibri" w:hAnsi="Calibri"/>
                <w:b/>
                <w:i w:val="0"/>
                <w:color w:val="FFFFFF"/>
                <w:sz w:val="18"/>
              </w:rPr>
              <w:t>Group</w:t>
            </w:r>
          </w:p>
        </w:tc>
        <w:tc>
          <w:tcPr>
            <w:tcW w:type="dxa" w:w="1881"/>
            <w:shd w:fill="1A365D" w:val="clear"/>
          </w:tcPr>
          <w:p>
            <w:pPr>
              <w:jc w:val="left"/>
            </w:pPr>
            <w:r>
              <w:rPr>
                <w:b/>
                <w:color w:val="FFFFFF"/>
              </w:rPr>
            </w:r>
            <w:r>
              <w:rPr>
                <w:rFonts w:ascii="Calibri" w:hAnsi="Calibri"/>
                <w:b/>
                <w:i w:val="0"/>
                <w:color w:val="FFFFFF"/>
                <w:sz w:val="18"/>
              </w:rPr>
              <w:t>Principal Client</w:t>
            </w:r>
          </w:p>
        </w:tc>
        <w:tc>
          <w:tcPr>
            <w:tcW w:type="dxa" w:w="1881"/>
            <w:shd w:fill="1A365D" w:val="clear"/>
          </w:tcPr>
          <w:p>
            <w:pPr>
              <w:jc w:val="left"/>
            </w:pPr>
            <w:r>
              <w:rPr>
                <w:b/>
                <w:color w:val="FFFFFF"/>
              </w:rPr>
            </w:r>
            <w:r>
              <w:rPr>
                <w:rFonts w:ascii="Calibri" w:hAnsi="Calibri"/>
                <w:b/>
                <w:i w:val="0"/>
                <w:color w:val="FFFFFF"/>
                <w:sz w:val="18"/>
              </w:rPr>
              <w:t>Parks</w:t>
            </w:r>
          </w:p>
        </w:tc>
        <w:tc>
          <w:tcPr>
            <w:tcW w:type="dxa" w:w="1881"/>
            <w:shd w:fill="1A365D" w:val="clear"/>
          </w:tcPr>
          <w:p>
            <w:pPr>
              <w:jc w:val="left"/>
            </w:pPr>
            <w:r>
              <w:rPr>
                <w:b/>
                <w:color w:val="FFFFFF"/>
              </w:rPr>
            </w:r>
            <w:r>
              <w:rPr>
                <w:rFonts w:ascii="Calibri" w:hAnsi="Calibri"/>
                <w:b/>
                <w:i w:val="0"/>
                <w:color w:val="FFFFFF"/>
                <w:sz w:val="18"/>
              </w:rPr>
              <w:t>Total MWh</w:t>
            </w:r>
          </w:p>
        </w:tc>
        <w:tc>
          <w:tcPr>
            <w:tcW w:type="dxa" w:w="1881"/>
            <w:shd w:fill="1A365D" w:val="clear"/>
          </w:tcPr>
          <w:p>
            <w:pPr>
              <w:jc w:val="left"/>
            </w:pPr>
            <w:r>
              <w:rPr>
                <w:b/>
                <w:color w:val="FFFFFF"/>
              </w:rPr>
            </w:r>
            <w:r>
              <w:rPr>
                <w:rFonts w:ascii="Calibri" w:hAnsi="Calibri"/>
                <w:b/>
                <w:i w:val="0"/>
                <w:color w:val="FFFFFF"/>
                <w:sz w:val="18"/>
              </w:rPr>
              <w:t>Affiliated Entities &amp; Projects</w:t>
            </w:r>
          </w:p>
        </w:tc>
      </w:tr>
      <w:tr>
        <w:tc>
          <w:tcPr>
            <w:tcW w:type="dxa" w:w="1881"/>
          </w:tcPr>
          <w:p>
            <w:r/>
            <w:r>
              <w:rPr>
                <w:rFonts w:ascii="Calibri" w:hAnsi="Calibri"/>
                <w:b w:val="0"/>
                <w:i w:val="0"/>
                <w:color w:val="000000"/>
                <w:sz w:val="18"/>
              </w:rPr>
              <w:t>G1</w:t>
            </w:r>
          </w:p>
        </w:tc>
        <w:tc>
          <w:tcPr>
            <w:tcW w:type="dxa" w:w="1881"/>
          </w:tcPr>
          <w:p>
            <w:r/>
            <w:r>
              <w:rPr>
                <w:rFonts w:ascii="Calibri" w:hAnsi="Calibri"/>
                <w:b w:val="0"/>
                <w:i w:val="0"/>
                <w:color w:val="000000"/>
                <w:sz w:val="18"/>
              </w:rPr>
              <w:t>ABIO Power Limited</w:t>
              <w:br/>
              <w:t>Iacovos Charalambous</w:t>
            </w:r>
          </w:p>
        </w:tc>
        <w:tc>
          <w:tcPr>
            <w:tcW w:type="dxa" w:w="1881"/>
          </w:tcPr>
          <w:p>
            <w:pPr>
              <w:jc w:val="right"/>
            </w:pPr>
            <w:r/>
            <w:r>
              <w:rPr>
                <w:rFonts w:ascii="Calibri" w:hAnsi="Calibri"/>
                <w:b w:val="0"/>
                <w:i w:val="0"/>
                <w:color w:val="000000"/>
                <w:sz w:val="18"/>
              </w:rPr>
              <w:t>25</w:t>
            </w:r>
          </w:p>
        </w:tc>
        <w:tc>
          <w:tcPr>
            <w:tcW w:type="dxa" w:w="1881"/>
          </w:tcPr>
          <w:p>
            <w:pPr>
              <w:jc w:val="right"/>
            </w:pPr>
            <w:r/>
            <w:r>
              <w:rPr>
                <w:rFonts w:ascii="Calibri" w:hAnsi="Calibri"/>
                <w:b w:val="0"/>
                <w:i w:val="0"/>
                <w:color w:val="000000"/>
                <w:sz w:val="18"/>
              </w:rPr>
              <w:t>430.3</w:t>
            </w:r>
          </w:p>
        </w:tc>
        <w:tc>
          <w:tcPr>
            <w:tcW w:type="dxa" w:w="1881"/>
          </w:tcPr>
          <w:p>
            <w:r/>
            <w:r>
              <w:rPr>
                <w:rFonts w:ascii="Calibri" w:hAnsi="Calibri"/>
                <w:b w:val="0"/>
                <w:i w:val="0"/>
                <w:color w:val="000000"/>
                <w:sz w:val="18"/>
              </w:rPr>
              <w:t>Greendorado (Agrivoltaic, Larnaca 1, Larnaca 2, 1), Agios Sozomenos, Dianary (1, 2, 3), ELESTORE (1–5), Easy Power (1–4), Polemi, Potamia (p151, p208), Renergetic (1, 2), Solarity, Solartech 3 Ext, Waneron</w:t>
            </w:r>
          </w:p>
        </w:tc>
      </w:tr>
      <w:tr>
        <w:tc>
          <w:tcPr>
            <w:tcW w:type="dxa" w:w="1881"/>
          </w:tcPr>
          <w:p>
            <w:r/>
            <w:r>
              <w:rPr>
                <w:rFonts w:ascii="Calibri" w:hAnsi="Calibri"/>
                <w:b w:val="0"/>
                <w:i w:val="0"/>
                <w:color w:val="000000"/>
                <w:sz w:val="18"/>
              </w:rPr>
              <w:t>G2</w:t>
            </w:r>
          </w:p>
        </w:tc>
        <w:tc>
          <w:tcPr>
            <w:tcW w:type="dxa" w:w="1881"/>
          </w:tcPr>
          <w:p>
            <w:r/>
            <w:r>
              <w:rPr>
                <w:rFonts w:ascii="Calibri" w:hAnsi="Calibri"/>
                <w:b w:val="0"/>
                <w:i w:val="0"/>
                <w:color w:val="000000"/>
                <w:sz w:val="18"/>
              </w:rPr>
              <w:t>Esperia Energy Group</w:t>
              <w:br/>
              <w:t>Dino Constantinou</w:t>
            </w:r>
          </w:p>
        </w:tc>
        <w:tc>
          <w:tcPr>
            <w:tcW w:type="dxa" w:w="1881"/>
          </w:tcPr>
          <w:p>
            <w:pPr>
              <w:jc w:val="right"/>
            </w:pPr>
            <w:r/>
            <w:r>
              <w:rPr>
                <w:rFonts w:ascii="Calibri" w:hAnsi="Calibri"/>
                <w:b w:val="0"/>
                <w:i w:val="0"/>
                <w:color w:val="000000"/>
                <w:sz w:val="18"/>
              </w:rPr>
              <w:t>11</w:t>
            </w:r>
          </w:p>
        </w:tc>
        <w:tc>
          <w:tcPr>
            <w:tcW w:type="dxa" w:w="1881"/>
          </w:tcPr>
          <w:p>
            <w:pPr>
              <w:jc w:val="right"/>
            </w:pPr>
            <w:r/>
            <w:r>
              <w:rPr>
                <w:rFonts w:ascii="Calibri" w:hAnsi="Calibri"/>
                <w:b w:val="0"/>
                <w:i w:val="0"/>
                <w:color w:val="000000"/>
                <w:sz w:val="18"/>
              </w:rPr>
              <w:t>310.5</w:t>
            </w:r>
          </w:p>
        </w:tc>
        <w:tc>
          <w:tcPr>
            <w:tcW w:type="dxa" w:w="1881"/>
          </w:tcPr>
          <w:p>
            <w:r/>
            <w:r>
              <w:rPr>
                <w:rFonts w:ascii="Calibri" w:hAnsi="Calibri"/>
                <w:b w:val="0"/>
                <w:i w:val="0"/>
                <w:color w:val="000000"/>
                <w:sz w:val="18"/>
              </w:rPr>
              <w:t>Esperia Famagusta (1, 2), Esperia Frenaros, Esperia Limassol, Esperia Tseri (1, 2a, 2b, 2c, 3), Galascope (1, 2)</w:t>
            </w:r>
          </w:p>
        </w:tc>
      </w:tr>
      <w:tr>
        <w:tc>
          <w:tcPr>
            <w:tcW w:type="dxa" w:w="1881"/>
          </w:tcPr>
          <w:p>
            <w:r/>
            <w:r>
              <w:rPr>
                <w:rFonts w:ascii="Calibri" w:hAnsi="Calibri"/>
                <w:b w:val="0"/>
                <w:i w:val="0"/>
                <w:color w:val="000000"/>
                <w:sz w:val="18"/>
              </w:rPr>
              <w:t>G3</w:t>
            </w:r>
          </w:p>
        </w:tc>
        <w:tc>
          <w:tcPr>
            <w:tcW w:type="dxa" w:w="1881"/>
          </w:tcPr>
          <w:p>
            <w:r/>
            <w:r>
              <w:rPr>
                <w:rFonts w:ascii="Calibri" w:hAnsi="Calibri"/>
                <w:b w:val="0"/>
                <w:i w:val="0"/>
                <w:color w:val="000000"/>
                <w:sz w:val="18"/>
              </w:rPr>
              <w:t>Lampros Andreadis</w:t>
            </w:r>
          </w:p>
        </w:tc>
        <w:tc>
          <w:tcPr>
            <w:tcW w:type="dxa" w:w="1881"/>
          </w:tcPr>
          <w:p>
            <w:pPr>
              <w:jc w:val="right"/>
            </w:pPr>
            <w:r/>
            <w:r>
              <w:rPr>
                <w:rFonts w:ascii="Calibri" w:hAnsi="Calibri"/>
                <w:b w:val="0"/>
                <w:i w:val="0"/>
                <w:color w:val="000000"/>
                <w:sz w:val="18"/>
              </w:rPr>
              <w:t>2</w:t>
            </w:r>
          </w:p>
        </w:tc>
        <w:tc>
          <w:tcPr>
            <w:tcW w:type="dxa" w:w="1881"/>
          </w:tcPr>
          <w:p>
            <w:pPr>
              <w:jc w:val="right"/>
            </w:pPr>
            <w:r/>
            <w:r>
              <w:rPr>
                <w:rFonts w:ascii="Calibri" w:hAnsi="Calibri"/>
                <w:b w:val="0"/>
                <w:i w:val="0"/>
                <w:color w:val="000000"/>
                <w:sz w:val="18"/>
              </w:rPr>
              <w:t>15.0</w:t>
            </w:r>
          </w:p>
        </w:tc>
        <w:tc>
          <w:tcPr>
            <w:tcW w:type="dxa" w:w="1881"/>
          </w:tcPr>
          <w:p>
            <w:r/>
            <w:r>
              <w:rPr>
                <w:rFonts w:ascii="Calibri" w:hAnsi="Calibri"/>
                <w:b w:val="0"/>
                <w:i w:val="0"/>
                <w:color w:val="000000"/>
                <w:sz w:val="18"/>
              </w:rPr>
              <w:t>Classone Solar Breeze Ltd, Classone Solar Garden Ltd</w:t>
            </w:r>
          </w:p>
        </w:tc>
      </w:tr>
      <w:tr>
        <w:tc>
          <w:tcPr>
            <w:tcW w:type="dxa" w:w="1881"/>
          </w:tcPr>
          <w:p>
            <w:r/>
            <w:r>
              <w:rPr>
                <w:rFonts w:ascii="Calibri" w:hAnsi="Calibri"/>
                <w:b w:val="0"/>
                <w:i w:val="0"/>
                <w:color w:val="000000"/>
                <w:sz w:val="18"/>
              </w:rPr>
              <w:t>G4</w:t>
            </w:r>
          </w:p>
        </w:tc>
        <w:tc>
          <w:tcPr>
            <w:tcW w:type="dxa" w:w="1881"/>
          </w:tcPr>
          <w:p>
            <w:r/>
            <w:r>
              <w:rPr>
                <w:rFonts w:ascii="Calibri" w:hAnsi="Calibri"/>
                <w:b w:val="0"/>
                <w:i w:val="0"/>
                <w:color w:val="000000"/>
                <w:sz w:val="18"/>
              </w:rPr>
              <w:t>A Kerasi Ltd</w:t>
              <w:br/>
              <w:t>Timotheos Timotheou</w:t>
            </w:r>
          </w:p>
        </w:tc>
        <w:tc>
          <w:tcPr>
            <w:tcW w:type="dxa" w:w="1881"/>
          </w:tcPr>
          <w:p>
            <w:pPr>
              <w:jc w:val="right"/>
            </w:pPr>
            <w:r/>
            <w:r>
              <w:rPr>
                <w:rFonts w:ascii="Calibri" w:hAnsi="Calibri"/>
                <w:b w:val="0"/>
                <w:i w:val="0"/>
                <w:color w:val="000000"/>
                <w:sz w:val="18"/>
              </w:rPr>
              <w:t>3</w:t>
            </w:r>
          </w:p>
        </w:tc>
        <w:tc>
          <w:tcPr>
            <w:tcW w:type="dxa" w:w="1881"/>
          </w:tcPr>
          <w:p>
            <w:pPr>
              <w:jc w:val="right"/>
            </w:pPr>
            <w:r/>
            <w:r>
              <w:rPr>
                <w:rFonts w:ascii="Calibri" w:hAnsi="Calibri"/>
                <w:b w:val="0"/>
                <w:i w:val="0"/>
                <w:color w:val="000000"/>
                <w:sz w:val="18"/>
              </w:rPr>
              <w:t>20.0</w:t>
            </w:r>
          </w:p>
        </w:tc>
        <w:tc>
          <w:tcPr>
            <w:tcW w:type="dxa" w:w="1881"/>
          </w:tcPr>
          <w:p>
            <w:r/>
            <w:r>
              <w:rPr>
                <w:rFonts w:ascii="Calibri" w:hAnsi="Calibri"/>
                <w:b w:val="0"/>
                <w:i w:val="0"/>
                <w:color w:val="000000"/>
                <w:sz w:val="18"/>
              </w:rPr>
              <w:t>Paphos 1, Paphos 2, Paphos 3</w:t>
            </w:r>
          </w:p>
        </w:tc>
      </w:tr>
      <w:tr>
        <w:tc>
          <w:tcPr>
            <w:tcW w:type="dxa" w:w="1881"/>
          </w:tcPr>
          <w:p>
            <w:r/>
            <w:r>
              <w:rPr>
                <w:rFonts w:ascii="Calibri" w:hAnsi="Calibri"/>
                <w:b w:val="0"/>
                <w:i w:val="0"/>
                <w:color w:val="000000"/>
                <w:sz w:val="18"/>
              </w:rPr>
              <w:t>G5</w:t>
            </w:r>
          </w:p>
        </w:tc>
        <w:tc>
          <w:tcPr>
            <w:tcW w:type="dxa" w:w="1881"/>
          </w:tcPr>
          <w:p>
            <w:r/>
            <w:r>
              <w:rPr>
                <w:rFonts w:ascii="Calibri" w:hAnsi="Calibri"/>
                <w:b w:val="0"/>
                <w:i w:val="0"/>
                <w:color w:val="000000"/>
                <w:sz w:val="18"/>
              </w:rPr>
              <w:t>Ioannis Karis</w:t>
            </w:r>
          </w:p>
        </w:tc>
        <w:tc>
          <w:tcPr>
            <w:tcW w:type="dxa" w:w="1881"/>
          </w:tcPr>
          <w:p>
            <w:pPr>
              <w:jc w:val="right"/>
            </w:pPr>
            <w:r/>
            <w:r>
              <w:rPr>
                <w:rFonts w:ascii="Calibri" w:hAnsi="Calibri"/>
                <w:b w:val="0"/>
                <w:i w:val="0"/>
                <w:color w:val="000000"/>
                <w:sz w:val="18"/>
              </w:rPr>
              <w:t>1</w:t>
            </w:r>
          </w:p>
        </w:tc>
        <w:tc>
          <w:tcPr>
            <w:tcW w:type="dxa" w:w="1881"/>
          </w:tcPr>
          <w:p>
            <w:pPr>
              <w:jc w:val="right"/>
            </w:pPr>
            <w:r/>
            <w:r>
              <w:rPr>
                <w:rFonts w:ascii="Calibri" w:hAnsi="Calibri"/>
                <w:b w:val="0"/>
                <w:i w:val="0"/>
                <w:color w:val="000000"/>
                <w:sz w:val="18"/>
              </w:rPr>
              <w:t>25.0</w:t>
            </w:r>
          </w:p>
        </w:tc>
        <w:tc>
          <w:tcPr>
            <w:tcW w:type="dxa" w:w="1881"/>
          </w:tcPr>
          <w:p>
            <w:r/>
            <w:r>
              <w:rPr>
                <w:rFonts w:ascii="Calibri" w:hAnsi="Calibri"/>
                <w:b w:val="0"/>
                <w:i w:val="0"/>
                <w:color w:val="000000"/>
                <w:sz w:val="18"/>
              </w:rPr>
              <w:t>My Sun Park (Monargouli)</w:t>
            </w:r>
          </w:p>
        </w:tc>
      </w:tr>
      <w:tr>
        <w:tc>
          <w:tcPr>
            <w:tcW w:type="dxa" w:w="1881"/>
          </w:tcPr>
          <w:p>
            <w:r/>
            <w:r>
              <w:rPr>
                <w:rFonts w:ascii="Calibri" w:hAnsi="Calibri"/>
                <w:b w:val="0"/>
                <w:i w:val="0"/>
                <w:color w:val="000000"/>
                <w:sz w:val="18"/>
              </w:rPr>
              <w:t>G6</w:t>
            </w:r>
          </w:p>
        </w:tc>
        <w:tc>
          <w:tcPr>
            <w:tcW w:type="dxa" w:w="1881"/>
          </w:tcPr>
          <w:p>
            <w:r/>
            <w:r>
              <w:rPr>
                <w:rFonts w:ascii="Calibri" w:hAnsi="Calibri"/>
                <w:b w:val="0"/>
                <w:i w:val="0"/>
                <w:color w:val="000000"/>
                <w:sz w:val="18"/>
              </w:rPr>
              <w:t>Timotheos Timotheou</w:t>
              <w:br/>
              <w:t>L&amp;T &amp; AGM Groups</w:t>
            </w:r>
          </w:p>
        </w:tc>
        <w:tc>
          <w:tcPr>
            <w:tcW w:type="dxa" w:w="1881"/>
          </w:tcPr>
          <w:p>
            <w:pPr>
              <w:jc w:val="right"/>
            </w:pPr>
            <w:r/>
            <w:r>
              <w:rPr>
                <w:rFonts w:ascii="Calibri" w:hAnsi="Calibri"/>
                <w:b w:val="0"/>
                <w:i w:val="0"/>
                <w:color w:val="000000"/>
                <w:sz w:val="18"/>
              </w:rPr>
              <w:t>9</w:t>
            </w:r>
          </w:p>
        </w:tc>
        <w:tc>
          <w:tcPr>
            <w:tcW w:type="dxa" w:w="1881"/>
          </w:tcPr>
          <w:p>
            <w:pPr>
              <w:jc w:val="right"/>
            </w:pPr>
            <w:r/>
            <w:r>
              <w:rPr>
                <w:rFonts w:ascii="Calibri" w:hAnsi="Calibri"/>
                <w:b w:val="0"/>
                <w:i w:val="0"/>
                <w:color w:val="000000"/>
                <w:sz w:val="18"/>
              </w:rPr>
              <w:t>81.0</w:t>
            </w:r>
          </w:p>
        </w:tc>
        <w:tc>
          <w:tcPr>
            <w:tcW w:type="dxa" w:w="1881"/>
          </w:tcPr>
          <w:p>
            <w:r/>
            <w:r>
              <w:rPr>
                <w:rFonts w:ascii="Calibri" w:hAnsi="Calibri"/>
                <w:b w:val="0"/>
                <w:i w:val="0"/>
                <w:color w:val="000000"/>
                <w:sz w:val="18"/>
              </w:rPr>
              <w:t>L&amp;T Res Systems, L&amp;T Solar Power, L&amp;T Sun Energy, L&amp;T Energia, L&amp;T PV Tech, AGM Lightpower, AGM Sunfield (1, 2, 3)</w:t>
            </w:r>
          </w:p>
        </w:tc>
      </w:tr>
      <w:tr>
        <w:tc>
          <w:tcPr>
            <w:tcW w:type="dxa" w:w="1881"/>
          </w:tcPr>
          <w:p>
            <w:r/>
            <w:r>
              <w:rPr>
                <w:rFonts w:ascii="Calibri" w:hAnsi="Calibri"/>
                <w:b w:val="0"/>
                <w:i w:val="0"/>
                <w:color w:val="000000"/>
                <w:sz w:val="18"/>
              </w:rPr>
              <w:t>TOTAL</w:t>
            </w:r>
          </w:p>
        </w:tc>
        <w:tc>
          <w:tcPr>
            <w:tcW w:type="dxa" w:w="1881"/>
          </w:tcPr>
          <w:p>
            <w:pPr>
              <w:jc w:val="right"/>
            </w:pPr>
            <w:r/>
            <w:r>
              <w:rPr>
                <w:rFonts w:ascii="Calibri" w:hAnsi="Calibri"/>
                <w:b w:val="0"/>
                <w:i w:val="0"/>
                <w:color w:val="000000"/>
                <w:sz w:val="18"/>
              </w:rPr>
              <w:t>51</w:t>
            </w:r>
          </w:p>
        </w:tc>
        <w:tc>
          <w:tcPr>
            <w:tcW w:type="dxa" w:w="1881"/>
          </w:tcPr>
          <w:p>
            <w:pPr>
              <w:jc w:val="right"/>
            </w:pPr>
            <w:r/>
            <w:r>
              <w:rPr>
                <w:rFonts w:ascii="Calibri" w:hAnsi="Calibri"/>
                <w:b w:val="0"/>
                <w:i w:val="0"/>
                <w:color w:val="000000"/>
                <w:sz w:val="18"/>
              </w:rPr>
              <w:t>~881.78</w:t>
            </w:r>
          </w:p>
        </w:tc>
        <w:tc>
          <w:tcPr>
            <w:tcW w:type="dxa" w:w="1881"/>
          </w:tcPr>
          <w:p>
            <w:r/>
            <w:r>
              <w:rPr>
                <w:rFonts w:ascii="Calibri" w:hAnsi="Calibri"/>
                <w:b w:val="0"/>
                <w:i w:val="0"/>
                <w:color w:val="000000"/>
                <w:sz w:val="18"/>
              </w:rPr>
              <w:t>All affiliated entities, subsidiaries, and associated projects</w:t>
            </w:r>
          </w:p>
        </w:tc>
        <w:tc>
          <w:tcPr>
            <w:tcW w:type="dxa" w:w="1881"/>
          </w:tcPr>
          <w:p>
            <w:r/>
          </w:p>
        </w:tc>
      </w:tr>
    </w:tbl>
    <w:p/>
    <w:p>
      <w:pPr>
        <w:sectPr>
          <w:footerReference w:type="default" r:id="rId11"/>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2 — MARGIN FORMULA ═══</w:t>
      </w:r>
    </w:p>
    <w:p>
      <w:pPr>
        <w:spacing w:before="200"/>
      </w:pPr>
      <w:r>
        <w:rPr>
          <w:rFonts w:ascii="Calibri" w:hAnsi="Calibri"/>
          <w:b/>
          <w:i w:val="0"/>
          <w:color w:val="1A365D"/>
          <w:sz w:val="22"/>
        </w:rPr>
        <w:t>Schedule 2 — Net Margin Calculation Example</w:t>
      </w:r>
    </w:p>
    <w:p>
      <w:pPr>
        <w:jc w:val="both"/>
      </w:pPr>
      <w:r>
        <w:rPr>
          <w:rFonts w:ascii="Calibri" w:hAnsi="Calibri"/>
          <w:b w:val="0"/>
          <w:i w:val="0"/>
          <w:color w:val="000000"/>
          <w:sz w:val="20"/>
        </w:rPr>
        <w:t>Illustrative example for a typical 5 MW / 20 MWh park. Actual figures per Park shall be calculated from invoiced amounts.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Item</w:t>
            </w:r>
          </w:p>
        </w:tc>
        <w:tc>
          <w:tcPr>
            <w:tcW w:type="dxa" w:w="3135"/>
            <w:shd w:fill="1A365D" w:val="clear"/>
          </w:tcPr>
          <w:p>
            <w:pPr>
              <w:jc w:val="right"/>
            </w:pPr>
            <w:r>
              <w:rPr>
                <w:b/>
                <w:color w:val="FFFFFF"/>
              </w:rPr>
            </w:r>
            <w:r>
              <w:rPr>
                <w:rFonts w:ascii="Calibri" w:hAnsi="Calibri"/>
                <w:b/>
                <w:i w:val="0"/>
                <w:color w:val="FFFFFF"/>
                <w:sz w:val="18"/>
              </w:rPr>
              <w:t>Amount</w:t>
            </w:r>
          </w:p>
        </w:tc>
        <w:tc>
          <w:tcPr>
            <w:tcW w:type="dxa" w:w="3135"/>
            <w:shd w:fill="1A365D" w:val="clear"/>
          </w:tcPr>
          <w:p>
            <w:pPr>
              <w:jc w:val="left"/>
            </w:pPr>
            <w:r>
              <w:rPr>
                <w:b/>
                <w:color w:val="FFFFFF"/>
              </w:rPr>
            </w:r>
            <w:r>
              <w:rPr>
                <w:rFonts w:ascii="Calibri" w:hAnsi="Calibri"/>
                <w:b/>
                <w:i w:val="0"/>
                <w:color w:val="FFFFFF"/>
                <w:sz w:val="18"/>
              </w:rPr>
              <w:t>Source</w:t>
            </w:r>
          </w:p>
        </w:tc>
      </w:tr>
      <w:tr>
        <w:tc>
          <w:tcPr>
            <w:tcW w:type="dxa" w:w="3135"/>
          </w:tcPr>
          <w:p>
            <w:r/>
            <w:r>
              <w:rPr>
                <w:rFonts w:ascii="Calibri" w:hAnsi="Calibri"/>
                <w:b w:val="0"/>
                <w:i w:val="0"/>
                <w:color w:val="000000"/>
                <w:sz w:val="18"/>
              </w:rPr>
              <w:t>A. Client Price (invoiced to end client)</w:t>
            </w:r>
          </w:p>
        </w:tc>
        <w:tc>
          <w:tcPr>
            <w:tcW w:type="dxa" w:w="3135"/>
          </w:tcPr>
          <w:p>
            <w:pPr>
              <w:jc w:val="right"/>
            </w:pPr>
            <w:r/>
            <w:r>
              <w:rPr>
                <w:rFonts w:ascii="Calibri" w:hAnsi="Calibri"/>
                <w:b w:val="0"/>
                <w:i w:val="0"/>
                <w:color w:val="000000"/>
                <w:sz w:val="18"/>
              </w:rPr>
              <w:t>€2,139,000</w:t>
            </w:r>
          </w:p>
        </w:tc>
        <w:tc>
          <w:tcPr>
            <w:tcW w:type="dxa" w:w="3135"/>
          </w:tcPr>
          <w:p>
            <w:r/>
            <w:r>
              <w:rPr>
                <w:rFonts w:ascii="Calibri" w:hAnsi="Calibri"/>
                <w:b w:val="0"/>
                <w:i w:val="0"/>
                <w:color w:val="000000"/>
                <w:sz w:val="18"/>
              </w:rPr>
              <w:t>EPC Contract</w:t>
            </w:r>
          </w:p>
        </w:tc>
      </w:tr>
      <w:tr>
        <w:tc>
          <w:tcPr>
            <w:tcW w:type="dxa" w:w="3135"/>
          </w:tcPr>
          <w:p>
            <w:r/>
            <w:r>
              <w:rPr>
                <w:rFonts w:ascii="Calibri" w:hAnsi="Calibri"/>
                <w:b w:val="0"/>
                <w:i w:val="0"/>
                <w:color w:val="000000"/>
                <w:sz w:val="18"/>
              </w:rPr>
              <w:t>B. CIF Cost (Linyang equipment, landed Limassol)</w:t>
            </w:r>
          </w:p>
        </w:tc>
        <w:tc>
          <w:tcPr>
            <w:tcW w:type="dxa" w:w="3135"/>
          </w:tcPr>
          <w:p>
            <w:pPr>
              <w:jc w:val="right"/>
            </w:pPr>
            <w:r/>
            <w:r>
              <w:rPr>
                <w:rFonts w:ascii="Calibri" w:hAnsi="Calibri"/>
                <w:b w:val="0"/>
                <w:i w:val="0"/>
                <w:color w:val="000000"/>
                <w:sz w:val="18"/>
              </w:rPr>
              <w:t>(€1,467,000)</w:t>
            </w:r>
          </w:p>
        </w:tc>
        <w:tc>
          <w:tcPr>
            <w:tcW w:type="dxa" w:w="3135"/>
          </w:tcPr>
          <w:p>
            <w:r/>
            <w:r>
              <w:rPr>
                <w:rFonts w:ascii="Calibri" w:hAnsi="Calibri"/>
                <w:b w:val="0"/>
                <w:i w:val="0"/>
                <w:color w:val="000000"/>
                <w:sz w:val="18"/>
              </w:rPr>
              <w:t>Linyang invoice</w:t>
            </w:r>
          </w:p>
        </w:tc>
      </w:tr>
      <w:tr>
        <w:tc>
          <w:tcPr>
            <w:tcW w:type="dxa" w:w="3135"/>
          </w:tcPr>
          <w:p>
            <w:r/>
            <w:r>
              <w:rPr>
                <w:rFonts w:ascii="Calibri" w:hAnsi="Calibri"/>
                <w:b w:val="0"/>
                <w:i w:val="0"/>
                <w:color w:val="000000"/>
                <w:sz w:val="18"/>
              </w:rPr>
              <w:t>C. EPC Cost (civil, electrical, SCADA, logistics, etc.)</w:t>
            </w:r>
          </w:p>
        </w:tc>
        <w:tc>
          <w:tcPr>
            <w:tcW w:type="dxa" w:w="3135"/>
          </w:tcPr>
          <w:p>
            <w:pPr>
              <w:jc w:val="right"/>
            </w:pPr>
            <w:r/>
            <w:r>
              <w:rPr>
                <w:rFonts w:ascii="Calibri" w:hAnsi="Calibri"/>
                <w:b w:val="0"/>
                <w:i w:val="0"/>
                <w:color w:val="000000"/>
                <w:sz w:val="18"/>
              </w:rPr>
              <w:t>(€395,000)</w:t>
            </w:r>
          </w:p>
        </w:tc>
        <w:tc>
          <w:tcPr>
            <w:tcW w:type="dxa" w:w="3135"/>
          </w:tcPr>
          <w:p>
            <w:r/>
            <w:r>
              <w:rPr>
                <w:rFonts w:ascii="Calibri" w:hAnsi="Calibri"/>
                <w:b w:val="0"/>
                <w:i w:val="0"/>
                <w:color w:val="000000"/>
                <w:sz w:val="18"/>
              </w:rPr>
              <w:t>Company records</w:t>
            </w:r>
          </w:p>
        </w:tc>
      </w:tr>
      <w:tr>
        <w:tc>
          <w:tcPr>
            <w:tcW w:type="dxa" w:w="3135"/>
          </w:tcPr>
          <w:p>
            <w:r/>
            <w:r>
              <w:rPr>
                <w:rFonts w:ascii="Calibri" w:hAnsi="Calibri"/>
                <w:b w:val="0"/>
                <w:i w:val="0"/>
                <w:color w:val="000000"/>
                <w:sz w:val="18"/>
              </w:rPr>
              <w:t>Net Margin (A − B − C)</w:t>
            </w:r>
          </w:p>
        </w:tc>
        <w:tc>
          <w:tcPr>
            <w:tcW w:type="dxa" w:w="3135"/>
          </w:tcPr>
          <w:p>
            <w:pPr>
              <w:jc w:val="right"/>
            </w:pPr>
            <w:r/>
            <w:r>
              <w:rPr>
                <w:rFonts w:ascii="Calibri" w:hAnsi="Calibri"/>
                <w:b w:val="0"/>
                <w:i w:val="0"/>
                <w:color w:val="000000"/>
                <w:sz w:val="18"/>
              </w:rPr>
              <w:t>€277,000</w:t>
            </w:r>
          </w:p>
        </w:tc>
        <w:tc>
          <w:tcPr>
            <w:tcW w:type="dxa" w:w="3135"/>
          </w:tcPr>
          <w:p>
            <w:r/>
          </w:p>
        </w:tc>
      </w:tr>
      <w:tr>
        <w:tc>
          <w:tcPr>
            <w:tcW w:type="dxa" w:w="3135"/>
          </w:tcPr>
          <w:p>
            <w:r/>
            <w:r>
              <w:rPr>
                <w:rFonts w:ascii="Calibri" w:hAnsi="Calibri"/>
                <w:b w:val="0"/>
                <w:i w:val="0"/>
                <w:color w:val="000000"/>
                <w:sz w:val="18"/>
              </w:rPr>
              <w:t>Origination Fee / Team Operations Fee (30%)</w:t>
            </w:r>
          </w:p>
        </w:tc>
        <w:tc>
          <w:tcPr>
            <w:tcW w:type="dxa" w:w="3135"/>
          </w:tcPr>
          <w:p>
            <w:pPr>
              <w:jc w:val="right"/>
            </w:pPr>
            <w:r/>
            <w:r>
              <w:rPr>
                <w:rFonts w:ascii="Calibri" w:hAnsi="Calibri"/>
                <w:b w:val="0"/>
                <w:i w:val="0"/>
                <w:color w:val="000000"/>
                <w:sz w:val="18"/>
              </w:rPr>
              <w:t>€83,100</w:t>
            </w:r>
          </w:p>
        </w:tc>
        <w:tc>
          <w:tcPr>
            <w:tcW w:type="dxa" w:w="3135"/>
          </w:tcPr>
          <w:p>
            <w:r/>
            <w:r>
              <w:rPr>
                <w:rFonts w:ascii="Calibri" w:hAnsi="Calibri"/>
                <w:b w:val="0"/>
                <w:i w:val="0"/>
                <w:color w:val="000000"/>
                <w:sz w:val="18"/>
              </w:rPr>
              <w:t>Payable to Consultant</w:t>
            </w:r>
          </w:p>
        </w:tc>
      </w:tr>
    </w:tbl>
    <w:p/>
    <w:p>
      <w:pPr>
        <w:sectPr>
          <w:footerReference w:type="default" r:id="rId12"/>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3 — SCOPE OF SERVICES ═══</w:t>
      </w:r>
    </w:p>
    <w:p>
      <w:pPr>
        <w:spacing w:before="200"/>
      </w:pPr>
      <w:r>
        <w:rPr>
          <w:rFonts w:ascii="Calibri" w:hAnsi="Calibri"/>
          <w:b/>
          <w:i w:val="0"/>
          <w:color w:val="1A365D"/>
          <w:sz w:val="22"/>
        </w:rPr>
        <w:t>Schedule 3 — Scope of Ongoing Operational Services</w:t>
      </w:r>
    </w:p>
    <w:p>
      <w:pPr>
        <w:jc w:val="both"/>
      </w:pPr>
      <w:r>
        <w:rPr>
          <w:rFonts w:ascii="Calibri" w:hAnsi="Calibri"/>
          <w:b w:val="0"/>
          <w:i w:val="0"/>
          <w:color w:val="000000"/>
          <w:sz w:val="20"/>
        </w:rPr>
        <w:t>The Consultant provides the following operational services to the Company through its team, under the direction and control of Alexander Papacosta.</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pPr>
              <w:jc w:val="left"/>
            </w:pPr>
            <w:r>
              <w:rPr>
                <w:b/>
                <w:color w:val="FFFFFF"/>
              </w:rPr>
            </w:r>
            <w:r>
              <w:rPr>
                <w:rFonts w:ascii="Calibri" w:hAnsi="Calibri"/>
                <w:b/>
                <w:i w:val="0"/>
                <w:color w:val="FFFFFF"/>
                <w:sz w:val="18"/>
              </w:rPr>
              <w:t>Service Area</w:t>
            </w:r>
          </w:p>
        </w:tc>
        <w:tc>
          <w:tcPr>
            <w:tcW w:type="dxa" w:w="4703"/>
            <w:shd w:fill="1A365D" w:val="clear"/>
          </w:tcPr>
          <w:p>
            <w:pPr>
              <w:jc w:val="left"/>
            </w:pPr>
            <w:r>
              <w:rPr>
                <w:b/>
                <w:color w:val="FFFFFF"/>
              </w:rPr>
            </w:r>
            <w:r>
              <w:rPr>
                <w:rFonts w:ascii="Calibri" w:hAnsi="Calibri"/>
                <w:b/>
                <w:i w:val="0"/>
                <w:color w:val="FFFFFF"/>
                <w:sz w:val="18"/>
              </w:rPr>
              <w:t>Description</w:t>
            </w:r>
          </w:p>
        </w:tc>
      </w:tr>
      <w:tr>
        <w:tc>
          <w:tcPr>
            <w:tcW w:type="dxa" w:w="4703"/>
          </w:tcPr>
          <w:p>
            <w:r/>
            <w:r>
              <w:rPr>
                <w:rFonts w:ascii="Calibri" w:hAnsi="Calibri"/>
                <w:b w:val="0"/>
                <w:i w:val="0"/>
                <w:color w:val="000000"/>
                <w:sz w:val="18"/>
              </w:rPr>
              <w:t>Project Management</w:t>
            </w:r>
          </w:p>
        </w:tc>
        <w:tc>
          <w:tcPr>
            <w:tcW w:type="dxa" w:w="4703"/>
          </w:tcPr>
          <w:p>
            <w:r/>
            <w:r>
              <w:rPr>
                <w:rFonts w:ascii="Calibri" w:hAnsi="Calibri"/>
                <w:b w:val="0"/>
                <w:i w:val="0"/>
                <w:color w:val="000000"/>
                <w:sz w:val="18"/>
              </w:rPr>
              <w:t>End-to-end management of BESS EPC projects from contract award through commissioning and handover. Includes scheduling, milestone tracking, resource planning, and progress reporting to clients and stakeholders.</w:t>
            </w:r>
          </w:p>
        </w:tc>
      </w:tr>
      <w:tr>
        <w:tc>
          <w:tcPr>
            <w:tcW w:type="dxa" w:w="4703"/>
          </w:tcPr>
          <w:p>
            <w:r/>
            <w:r>
              <w:rPr>
                <w:rFonts w:ascii="Calibri" w:hAnsi="Calibri"/>
                <w:b w:val="0"/>
                <w:i w:val="0"/>
                <w:color w:val="000000"/>
                <w:sz w:val="18"/>
              </w:rPr>
              <w:t>Team Coordination &amp; Supervision</w:t>
            </w:r>
          </w:p>
        </w:tc>
        <w:tc>
          <w:tcPr>
            <w:tcW w:type="dxa" w:w="4703"/>
          </w:tcPr>
          <w:p>
            <w:r/>
            <w:r>
              <w:rPr>
                <w:rFonts w:ascii="Calibri" w:hAnsi="Calibri"/>
                <w:b w:val="0"/>
                <w:i w:val="0"/>
                <w:color w:val="000000"/>
                <w:sz w:val="18"/>
              </w:rPr>
              <w:t>Recruitment, coordination, and supervision of the operational team including site engineers, commissioning specialists, logistics coordinators, and administrative support. Includes performance management and team development.</w:t>
            </w:r>
          </w:p>
        </w:tc>
      </w:tr>
      <w:tr>
        <w:tc>
          <w:tcPr>
            <w:tcW w:type="dxa" w:w="4703"/>
          </w:tcPr>
          <w:p>
            <w:r/>
            <w:r>
              <w:rPr>
                <w:rFonts w:ascii="Calibri" w:hAnsi="Calibri"/>
                <w:b w:val="0"/>
                <w:i w:val="0"/>
                <w:color w:val="000000"/>
                <w:sz w:val="18"/>
              </w:rPr>
              <w:t>Subcontractor Procurement</w:t>
            </w:r>
          </w:p>
        </w:tc>
        <w:tc>
          <w:tcPr>
            <w:tcW w:type="dxa" w:w="4703"/>
          </w:tcPr>
          <w:p>
            <w:r/>
            <w:r>
              <w:rPr>
                <w:rFonts w:ascii="Calibri" w:hAnsi="Calibri"/>
                <w:b w:val="0"/>
                <w:i w:val="0"/>
                <w:color w:val="000000"/>
                <w:sz w:val="18"/>
              </w:rPr>
              <w:t>Identification, negotiation, contracting, and management of subcontractors for civil works, electrical installation, crane hire, transport, lightning protection, earthing, and other specialist services.</w:t>
            </w:r>
          </w:p>
        </w:tc>
      </w:tr>
      <w:tr>
        <w:tc>
          <w:tcPr>
            <w:tcW w:type="dxa" w:w="4703"/>
          </w:tcPr>
          <w:p>
            <w:r/>
            <w:r>
              <w:rPr>
                <w:rFonts w:ascii="Calibri" w:hAnsi="Calibri"/>
                <w:b w:val="0"/>
                <w:i w:val="0"/>
                <w:color w:val="000000"/>
                <w:sz w:val="18"/>
              </w:rPr>
              <w:t>Client Relationship Management</w:t>
            </w:r>
          </w:p>
        </w:tc>
        <w:tc>
          <w:tcPr>
            <w:tcW w:type="dxa" w:w="4703"/>
          </w:tcPr>
          <w:p>
            <w:r/>
            <w:r>
              <w:rPr>
                <w:rFonts w:ascii="Calibri" w:hAnsi="Calibri"/>
                <w:b w:val="0"/>
                <w:i w:val="0"/>
                <w:color w:val="000000"/>
                <w:sz w:val="18"/>
              </w:rPr>
              <w:t>Ongoing management of relationships with all six client groups, aggregators (ABIO, Synenergia), and individual park owners. Includes contract negotiations, progress updates, and issue resolution.</w:t>
            </w:r>
          </w:p>
        </w:tc>
      </w:tr>
      <w:tr>
        <w:tc>
          <w:tcPr>
            <w:tcW w:type="dxa" w:w="4703"/>
          </w:tcPr>
          <w:p>
            <w:r/>
            <w:r>
              <w:rPr>
                <w:rFonts w:ascii="Calibri" w:hAnsi="Calibri"/>
                <w:b w:val="0"/>
                <w:i w:val="0"/>
                <w:color w:val="000000"/>
                <w:sz w:val="18"/>
              </w:rPr>
              <w:t>Supply Chain Management</w:t>
            </w:r>
          </w:p>
        </w:tc>
        <w:tc>
          <w:tcPr>
            <w:tcW w:type="dxa" w:w="4703"/>
          </w:tcPr>
          <w:p>
            <w:r/>
            <w:r>
              <w:rPr>
                <w:rFonts w:ascii="Calibri" w:hAnsi="Calibri"/>
                <w:b w:val="0"/>
                <w:i w:val="0"/>
                <w:color w:val="000000"/>
                <w:sz w:val="18"/>
              </w:rPr>
              <w:t>Coordination with Linyang/Solarfun (equipment supply), Voltus Energy (EMS/SCADA), DEHN (lightning protection), and all other suppliers. Includes order management, delivery scheduling, quality verification, and warranty coordination.</w:t>
            </w:r>
          </w:p>
        </w:tc>
      </w:tr>
      <w:tr>
        <w:tc>
          <w:tcPr>
            <w:tcW w:type="dxa" w:w="4703"/>
          </w:tcPr>
          <w:p>
            <w:r/>
            <w:r>
              <w:rPr>
                <w:rFonts w:ascii="Calibri" w:hAnsi="Calibri"/>
                <w:b w:val="0"/>
                <w:i w:val="0"/>
                <w:color w:val="000000"/>
                <w:sz w:val="18"/>
              </w:rPr>
              <w:t>EPC Execution Planning</w:t>
            </w:r>
          </w:p>
        </w:tc>
        <w:tc>
          <w:tcPr>
            <w:tcW w:type="dxa" w:w="4703"/>
          </w:tcPr>
          <w:p>
            <w:r/>
            <w:r>
              <w:rPr>
                <w:rFonts w:ascii="Calibri" w:hAnsi="Calibri"/>
                <w:b w:val="0"/>
                <w:i w:val="0"/>
                <w:color w:val="000000"/>
                <w:sz w:val="18"/>
              </w:rPr>
              <w:t>Technical planning for site preparation, foundation design coordination, container placement, electrical interconnection, grid connection scheduling, and DSO coordination.</w:t>
            </w:r>
          </w:p>
        </w:tc>
      </w:tr>
      <w:tr>
        <w:tc>
          <w:tcPr>
            <w:tcW w:type="dxa" w:w="4703"/>
          </w:tcPr>
          <w:p>
            <w:r/>
            <w:r>
              <w:rPr>
                <w:rFonts w:ascii="Calibri" w:hAnsi="Calibri"/>
                <w:b w:val="0"/>
                <w:i w:val="0"/>
                <w:color w:val="000000"/>
                <w:sz w:val="18"/>
              </w:rPr>
              <w:t>Quality Assurance &amp; Compliance</w:t>
            </w:r>
          </w:p>
        </w:tc>
        <w:tc>
          <w:tcPr>
            <w:tcW w:type="dxa" w:w="4703"/>
          </w:tcPr>
          <w:p>
            <w:r/>
            <w:r>
              <w:rPr>
                <w:rFonts w:ascii="Calibri" w:hAnsi="Calibri"/>
                <w:b w:val="0"/>
                <w:i w:val="0"/>
                <w:color w:val="000000"/>
                <w:sz w:val="18"/>
              </w:rPr>
              <w:t>Oversight of installation quality standards, regulatory compliance (CERA, TSOC, DSO), health and safety, environmental compliance, and commissioning protocols.</w:t>
            </w:r>
          </w:p>
        </w:tc>
      </w:tr>
      <w:tr>
        <w:tc>
          <w:tcPr>
            <w:tcW w:type="dxa" w:w="4703"/>
          </w:tcPr>
          <w:p>
            <w:r/>
            <w:r>
              <w:rPr>
                <w:rFonts w:ascii="Calibri" w:hAnsi="Calibri"/>
                <w:b w:val="0"/>
                <w:i w:val="0"/>
                <w:color w:val="000000"/>
                <w:sz w:val="18"/>
              </w:rPr>
              <w:t>Commercial &amp; Financial Management</w:t>
            </w:r>
          </w:p>
        </w:tc>
        <w:tc>
          <w:tcPr>
            <w:tcW w:type="dxa" w:w="4703"/>
          </w:tcPr>
          <w:p>
            <w:r/>
            <w:r>
              <w:rPr>
                <w:rFonts w:ascii="Calibri" w:hAnsi="Calibri"/>
                <w:b w:val="0"/>
                <w:i w:val="0"/>
                <w:color w:val="000000"/>
                <w:sz w:val="18"/>
              </w:rPr>
              <w:t>Cost tracking, margin analysis, invoicing management, client payment collection, and financial reporting on project profitability. Includes pricing and proposal development for new opportunities.</w:t>
            </w:r>
          </w:p>
        </w:tc>
      </w:tr>
      <w:tr>
        <w:tc>
          <w:tcPr>
            <w:tcW w:type="dxa" w:w="4703"/>
          </w:tcPr>
          <w:p>
            <w:r/>
            <w:r>
              <w:rPr>
                <w:rFonts w:ascii="Calibri" w:hAnsi="Calibri"/>
                <w:b w:val="0"/>
                <w:i w:val="0"/>
                <w:color w:val="000000"/>
                <w:sz w:val="18"/>
              </w:rPr>
              <w:t>Business Development</w:t>
            </w:r>
          </w:p>
        </w:tc>
        <w:tc>
          <w:tcPr>
            <w:tcW w:type="dxa" w:w="4703"/>
          </w:tcPr>
          <w:p>
            <w:r/>
            <w:r>
              <w:rPr>
                <w:rFonts w:ascii="Calibri" w:hAnsi="Calibri"/>
                <w:b w:val="0"/>
                <w:i w:val="0"/>
                <w:color w:val="000000"/>
                <w:sz w:val="18"/>
              </w:rPr>
              <w:t>Identification and pursuit of new BESS opportunities in Cyprus and other markets, client prospecting, market analysis, and pipeline development for Future Business.</w:t>
            </w:r>
          </w:p>
        </w:tc>
      </w:tr>
      <w:tr>
        <w:tc>
          <w:tcPr>
            <w:tcW w:type="dxa" w:w="4703"/>
          </w:tcPr>
          <w:p>
            <w:r/>
            <w:r>
              <w:rPr>
                <w:rFonts w:ascii="Calibri" w:hAnsi="Calibri"/>
                <w:b w:val="0"/>
                <w:i w:val="0"/>
                <w:color w:val="000000"/>
                <w:sz w:val="18"/>
              </w:rPr>
              <w:t>Insurance &amp; Risk Management</w:t>
            </w:r>
          </w:p>
        </w:tc>
        <w:tc>
          <w:tcPr>
            <w:tcW w:type="dxa" w:w="4703"/>
          </w:tcPr>
          <w:p>
            <w:r/>
            <w:r>
              <w:rPr>
                <w:rFonts w:ascii="Calibri" w:hAnsi="Calibri"/>
                <w:b w:val="0"/>
                <w:i w:val="0"/>
                <w:color w:val="000000"/>
                <w:sz w:val="18"/>
              </w:rPr>
              <w:t>Procurement and management of project insurance (CAR/EAR, professional indemnity, product liability), risk assessment, and warranty management for the portfolio.</w:t>
            </w:r>
          </w:p>
        </w:tc>
      </w:tr>
    </w:tbl>
    <w:p/>
    <w:p>
      <w:pPr>
        <w:sectPr>
          <w:footerReference w:type="default" r:id="rId13"/>
          <w:pgSz w:w="12240" w:h="15840"/>
          <w:pgMar w:top="1134" w:right="1417" w:bottom="1247" w:left="1417" w:header="720" w:footer="720" w:gutter="0"/>
          <w:cols w:space="720"/>
          <w:docGrid w:linePitch="360"/>
          <w:pgNumType w:start="1"/>
        </w:sectPr>
      </w:pPr>
    </w:p>
    <w:p/>
    <w:p>
      <w:r>
        <w:rPr>
          <w:rFonts w:ascii="Calibri" w:hAnsi="Calibri"/>
          <w:b/>
          <w:i w:val="0"/>
          <w:color w:val="C9A432"/>
          <w:sz w:val="24"/>
        </w:rPr>
        <w:t>EXECUTION</w:t>
      </w:r>
    </w:p>
    <w:p/>
    <w:p>
      <w:r>
        <w:rPr>
          <w:rFonts w:ascii="Calibri" w:hAnsi="Calibri"/>
          <w:b w:val="0"/>
          <w:i w:val="0"/>
          <w:color w:val="000000"/>
          <w:sz w:val="20"/>
        </w:rPr>
        <w:t>This Agreement has been executed as a Deed on the date first written above.</w:t>
      </w:r>
    </w:p>
    <w:p/>
    <w:p>
      <w:r>
        <w:rPr>
          <w:rFonts w:ascii="Calibri" w:hAnsi="Calibri"/>
          <w:b/>
          <w:i w:val="0"/>
          <w:color w:val="000000"/>
          <w:sz w:val="20"/>
        </w:rPr>
        <w:t>Signed for and on behalf of LIGHTHIEF CYPRUS LTD (HE 477423)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Signed for and on behalf of MOI OSTROV LTD (HE 319483)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Witness:</w:t>
      </w:r>
    </w:p>
    <w:p>
      <w:r>
        <w:rPr>
          <w:rFonts w:ascii="Calibri" w:hAnsi="Calibri"/>
          <w:b w:val="0"/>
          <w:i w:val="0"/>
          <w:color w:val="000000"/>
          <w:sz w:val="20"/>
        </w:rPr>
        <w:t>Name: ______________________</w:t>
      </w:r>
    </w:p>
    <w:p>
      <w:r>
        <w:rPr>
          <w:rFonts w:ascii="Calibri" w:hAnsi="Calibri"/>
          <w:b w:val="0"/>
          <w:i w:val="0"/>
          <w:color w:val="000000"/>
          <w:sz w:val="20"/>
        </w:rPr>
        <w:t>Address: ______________________</w:t>
      </w:r>
    </w:p>
    <w:p>
      <w:r>
        <w:rPr>
          <w:rFonts w:ascii="Calibri" w:hAnsi="Calibri"/>
          <w:b w:val="0"/>
          <w:i w:val="0"/>
          <w:color w:val="000000"/>
          <w:sz w:val="20"/>
        </w:rPr>
        <w:t>Date: ______________________</w:t>
      </w:r>
    </w:p>
    <w:p>
      <w:pPr>
        <w:sectPr>
          <w:footerReference w:type="default" r:id="rId14"/>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A — SHAREHOLDER RESOLUTION ═══</w:t>
      </w:r>
    </w:p>
    <w:p>
      <w:pPr>
        <w:spacing w:before="200"/>
      </w:pPr>
      <w:r>
        <w:rPr>
          <w:rFonts w:ascii="Calibri" w:hAnsi="Calibri"/>
          <w:b/>
          <w:i w:val="0"/>
          <w:color w:val="1A365D"/>
          <w:sz w:val="22"/>
        </w:rPr>
        <w:t>Annex A — Written Resolution of the Sole Shareholder</w:t>
      </w:r>
    </w:p>
    <w:p>
      <w:pPr>
        <w:jc w:val="both"/>
      </w:pPr>
      <w:r>
        <w:rPr>
          <w:rFonts w:ascii="Calibri" w:hAnsi="Calibri"/>
          <w:b w:val="0"/>
          <w:i w:val="0"/>
          <w:color w:val="000000"/>
          <w:sz w:val="20"/>
        </w:rPr>
        <w:t>of Lighthief Cyprus Ltd (Company No. HE 477423)</w:t>
      </w:r>
    </w:p>
    <w:p>
      <w:pPr>
        <w:jc w:val="both"/>
      </w:pPr>
      <w:r>
        <w:rPr>
          <w:rFonts w:ascii="Calibri" w:hAnsi="Calibri"/>
          <w:b w:val="0"/>
          <w:i w:val="0"/>
          <w:color w:val="000000"/>
          <w:sz w:val="20"/>
        </w:rPr>
        <w:t>Passed in accordance with Section 135 of the Cyprus Companies Law, Cap. 113</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THE SOLE SHAREHOLDER of Lighthief Cyprus Ltd (the "Company"), being: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pPr>
              <w:jc w:val="left"/>
            </w:pPr>
            <w:r>
              <w:rPr>
                <w:b/>
                <w:color w:val="FFFFFF"/>
              </w:rPr>
            </w:r>
            <w:r>
              <w:rPr>
                <w:rFonts w:ascii="Calibri" w:hAnsi="Calibri"/>
                <w:b/>
                <w:i w:val="0"/>
                <w:color w:val="FFFFFF"/>
                <w:sz w:val="18"/>
              </w:rPr>
              <w:t>Shareholder</w:t>
            </w:r>
          </w:p>
        </w:tc>
        <w:tc>
          <w:tcPr>
            <w:tcW w:type="dxa" w:w="2351"/>
            <w:shd w:fill="1A365D" w:val="clear"/>
          </w:tcPr>
          <w:p>
            <w:pPr>
              <w:jc w:val="left"/>
            </w:pPr>
            <w:r>
              <w:rPr>
                <w:b/>
                <w:color w:val="FFFFFF"/>
              </w:rPr>
            </w:r>
            <w:r>
              <w:rPr>
                <w:rFonts w:ascii="Calibri" w:hAnsi="Calibri"/>
                <w:b/>
                <w:i w:val="0"/>
                <w:color w:val="FFFFFF"/>
                <w:sz w:val="18"/>
              </w:rPr>
              <w:t>Shares Held</w:t>
            </w:r>
          </w:p>
        </w:tc>
        <w:tc>
          <w:tcPr>
            <w:tcW w:type="dxa" w:w="2351"/>
            <w:shd w:fill="1A365D" w:val="clear"/>
          </w:tcPr>
          <w:p>
            <w:pPr>
              <w:jc w:val="left"/>
            </w:pPr>
            <w:r>
              <w:rPr>
                <w:b/>
                <w:color w:val="FFFFFF"/>
              </w:rPr>
            </w:r>
            <w:r>
              <w:rPr>
                <w:rFonts w:ascii="Calibri" w:hAnsi="Calibri"/>
                <w:b/>
                <w:i w:val="0"/>
                <w:color w:val="FFFFFF"/>
                <w:sz w:val="18"/>
              </w:rPr>
              <w:t>% Holding</w:t>
            </w:r>
          </w:p>
        </w:tc>
        <w:tc>
          <w:tcPr>
            <w:tcW w:type="dxa" w:w="2351"/>
            <w:shd w:fill="1A365D" w:val="clear"/>
          </w:tcPr>
          <w:p>
            <w:pPr>
              <w:jc w:val="left"/>
            </w:pPr>
            <w:r>
              <w:rPr>
                <w:b/>
                <w:color w:val="FFFFFF"/>
              </w:rPr>
            </w:r>
            <w:r>
              <w:rPr>
                <w:rFonts w:ascii="Calibri" w:hAnsi="Calibri"/>
                <w:b/>
                <w:i w:val="0"/>
                <w:color w:val="FFFFFF"/>
                <w:sz w:val="18"/>
              </w:rPr>
              <w:t>UBO</w:t>
            </w:r>
          </w:p>
        </w:tc>
      </w:tr>
      <w:tr>
        <w:tc>
          <w:tcPr>
            <w:tcW w:type="dxa" w:w="2351"/>
          </w:tcPr>
          <w:p>
            <w:r/>
            <w:r>
              <w:rPr>
                <w:rFonts w:ascii="Calibri" w:hAnsi="Calibri"/>
                <w:b w:val="0"/>
                <w:i w:val="0"/>
                <w:color w:val="000000"/>
                <w:sz w:val="18"/>
              </w:rPr>
              <w:t>Lighthief International Ltd</w:t>
            </w:r>
          </w:p>
        </w:tc>
        <w:tc>
          <w:tcPr>
            <w:tcW w:type="dxa" w:w="2351"/>
          </w:tcPr>
          <w:p>
            <w:r/>
            <w:r>
              <w:rPr>
                <w:rFonts w:ascii="Calibri" w:hAnsi="Calibri"/>
                <w:b w:val="0"/>
                <w:i w:val="0"/>
                <w:color w:val="000000"/>
                <w:sz w:val="18"/>
              </w:rPr>
              <w:t>100% of issued share capital</w:t>
            </w:r>
          </w:p>
        </w:tc>
        <w:tc>
          <w:tcPr>
            <w:tcW w:type="dxa" w:w="2351"/>
          </w:tcPr>
          <w:p>
            <w:pPr>
              <w:jc w:val="right"/>
            </w:pPr>
            <w:r/>
            <w:r>
              <w:rPr>
                <w:rFonts w:ascii="Calibri" w:hAnsi="Calibri"/>
                <w:b w:val="0"/>
                <w:i w:val="0"/>
                <w:color w:val="000000"/>
                <w:sz w:val="18"/>
              </w:rPr>
              <w:t>100%</w:t>
            </w:r>
          </w:p>
        </w:tc>
        <w:tc>
          <w:tcPr>
            <w:tcW w:type="dxa" w:w="2351"/>
          </w:tcPr>
          <w:p>
            <w:r/>
            <w:r>
              <w:rPr>
                <w:rFonts w:ascii="Calibri" w:hAnsi="Calibri"/>
                <w:b w:val="0"/>
                <w:i w:val="0"/>
                <w:color w:val="000000"/>
                <w:sz w:val="18"/>
              </w:rPr>
              <w:t>Dr. Arkadiusz Sybaris</w:t>
            </w:r>
          </w:p>
        </w:tc>
      </w:tr>
    </w:tbl>
    <w:p/>
    <w:p>
      <w:pPr>
        <w:jc w:val="both"/>
      </w:pPr>
      <w:r>
        <w:rPr>
          <w:rFonts w:ascii="Calibri" w:hAnsi="Calibri"/>
          <w:b w:val="0"/>
          <w:i w:val="0"/>
          <w:color w:val="000000"/>
          <w:sz w:val="20"/>
        </w:rPr>
        <w:t>HEREBY RESOLVES as follows:</w:t>
      </w:r>
    </w:p>
    <w:p>
      <w:pPr>
        <w:jc w:val="both"/>
      </w:pPr>
      <w:r>
        <w:rPr>
          <w:rFonts w:ascii="Calibri" w:hAnsi="Calibri"/>
          <w:b w:val="0"/>
          <w:i w:val="0"/>
          <w:color w:val="000000"/>
          <w:sz w:val="20"/>
        </w:rPr>
        <w:t>1. Approval of Consultancy Agreement: The Team Operational Consultancy Agreement dated ______________________ 2026 between the Company and Moi Ostrov Ltd (Company No. HE 319483), reference LCY-MOI-TOCA-2026-001 (the "Consultancy Agreement"), is hereby approved and ratified in its entirety, including both Part A (Origination Fee) and Part B (Team Operations Fee).</w:t>
      </w:r>
    </w:p>
    <w:p>
      <w:pPr>
        <w:jc w:val="both"/>
      </w:pPr>
      <w:r>
        <w:rPr>
          <w:rFonts w:ascii="Calibri" w:hAnsi="Calibri"/>
          <w:b w:val="0"/>
          <w:i w:val="0"/>
          <w:color w:val="000000"/>
          <w:sz w:val="20"/>
        </w:rPr>
        <w:t>2. Term and Protected Matter: The Shareholder acknowledges that the Consultancy Agreement has a Minimum Term of five (5) years and may be terminated or amended only as set out in Clause 5.3 of the Consultancy Agreement (including material-breach termination, twelve (12) months' notice after the Minimum Term, and amendment requiring consent of shareholders holding at least seventy-five percent (75%) of voting shares, or unanimous consent if fewer than three shareholders). The Shareholder resolves that the Consultancy Agreement shall be designated a "Protected Matter" in the Articles on those terms. Nothing in this Resolution limits statutory rights under the Companies Law, Cap. 113.</w:t>
      </w:r>
    </w:p>
    <w:p>
      <w:pPr>
        <w:jc w:val="both"/>
      </w:pPr>
      <w:r>
        <w:rPr>
          <w:rFonts w:ascii="Calibri" w:hAnsi="Calibri"/>
          <w:b w:val="0"/>
          <w:i w:val="0"/>
          <w:color w:val="000000"/>
          <w:sz w:val="20"/>
        </w:rPr>
        <w:t>3. Articles amendment: The Shareholder instructs the Director to amend the Company's Articles of Association to reflect the Protected Matter status and the provisions described in Clause 6.8 of the Consultancy Agreement (including the deed of acknowledgement requirement for new shareholders).</w:t>
      </w:r>
    </w:p>
    <w:p>
      <w:pPr>
        <w:jc w:val="both"/>
      </w:pPr>
      <w:r>
        <w:rPr>
          <w:rFonts w:ascii="Calibri" w:hAnsi="Calibri"/>
          <w:b w:val="0"/>
          <w:i w:val="0"/>
          <w:color w:val="000000"/>
          <w:sz w:val="20"/>
        </w:rPr>
        <w:t>4. Binding on Successors: The Shareholder agrees that the obligations of the Company under the Consultancy Agreement shall be binding on any future shareholder, transferee, acquirer, or successor of the Company's shares or business. The Shareholder shall procure that any transferee of its shares in the Company executes the deed of acknowledgement required by Clause 6.3 of the Consultancy Agreement as a condition of such transfer.</w:t>
      </w:r>
    </w:p>
    <w:p>
      <w:pPr>
        <w:jc w:val="both"/>
      </w:pPr>
      <w:r>
        <w:rPr>
          <w:rFonts w:ascii="Calibri" w:hAnsi="Calibri"/>
          <w:b w:val="0"/>
          <w:i w:val="0"/>
          <w:color w:val="000000"/>
          <w:sz w:val="20"/>
        </w:rPr>
        <w:t>5. Conflict of Interest Waiver: The Shareholder acknowledges the dual directorship of Alexander Papacosta (Cyprus ID: 1241318) as director of both the Company and Moi Ostrov Ltd, has considered the potential conflict of interest, and waives any objection to such conflict. The Shareholder confirms that the Consultancy Agreement is in the commercial interests of the Company given that: (a) the entire BESS project pipeline was originated and secured through Alexander Papacosta's business development activities; and (b) the Team Operations Fee provides the Company with essential operational services at a rate consistent with market norms for outsourced EPC project management.</w:t>
      </w:r>
    </w:p>
    <w:p>
      <w:pPr>
        <w:jc w:val="both"/>
      </w:pPr>
      <w:r>
        <w:rPr>
          <w:rFonts w:ascii="Calibri" w:hAnsi="Calibri"/>
          <w:b w:val="0"/>
          <w:i w:val="0"/>
          <w:color w:val="000000"/>
          <w:sz w:val="20"/>
        </w:rPr>
        <w:t>6. Protection of fees: The Shareholder undertakes that it shall not, and shall procure that the Company shall not, during the Minimum Term:</w:t>
      </w:r>
    </w:p>
    <w:p>
      <w:pPr>
        <w:jc w:val="both"/>
      </w:pPr>
      <w:r>
        <w:rPr>
          <w:rFonts w:ascii="Calibri" w:hAnsi="Calibri"/>
          <w:b w:val="0"/>
          <w:i w:val="0"/>
          <w:color w:val="000000"/>
          <w:sz w:val="20"/>
        </w:rPr>
        <w:t>(a) take any action that would terminate or vary the Consultancy Agreement otherwise than in accordance with Clause 5.3;</w:t>
      </w:r>
    </w:p>
    <w:p>
      <w:pPr>
        <w:jc w:val="both"/>
      </w:pPr>
      <w:r>
        <w:rPr>
          <w:rFonts w:ascii="Calibri" w:hAnsi="Calibri"/>
          <w:b w:val="0"/>
          <w:i w:val="0"/>
          <w:color w:val="000000"/>
          <w:sz w:val="20"/>
        </w:rPr>
        <w:t>(b) remove, interfere with, or diminish the Consultant's entitlement to fees properly accrued under the Consultancy Agreement;</w:t>
      </w:r>
    </w:p>
    <w:p>
      <w:pPr>
        <w:jc w:val="both"/>
      </w:pPr>
      <w:r>
        <w:rPr>
          <w:rFonts w:ascii="Calibri" w:hAnsi="Calibri"/>
          <w:b w:val="0"/>
          <w:i w:val="0"/>
          <w:color w:val="000000"/>
          <w:sz w:val="20"/>
        </w:rPr>
        <w:t>(c) declare discretionary dividends or make discretionary shareholder distributions attributable to revenue in respect of which a corresponding fee has accrued but remains unpaid, consistent with Clause 6.5;</w:t>
      </w:r>
    </w:p>
    <w:p>
      <w:pPr>
        <w:jc w:val="both"/>
      </w:pPr>
      <w:r>
        <w:rPr>
          <w:rFonts w:ascii="Calibri" w:hAnsi="Calibri"/>
          <w:b w:val="0"/>
          <w:i w:val="0"/>
          <w:color w:val="000000"/>
          <w:sz w:val="20"/>
        </w:rPr>
        <w:t>(d) dispose of the Company's assets or business in a manner that would frustrate payment of fees properly accrued under signed client contracts.</w:t>
      </w:r>
    </w:p>
    <w:p>
      <w:pPr>
        <w:jc w:val="both"/>
      </w:pPr>
      <w:r>
        <w:rPr>
          <w:rFonts w:ascii="Calibri" w:hAnsi="Calibri"/>
          <w:b w:val="0"/>
          <w:i w:val="0"/>
          <w:color w:val="000000"/>
          <w:sz w:val="20"/>
        </w:rPr>
        <w:t>7. Director Authorisation: Alexander Papacosta (Cyprus ID: 1241318) is hereby authorised to execute the Consultancy Agreement on behalf of the Company, notwithstanding his interest as director of Moi Ostrov Ltd.</w:t>
      </w:r>
    </w:p>
    <w:p>
      <w:pPr>
        <w:jc w:val="both"/>
      </w:pPr>
      <w:r>
        <w:rPr>
          <w:rFonts w:ascii="Calibri" w:hAnsi="Calibri"/>
          <w:b w:val="0"/>
          <w:i w:val="0"/>
          <w:color w:val="000000"/>
          <w:sz w:val="20"/>
        </w:rPr>
        <w:t>8. Filing: The Company Secretary is instructed to file a copy of this Resolution with the Company's statutory records and to note the Consultancy Agreement as a material obligation in the Company's books.</w:t>
      </w:r>
    </w:p>
    <w:p/>
    <w:p>
      <w:pPr>
        <w:jc w:val="both"/>
      </w:pPr>
      <w:r>
        <w:rPr>
          <w:rFonts w:ascii="Calibri" w:hAnsi="Calibri"/>
          <w:b w:val="0"/>
          <w:i w:val="0"/>
          <w:color w:val="000000"/>
          <w:sz w:val="20"/>
        </w:rPr>
        <w:t>Signed for and on behalf of the Sole Shareholder:</w:t>
      </w:r>
    </w:p>
    <w:p>
      <w:pPr>
        <w:jc w:val="both"/>
      </w:pPr>
      <w:r>
        <w:rPr>
          <w:rFonts w:ascii="Calibri" w:hAnsi="Calibri"/>
          <w:b w:val="0"/>
          <w:i w:val="0"/>
          <w:color w:val="000000"/>
          <w:sz w:val="20"/>
        </w:rPr>
        <w:br/>
        <w:t xml:space="preserve">      For and on behalf of</w:t>
        <w:br/>
        <w:t>LIGHTHIEF INTERNATIONAL LTD</w:t>
        <w:br/>
        <w:t>(Sole Shareholder of Lighthief Cyprus Ltd)</w:t>
        <w:br/>
        <w:t xml:space="preserve">    </w:t>
      </w:r>
    </w:p>
    <w:p>
      <w:pPr>
        <w:jc w:val="both"/>
      </w:pPr>
      <w:r>
        <w:rPr>
          <w:rFonts w:ascii="Calibri" w:hAnsi="Calibri"/>
          <w:b w:val="0"/>
          <w:i w:val="0"/>
          <w:color w:val="000000"/>
          <w:sz w:val="20"/>
        </w:rPr>
        <w:t>Authorised signatory:</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 Lighthief International Ltd</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UBO Declaration: The ultimate beneficial owner of Lighthief International Ltd is Dr. Arkadiusz Sybaris.</w:t>
        <w:br/>
        <w:t xml:space="preserve">  </w:t>
      </w:r>
    </w:p>
    <w:p>
      <w:pPr>
        <w:sectPr>
          <w:footerReference w:type="default" r:id="rId15"/>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B — UBO PERSONAL UNDERTAKING ═══</w:t>
      </w:r>
    </w:p>
    <w:p>
      <w:pPr>
        <w:spacing w:before="200"/>
      </w:pPr>
      <w:r>
        <w:rPr>
          <w:rFonts w:ascii="Calibri" w:hAnsi="Calibri"/>
          <w:b/>
          <w:i w:val="0"/>
          <w:color w:val="1A365D"/>
          <w:sz w:val="22"/>
        </w:rPr>
        <w:t>Annex B — Personal Undertaking of the Ultimate Beneficial Owner</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I, Dr. Arkadiusz Sybaris, being the ultimate beneficial owner of Lighthief International Ltd (which is the sole shareholder of Lighthief Cyprus Ltd, Company No. HE 477423), hereby provide this personal undertaking in connection with the Team Operational Consultancy Agreement dated ______________________ 2026, reference LCY-MOI-TOCA-2026-001, between Lighthief Cyprus Ltd and Moi Ostrov Ltd (the "Consultancy Agreement").</w:t>
      </w:r>
    </w:p>
    <w:p>
      <w:pPr>
        <w:jc w:val="both"/>
      </w:pPr>
      <w:r>
        <w:rPr>
          <w:rFonts w:ascii="Calibri" w:hAnsi="Calibri"/>
          <w:b w:val="0"/>
          <w:i w:val="0"/>
          <w:color w:val="000000"/>
          <w:sz w:val="20"/>
        </w:rPr>
        <w:t>I HEREBY UNDERTAKE AND AGREE as follows:</w:t>
      </w:r>
    </w:p>
    <w:p>
      <w:pPr>
        <w:jc w:val="both"/>
      </w:pPr>
      <w:r>
        <w:rPr>
          <w:rFonts w:ascii="Calibri" w:hAnsi="Calibri"/>
          <w:b w:val="0"/>
          <w:i w:val="0"/>
          <w:color w:val="000000"/>
          <w:sz w:val="20"/>
        </w:rPr>
        <w:t>1. Support during Minimum Term: During the Minimum Term, I shall exercise voting rights available to me (whether directly or through Lighthief International Ltd) in support of the Consultancy Agreement and against proposals that would modify, reduce, or terminate it otherwise than in accordance with Clause 5.3, subject always to my statutory duties and rights under Cap. 113.</w:t>
      </w:r>
    </w:p>
    <w:p>
      <w:pPr>
        <w:jc w:val="both"/>
      </w:pPr>
      <w:r>
        <w:rPr>
          <w:rFonts w:ascii="Calibri" w:hAnsi="Calibri"/>
          <w:b w:val="0"/>
          <w:i w:val="0"/>
          <w:color w:val="000000"/>
          <w:sz w:val="20"/>
        </w:rPr>
        <w:t>2. Non-Interference: I shall not, directly or indirectly, take any action or instruct any person to take any action that would: (a) impair payment of Origination Fees or Team Operations Fees properly accrued; (b) cause Lighthief Cyprus Ltd to breach payment obligations under the Consultancy Agreement; or (c) facilitate circumvention of Cyprus Protected Projects as described in Clause 12.</w:t>
      </w:r>
    </w:p>
    <w:p>
      <w:pPr>
        <w:jc w:val="both"/>
      </w:pPr>
      <w:r>
        <w:rPr>
          <w:rFonts w:ascii="Calibri" w:hAnsi="Calibri"/>
          <w:b w:val="0"/>
          <w:i w:val="0"/>
          <w:color w:val="000000"/>
          <w:sz w:val="20"/>
        </w:rPr>
        <w:t>3. Condition on Share Transfer: If I (or Lighthief International Ltd) transfer, sell, or dispose of any shares in Lighthief Cyprus Ltd, I shall ensure that the transferee: (a) receives a copy of the Consultancy Agreement; (b) executes the deed of acknowledgement required by Clause 6.3 of the Consultancy Agreement; and (c) provides a personal undertaking in substantially similar terms to this undertaking.</w:t>
      </w:r>
    </w:p>
    <w:p>
      <w:pPr>
        <w:jc w:val="both"/>
      </w:pPr>
      <w:r>
        <w:rPr>
          <w:rFonts w:ascii="Calibri" w:hAnsi="Calibri"/>
          <w:b w:val="0"/>
          <w:i w:val="0"/>
          <w:color w:val="000000"/>
          <w:sz w:val="20"/>
        </w:rPr>
        <w:t>4. Deemed Group Receipt: I shall procure that fees calculated on Deemed Group Receipts under Clause 12.3 are paid by the Company and shall use reasonable endeavours to ensure Group entities execute a deed of adherence (see Schedule 4 / separate form) before contracting Cyprus Protected Projects.</w:t>
      </w:r>
    </w:p>
    <w:p>
      <w:pPr>
        <w:jc w:val="both"/>
      </w:pPr>
      <w:r>
        <w:rPr>
          <w:rFonts w:ascii="Calibri" w:hAnsi="Calibri"/>
          <w:b w:val="0"/>
          <w:i w:val="0"/>
          <w:color w:val="000000"/>
          <w:sz w:val="20"/>
        </w:rPr>
        <w:t>5. Personal Liability: I acknowledge that this undertaking creates a personal obligation binding upon me individually, enforceable by Moi Ostrov Ltd directly against me, in addition to any rights Moi Ostrov Ltd may have against Lighthief Cyprus Ltd or Lighthief International Ltd under the Consultancy Agreement.</w:t>
      </w:r>
    </w:p>
    <w:p>
      <w:pPr>
        <w:jc w:val="both"/>
      </w:pPr>
      <w:r>
        <w:rPr>
          <w:rFonts w:ascii="Calibri" w:hAnsi="Calibri"/>
          <w:b w:val="0"/>
          <w:i w:val="0"/>
          <w:color w:val="000000"/>
          <w:sz w:val="20"/>
        </w:rPr>
        <w:t>6. Governing Law: This undertaking shall be governed by the laws of the Republic of Cyprus and subject to the dispute resolution provisions of the Consultancy Agreement.</w:t>
      </w:r>
    </w:p>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Lighthief International Ltd</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Witness:</w:t>
        <w:br/>
      </w:r>
    </w:p>
    <w:p>
      <w:pPr>
        <w:jc w:val="both"/>
      </w:pPr>
      <w:r>
        <w:rPr>
          <w:rFonts w:ascii="Calibri" w:hAnsi="Calibri"/>
          <w:b w:val="0"/>
          <w:i w:val="0"/>
          <w:color w:val="000000"/>
          <w:sz w:val="20"/>
        </w:rPr>
        <w:t>Name: ______________________</w:t>
      </w:r>
    </w:p>
    <w:p>
      <w:pPr>
        <w:jc w:val="both"/>
      </w:pPr>
      <w:r>
        <w:rPr>
          <w:rFonts w:ascii="Calibri" w:hAnsi="Calibri"/>
          <w:b w:val="0"/>
          <w:i w:val="0"/>
          <w:color w:val="000000"/>
          <w:sz w:val="20"/>
        </w:rPr>
        <w:t>Address: ______________________</w:t>
      </w:r>
    </w:p>
    <w:p>
      <w:pPr>
        <w:jc w:val="both"/>
      </w:pPr>
      <w:r>
        <w:rPr>
          <w:rFonts w:ascii="Calibri" w:hAnsi="Calibri"/>
          <w:b w:val="0"/>
          <w:i w:val="0"/>
          <w:color w:val="000000"/>
          <w:sz w:val="20"/>
        </w:rPr>
        <w:t>Date: ______________________</w:t>
      </w:r>
    </w:p>
    <w:p>
      <w:pPr>
        <w:sectPr>
          <w:footerReference w:type="default" r:id="rId16"/>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CONTRACT OF EMPLOYMENT — MANAGING DIRECTOR</w:t>
      </w:r>
    </w:p>
    <w:p/>
    <w:p>
      <w:pPr>
        <w:jc w:val="both"/>
      </w:pPr>
      <w:r>
        <w:rPr>
          <w:rFonts w:ascii="Calibri" w:hAnsi="Calibri"/>
          <w:b w:val="0"/>
          <w:i w:val="0"/>
          <w:color w:val="000000"/>
          <w:sz w:val="20"/>
        </w:rPr>
        <w:t>Status: TEMPLATE — Cyprus legal and payroll review required before signature</w:t>
      </w:r>
    </w:p>
    <w:p>
      <w:pPr>
        <w:jc w:val="both"/>
      </w:pPr>
      <w:r>
        <w:rPr>
          <w:rFonts w:ascii="Calibri" w:hAnsi="Calibri"/>
          <w:b w:val="0"/>
          <w:i w:val="0"/>
          <w:color w:val="000000"/>
          <w:sz w:val="20"/>
        </w:rPr>
        <w:t>Ref: LCY-EMP-AP-2026-001</w:t>
      </w:r>
    </w:p>
    <w:p>
      <w:pPr>
        <w:jc w:val="both"/>
      </w:pPr>
      <w:r>
        <w:rPr>
          <w:rFonts w:ascii="Calibri" w:hAnsi="Calibri"/>
          <w:b w:val="0"/>
          <w:i w:val="0"/>
          <w:color w:val="000000"/>
          <w:sz w:val="20"/>
        </w:rPr>
        <w:t>Parties: Lighthief Cyprus Ltd (“Employer” / “Company”) · Alexander Papacosta (“Employee”)</w:t>
      </w:r>
    </w:p>
    <w:p>
      <w:pPr>
        <w:jc w:val="both"/>
      </w:pPr>
      <w:r>
        <w:rPr>
          <w:rFonts w:ascii="Calibri" w:hAnsi="Calibri"/>
          <w:b w:val="0"/>
          <w:i w:val="0"/>
          <w:color w:val="000000"/>
          <w:sz w:val="20"/>
        </w:rPr>
        <w:t>Governing law: Republic of Cyprus · Termination Employment of Staff Law 24/1967 (as amended) and applicable regulations.</w:t>
      </w:r>
    </w:p>
    <w:p>
      <w:pPr>
        <w:spacing w:before="24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Employee has served as Managing Director of the Company since [___] and has performed full-time executive duties including pipeline origination, client management, EPC delivery oversight, and team leadership;</w:t>
      </w:r>
    </w:p>
    <w:p>
      <w:pPr>
        <w:jc w:val="both"/>
      </w:pPr>
      <w:r>
        <w:rPr>
          <w:rFonts w:ascii="Calibri" w:hAnsi="Calibri"/>
          <w:b w:val="0"/>
          <w:i w:val="0"/>
          <w:color w:val="000000"/>
          <w:sz w:val="20"/>
        </w:rPr>
        <w:t>(b) The Parties acknowledge that, from 1 July 2025 until the date of this Agreement, the Company paid the Employee €2,000 net per month as managing director remuneration, pending formalisation of written employment terms;</w:t>
      </w:r>
    </w:p>
    <w:p>
      <w:pPr>
        <w:jc w:val="both"/>
      </w:pPr>
      <w:r>
        <w:rPr>
          <w:rFonts w:ascii="Calibri" w:hAnsi="Calibri"/>
          <w:b w:val="0"/>
          <w:i w:val="0"/>
          <w:color w:val="000000"/>
          <w:sz w:val="20"/>
        </w:rPr>
        <w:t>(c) The Shareholder (Lighthief International Ltd) has approved this Agreement and ratified prior payments by written resolution dated [___] (Annex B);</w:t>
      </w:r>
    </w:p>
    <w:p>
      <w:pPr>
        <w:jc w:val="both"/>
      </w:pPr>
      <w:r>
        <w:rPr>
          <w:rFonts w:ascii="Calibri" w:hAnsi="Calibri"/>
          <w:b w:val="0"/>
          <w:i w:val="0"/>
          <w:color w:val="000000"/>
          <w:sz w:val="20"/>
        </w:rPr>
        <w:t>(d) The Parties wish to formalise employment terms separately from the Business Introducer / Consultancy Agreement between the Company and Moi Ostrov Ltd (ref LCY-MOI-TOCA-2026-001) and separately from any equity participation side letter between the Employee and the Founder;</w:t>
      </w:r>
    </w:p>
    <w:p>
      <w:pPr>
        <w:jc w:val="both"/>
      </w:pPr>
      <w:r>
        <w:rPr>
          <w:rFonts w:ascii="Calibri" w:hAnsi="Calibri"/>
          <w:b w:val="0"/>
          <w:i w:val="0"/>
          <w:color w:val="000000"/>
          <w:sz w:val="20"/>
        </w:rPr>
        <w:t>(e) Salary under this Agreement is exclusive of any introducer fee, commission, or equity participation payable to Moi Ostrov Ltd or the Employee under other instruments.</w:t>
      </w:r>
    </w:p>
    <w:p>
      <w:pPr>
        <w:spacing w:before="240"/>
      </w:pPr>
      <w:r>
        <w:rPr>
          <w:rFonts w:ascii="Calibri" w:hAnsi="Calibri"/>
          <w:b/>
          <w:i w:val="0"/>
          <w:color w:val="C9A432"/>
          <w:sz w:val="24"/>
        </w:rPr>
        <w:t>1. Appointment</w:t>
      </w:r>
    </w:p>
    <w:p>
      <w:pPr>
        <w:jc w:val="both"/>
      </w:pPr>
      <w:r>
        <w:rPr>
          <w:rFonts w:ascii="Calibri" w:hAnsi="Calibri"/>
          <w:b w:val="0"/>
          <w:i w:val="0"/>
          <w:color w:val="000000"/>
          <w:sz w:val="20"/>
        </w:rPr>
        <w:t>1.1 The Company employs the Employee as Managing Director with effect from 1 July 2025 (the “Commencement Date”).</w:t>
      </w:r>
    </w:p>
    <w:p>
      <w:pPr>
        <w:jc w:val="both"/>
      </w:pPr>
      <w:r>
        <w:rPr>
          <w:rFonts w:ascii="Calibri" w:hAnsi="Calibri"/>
          <w:b w:val="0"/>
          <w:i w:val="0"/>
          <w:color w:val="000000"/>
          <w:sz w:val="20"/>
        </w:rPr>
        <w:t>1.2 The Employee reports to the Board. Day-to-day duties include executive leadership of the Company’s Cyprus BESS EPC business, client relationships, project delivery oversight, team management, and such other duties as the Board may reasonably assign consistent with the role of Managing Director.</w:t>
      </w:r>
    </w:p>
    <w:p>
      <w:pPr>
        <w:spacing w:before="240"/>
      </w:pPr>
      <w:r>
        <w:rPr>
          <w:rFonts w:ascii="Calibri" w:hAnsi="Calibri"/>
          <w:b/>
          <w:i w:val="0"/>
          <w:color w:val="C9A432"/>
          <w:sz w:val="24"/>
        </w:rPr>
        <w:t>2. Remuneration</w:t>
      </w:r>
    </w:p>
    <w:p>
      <w:pPr>
        <w:jc w:val="both"/>
      </w:pPr>
      <w:r>
        <w:rPr>
          <w:rFonts w:ascii="Calibri" w:hAnsi="Calibri"/>
          <w:b/>
          <w:i w:val="0"/>
          <w:color w:val="000000"/>
          <w:sz w:val="20"/>
        </w:rPr>
        <w:t>2.1 Pre-EPC period (1 July 2025 — day before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Net monthly salary</w:t>
            </w:r>
          </w:p>
        </w:tc>
        <w:tc>
          <w:tcPr>
            <w:tcW w:type="dxa" w:w="4703"/>
          </w:tcPr>
          <w:p>
            <w:r/>
            <w:r>
              <w:rPr>
                <w:rFonts w:ascii="Calibri" w:hAnsi="Calibri"/>
                <w:b w:val="0"/>
                <w:i w:val="0"/>
                <w:color w:val="000000"/>
                <w:sz w:val="18"/>
              </w:rPr>
              <w:t>€2,000 per calendar month</w:t>
            </w:r>
          </w:p>
        </w:tc>
      </w:tr>
      <w:tr>
        <w:tc>
          <w:tcPr>
            <w:tcW w:type="dxa" w:w="4703"/>
          </w:tcPr>
          <w:p>
            <w:r/>
            <w:r>
              <w:rPr>
                <w:rFonts w:ascii="Calibri" w:hAnsi="Calibri"/>
                <w:b w:val="0"/>
                <w:i w:val="0"/>
                <w:color w:val="000000"/>
                <w:sz w:val="18"/>
              </w:rPr>
              <w:t>Payment date</w:t>
            </w:r>
          </w:p>
        </w:tc>
        <w:tc>
          <w:tcPr>
            <w:tcW w:type="dxa" w:w="4703"/>
          </w:tcPr>
          <w:p>
            <w:r/>
            <w:r>
              <w:rPr>
                <w:rFonts w:ascii="Calibri" w:hAnsi="Calibri"/>
                <w:b w:val="0"/>
                <w:i w:val="0"/>
                <w:color w:val="000000"/>
                <w:sz w:val="18"/>
              </w:rPr>
              <w:t>By the 28th of each month (or last banking day)</w:t>
            </w:r>
          </w:p>
        </w:tc>
      </w:tr>
      <w:tr>
        <w:tc>
          <w:tcPr>
            <w:tcW w:type="dxa" w:w="4703"/>
          </w:tcPr>
          <w:p>
            <w:r/>
            <w:r>
              <w:rPr>
                <w:rFonts w:ascii="Calibri" w:hAnsi="Calibri"/>
                <w:b w:val="0"/>
                <w:i w:val="0"/>
                <w:color w:val="000000"/>
                <w:sz w:val="18"/>
              </w:rPr>
              <w:t>Ratification</w:t>
            </w:r>
          </w:p>
        </w:tc>
        <w:tc>
          <w:tcPr>
            <w:tcW w:type="dxa" w:w="4703"/>
          </w:tcPr>
          <w:p>
            <w:r/>
            <w:r>
              <w:rPr>
                <w:rFonts w:ascii="Calibri" w:hAnsi="Calibri"/>
                <w:b w:val="0"/>
                <w:i w:val="0"/>
                <w:color w:val="000000"/>
                <w:sz w:val="18"/>
              </w:rPr>
              <w:t>Shareholder resolution ratifies payments made at this rate from 1 July 2025</w:t>
            </w:r>
          </w:p>
        </w:tc>
      </w:tr>
    </w:tbl>
    <w:p/>
    <w:p>
      <w:pPr>
        <w:jc w:val="both"/>
      </w:pPr>
      <w:r>
        <w:rPr>
          <w:rFonts w:ascii="Calibri" w:hAnsi="Calibri"/>
          <w:b w:val="0"/>
          <w:i w:val="0"/>
          <w:color w:val="000000"/>
          <w:sz w:val="20"/>
        </w:rPr>
        <w:t>The Employer shall operate PAYE and social insurance on the gross equivalent of €2,000 net as determined by the Company’s payroll adviser for each pay period. Payslips shall show gross, deductions, and net.</w:t>
      </w:r>
    </w:p>
    <w:p>
      <w:pPr>
        <w:jc w:val="both"/>
      </w:pPr>
      <w:r>
        <w:rPr>
          <w:rFonts w:ascii="Calibri" w:hAnsi="Calibri"/>
          <w:b w:val="0"/>
          <w:i w:val="0"/>
          <w:color w:val="000000"/>
          <w:sz w:val="20"/>
        </w:rPr>
        <w:t>2.1A Payroll reconciliation (before execution): Ratification of historic payments is not sufficient for tax compliance. Before this Agreement is executed, the Company’s payroll adviser shall provide a written reconciliation of all managing director remuneration from 1 July 2025 to the execution date (gross amounts, PAYE, social insurance, and any arrears). Any underpayment shall be remedied through corrected payroll filings and payments before Galascope EPC signing where practicable.</w:t>
      </w:r>
    </w:p>
    <w:p>
      <w:pPr>
        <w:jc w:val="both"/>
      </w:pPr>
      <w:r>
        <w:rPr>
          <w:rFonts w:ascii="Calibri" w:hAnsi="Calibri"/>
          <w:b/>
          <w:i w:val="0"/>
          <w:color w:val="000000"/>
          <w:sz w:val="20"/>
        </w:rPr>
        <w:t>2.2 From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Gross monthly salary</w:t>
            </w:r>
          </w:p>
        </w:tc>
        <w:tc>
          <w:tcPr>
            <w:tcW w:type="dxa" w:w="4703"/>
          </w:tcPr>
          <w:p>
            <w:r/>
            <w:r>
              <w:rPr>
                <w:rFonts w:ascii="Calibri" w:hAnsi="Calibri"/>
                <w:b w:val="0"/>
                <w:i w:val="0"/>
                <w:color w:val="000000"/>
                <w:sz w:val="18"/>
              </w:rPr>
              <w:t>€5,000 per calendar month</w:t>
            </w:r>
          </w:p>
        </w:tc>
      </w:tr>
      <w:tr>
        <w:tc>
          <w:tcPr>
            <w:tcW w:type="dxa" w:w="4703"/>
          </w:tcPr>
          <w:p>
            <w:r/>
            <w:r>
              <w:rPr>
                <w:rFonts w:ascii="Calibri" w:hAnsi="Calibri"/>
                <w:b w:val="0"/>
                <w:i w:val="0"/>
                <w:color w:val="000000"/>
                <w:sz w:val="18"/>
              </w:rPr>
              <w:t>Trigger</w:t>
            </w:r>
          </w:p>
        </w:tc>
        <w:tc>
          <w:tcPr>
            <w:tcW w:type="dxa" w:w="4703"/>
          </w:tcPr>
          <w:p>
            <w:r/>
            <w:r>
              <w:rPr>
                <w:rFonts w:ascii="Calibri" w:hAnsi="Calibri"/>
                <w:b w:val="0"/>
                <w:i w:val="0"/>
                <w:color w:val="000000"/>
                <w:sz w:val="18"/>
              </w:rPr>
              <w:t>Galascope EPC Effective Date — Galascope Ltd EPC (ref LCY-EPC-GAL-B1-2026 or successor) signed and stamped by both Lighthief Cyprus Ltd and Galascope Ltd</w:t>
            </w:r>
          </w:p>
        </w:tc>
      </w:tr>
      <w:tr>
        <w:tc>
          <w:tcPr>
            <w:tcW w:type="dxa" w:w="4703"/>
          </w:tcPr>
          <w:p>
            <w:r/>
            <w:r>
              <w:rPr>
                <w:rFonts w:ascii="Calibri" w:hAnsi="Calibri"/>
                <w:b w:val="0"/>
                <w:i w:val="0"/>
                <w:color w:val="000000"/>
                <w:sz w:val="18"/>
              </w:rPr>
              <w:t>First €5,000 month</w:t>
            </w:r>
          </w:p>
        </w:tc>
        <w:tc>
          <w:tcPr>
            <w:tcW w:type="dxa" w:w="4703"/>
          </w:tcPr>
          <w:p>
            <w:r/>
            <w:r>
              <w:rPr>
                <w:rFonts w:ascii="Calibri" w:hAnsi="Calibri"/>
                <w:b w:val="0"/>
                <w:i w:val="0"/>
                <w:color w:val="000000"/>
                <w:sz w:val="18"/>
              </w:rPr>
              <w:t>Pro-rata or full month from Effective Date — [as counsel advises]</w:t>
            </w:r>
          </w:p>
        </w:tc>
      </w:tr>
    </w:tbl>
    <w:p/>
    <w:p>
      <w:pPr>
        <w:jc w:val="both"/>
      </w:pPr>
      <w:r>
        <w:rPr>
          <w:rFonts w:ascii="Calibri" w:hAnsi="Calibri"/>
          <w:b w:val="0"/>
          <w:i w:val="0"/>
          <w:color w:val="000000"/>
          <w:sz w:val="20"/>
        </w:rPr>
        <w:t>2.3 No duplication. Salary is not commission, introducer fee, or success fee. No amount payable under the Moi Ostrov agreement or equity side letter shall reduce salary unless expressly agreed in writing.</w:t>
      </w:r>
    </w:p>
    <w:p>
      <w:pPr>
        <w:jc w:val="both"/>
      </w:pPr>
      <w:r>
        <w:rPr>
          <w:rFonts w:ascii="Calibri" w:hAnsi="Calibri"/>
          <w:b/>
          <w:i w:val="0"/>
          <w:color w:val="000000"/>
          <w:sz w:val="20"/>
        </w:rPr>
        <w:t>2.4 Benefits. [Statutory minimums only / specify medical, car, phone — as agreed]</w:t>
      </w:r>
    </w:p>
    <w:p>
      <w:pPr>
        <w:jc w:val="both"/>
      </w:pPr>
      <w:r>
        <w:rPr>
          <w:rFonts w:ascii="Calibri" w:hAnsi="Calibri"/>
          <w:b w:val="0"/>
          <w:i w:val="0"/>
          <w:color w:val="000000"/>
          <w:sz w:val="20"/>
        </w:rPr>
        <w:t>2.5 Expenses. Reasonable business expenses reimbursed on submission of receipts per Company policy.</w:t>
      </w:r>
    </w:p>
    <w:p>
      <w:pPr>
        <w:spacing w:before="240"/>
      </w:pPr>
      <w:r>
        <w:rPr>
          <w:rFonts w:ascii="Calibri" w:hAnsi="Calibri"/>
          <w:b/>
          <w:i w:val="0"/>
          <w:color w:val="C9A432"/>
          <w:sz w:val="24"/>
        </w:rPr>
        <w:t>3. Hours and place of work</w:t>
      </w:r>
    </w:p>
    <w:p>
      <w:pPr>
        <w:jc w:val="both"/>
      </w:pPr>
      <w:r>
        <w:rPr>
          <w:rFonts w:ascii="Calibri" w:hAnsi="Calibri"/>
          <w:b w:val="0"/>
          <w:i w:val="0"/>
          <w:color w:val="000000"/>
          <w:sz w:val="20"/>
        </w:rPr>
        <w:t>3.1 Full-time executive role. Hours as required for the proper performance of duties.</w:t>
      </w:r>
    </w:p>
    <w:p>
      <w:pPr>
        <w:jc w:val="both"/>
      </w:pPr>
      <w:r>
        <w:rPr>
          <w:rFonts w:ascii="Calibri" w:hAnsi="Calibri"/>
          <w:b w:val="0"/>
          <w:i w:val="0"/>
          <w:color w:val="000000"/>
          <w:sz w:val="20"/>
        </w:rPr>
        <w:t>3.2 Principal place of work: Company office, Limassol, Cyprus, and client/project sites as required.</w:t>
      </w:r>
    </w:p>
    <w:p>
      <w:pPr>
        <w:spacing w:before="240"/>
      </w:pPr>
      <w:r>
        <w:rPr>
          <w:rFonts w:ascii="Calibri" w:hAnsi="Calibri"/>
          <w:b/>
          <w:i w:val="0"/>
          <w:color w:val="C9A432"/>
          <w:sz w:val="24"/>
        </w:rPr>
        <w:t>4. Holiday, sick leave, and statutory entitlements</w:t>
      </w:r>
    </w:p>
    <w:p>
      <w:pPr>
        <w:jc w:val="both"/>
      </w:pPr>
      <w:r>
        <w:rPr>
          <w:rFonts w:ascii="Calibri" w:hAnsi="Calibri"/>
          <w:b w:val="0"/>
          <w:i w:val="0"/>
          <w:color w:val="000000"/>
          <w:sz w:val="20"/>
        </w:rPr>
        <w:t>As per Cyprus law and Company policy — [counsel to insert minimum statutory entitlements].</w:t>
      </w:r>
    </w:p>
    <w:p>
      <w:pPr>
        <w:spacing w:before="240"/>
      </w:pPr>
      <w:r>
        <w:rPr>
          <w:rFonts w:ascii="Calibri" w:hAnsi="Calibri"/>
          <w:b/>
          <w:i w:val="0"/>
          <w:color w:val="C9A432"/>
          <w:sz w:val="24"/>
        </w:rPr>
        <w:t>5. Confidentiality and intellectual property</w:t>
      </w:r>
    </w:p>
    <w:p>
      <w:pPr>
        <w:jc w:val="both"/>
      </w:pPr>
      <w:r>
        <w:rPr>
          <w:rFonts w:ascii="Calibri" w:hAnsi="Calibri"/>
          <w:b w:val="0"/>
          <w:i w:val="0"/>
          <w:color w:val="000000"/>
          <w:sz w:val="20"/>
        </w:rPr>
        <w:t>5.1 Employee shall keep confidential all Company, client, and commercial information.</w:t>
      </w:r>
    </w:p>
    <w:p>
      <w:pPr>
        <w:jc w:val="both"/>
      </w:pPr>
      <w:r>
        <w:rPr>
          <w:rFonts w:ascii="Calibri" w:hAnsi="Calibri"/>
          <w:b w:val="0"/>
          <w:i w:val="0"/>
          <w:color w:val="000000"/>
          <w:sz w:val="20"/>
        </w:rPr>
        <w:t>5.2 All work product, client relationships developed in role, pipeline data, proposals, and deliverables belong to the Company.</w:t>
      </w:r>
    </w:p>
    <w:p>
      <w:pPr>
        <w:spacing w:before="240"/>
      </w:pPr>
      <w:r>
        <w:rPr>
          <w:rFonts w:ascii="Calibri" w:hAnsi="Calibri"/>
          <w:b/>
          <w:i w:val="0"/>
          <w:color w:val="C9A432"/>
          <w:sz w:val="24"/>
        </w:rPr>
        <w:t>6. Termination</w:t>
      </w:r>
    </w:p>
    <w:p>
      <w:pPr>
        <w:jc w:val="both"/>
      </w:pPr>
      <w:r>
        <w:rPr>
          <w:rFonts w:ascii="Calibri" w:hAnsi="Calibri"/>
          <w:b w:val="0"/>
          <w:i w:val="0"/>
          <w:color w:val="000000"/>
          <w:sz w:val="20"/>
        </w:rPr>
        <w:t>6.1 After any probation period [___], either Party may terminate on [three (3) months’] written notice unless summary dismissal applies under law.</w:t>
      </w:r>
    </w:p>
    <w:p>
      <w:pPr>
        <w:jc w:val="both"/>
      </w:pPr>
      <w:r>
        <w:rPr>
          <w:rFonts w:ascii="Calibri" w:hAnsi="Calibri"/>
          <w:b w:val="0"/>
          <w:i w:val="0"/>
          <w:color w:val="000000"/>
          <w:sz w:val="20"/>
        </w:rPr>
        <w:t>6.2 Good Reason (for cross-reference with equity side letter): material reduction in salary without consent; material breach by Company of this Agreement; material diminution of duties inconsistent with MD role — [counsel to expand].</w:t>
      </w:r>
    </w:p>
    <w:p>
      <w:pPr>
        <w:jc w:val="both"/>
      </w:pPr>
      <w:r>
        <w:rPr>
          <w:rFonts w:ascii="Calibri" w:hAnsi="Calibri"/>
          <w:b w:val="0"/>
          <w:i w:val="0"/>
          <w:color w:val="000000"/>
          <w:sz w:val="20"/>
        </w:rPr>
        <w:t>6.3 On termination, accrued salary and statutory entitlements are payable. Introducer fees on signed contracts survive per Moi Ostrov agreement.</w:t>
      </w:r>
    </w:p>
    <w:p>
      <w:pPr>
        <w:spacing w:before="240"/>
      </w:pPr>
      <w:r>
        <w:rPr>
          <w:rFonts w:ascii="Calibri" w:hAnsi="Calibri"/>
          <w:b/>
          <w:i w:val="0"/>
          <w:color w:val="C9A432"/>
          <w:sz w:val="24"/>
        </w:rPr>
        <w:t>7. Conflict of interest and related-party approval</w:t>
      </w:r>
    </w:p>
    <w:p>
      <w:pPr>
        <w:jc w:val="both"/>
      </w:pPr>
      <w:r>
        <w:rPr>
          <w:rFonts w:ascii="Calibri" w:hAnsi="Calibri"/>
          <w:b w:val="0"/>
          <w:i w:val="0"/>
          <w:color w:val="000000"/>
          <w:sz w:val="20"/>
        </w:rPr>
        <w:t>7.1 The Employee discloses his directorship of Moi Ostrov Ltd and any other interests per Section 191, Cap. 113.</w:t>
      </w:r>
    </w:p>
    <w:p>
      <w:pPr>
        <w:jc w:val="both"/>
      </w:pPr>
      <w:r>
        <w:rPr>
          <w:rFonts w:ascii="Calibri" w:hAnsi="Calibri"/>
          <w:b w:val="0"/>
          <w:i w:val="0"/>
          <w:color w:val="000000"/>
          <w:sz w:val="20"/>
        </w:rPr>
        <w:t>7.2 This Agreement was approved by the Shareholder as a related-party transaction. The Employee shall not participate in board deliberations on his own remuneration except to provide information.</w:t>
      </w:r>
    </w:p>
    <w:p>
      <w:pPr>
        <w:spacing w:before="240"/>
      </w:pPr>
      <w:r>
        <w:rPr>
          <w:rFonts w:ascii="Calibri" w:hAnsi="Calibri"/>
          <w:b/>
          <w:i w:val="0"/>
          <w:color w:val="C9A432"/>
          <w:sz w:val="24"/>
        </w:rPr>
        <w:t>8. General</w:t>
      </w:r>
    </w:p>
    <w:p>
      <w:pPr>
        <w:jc w:val="both"/>
      </w:pPr>
      <w:r>
        <w:rPr>
          <w:rFonts w:ascii="Calibri" w:hAnsi="Calibri"/>
          <w:b w:val="0"/>
          <w:i w:val="0"/>
          <w:color w:val="000000"/>
          <w:sz w:val="20"/>
        </w:rPr>
        <w:t>8.1 Entire agreement for employment terms. Other instruments (Moi Ostrov, side letter, Option A loan) are separate.</w:t>
      </w:r>
    </w:p>
    <w:p>
      <w:pPr>
        <w:jc w:val="both"/>
      </w:pPr>
      <w:r>
        <w:rPr>
          <w:rFonts w:ascii="Calibri" w:hAnsi="Calibri"/>
          <w:b w:val="0"/>
          <w:i w:val="0"/>
          <w:color w:val="000000"/>
          <w:sz w:val="20"/>
        </w:rPr>
        <w:t>8.2 Amendments in writing signed by both Parties and, if counsel requires, Shareholder consent.</w:t>
      </w:r>
    </w:p>
    <w:p>
      <w:pPr>
        <w:jc w:val="both"/>
      </w:pPr>
      <w:r>
        <w:rPr>
          <w:rFonts w:ascii="Calibri" w:hAnsi="Calibri"/>
          <w:b w:val="0"/>
          <w:i w:val="0"/>
          <w:color w:val="000000"/>
          <w:sz w:val="20"/>
        </w:rPr>
        <w:t>8.3 Notices: office@lighthief.com (Company); al@moiostrov.com (Employee).</w:t>
      </w:r>
    </w:p>
    <w:p>
      <w:pPr>
        <w:jc w:val="both"/>
      </w:pPr>
      <w:r>
        <w:rPr>
          <w:rFonts w:ascii="Calibri" w:hAnsi="Calibri"/>
          <w:b w:val="0"/>
          <w:i w:val="0"/>
          <w:color w:val="000000"/>
          <w:sz w:val="20"/>
        </w:rPr>
        <w:t>8.4 Director and secretary protections. The Employee serves as a director and company secretary of the Company in addition to this employment. The Company’s obligations under the Director &amp; Officer Protections deed (LCY-DIR-IND-2026-001), including D&amp;O insurance and Cap. 113 indemnity, apply to the Employee in those capacities. Termination of employment does not automatically terminate office; protections survive cessation of each role as stated in that deed.</w:t>
      </w:r>
    </w:p>
    <w:p>
      <w:pPr>
        <w:jc w:val="both"/>
      </w:pPr>
      <w:r>
        <w:rPr>
          <w:rFonts w:ascii="Calibri" w:hAnsi="Calibri"/>
          <w:b w:val="0"/>
          <w:i w:val="0"/>
          <w:color w:val="000000"/>
          <w:sz w:val="20"/>
        </w:rPr>
        <w:t>8.5 Employee duties under this Agreement are distinct from fiduciary duties as director. The Employee shall comply with Section 191, Cap. 113, and recuse from board decisions on his own remuneration except to provide information.</w:t>
      </w:r>
    </w:p>
    <w:p>
      <w:pPr>
        <w:spacing w:before="240"/>
      </w:pPr>
      <w:r>
        <w:rPr>
          <w:rFonts w:ascii="Calibri" w:hAnsi="Calibri"/>
          <w:b/>
          <w:i w:val="0"/>
          <w:color w:val="C9A432"/>
          <w:sz w:val="24"/>
        </w:rPr>
        <w:t>9.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Employer — Lighthief Cyprus Ltd (HE 477423)</w:t>
            </w:r>
          </w:p>
        </w:tc>
        <w:tc>
          <w:tcPr>
            <w:tcW w:type="dxa" w:w="3135"/>
          </w:tcPr>
          <w:p>
            <w:r/>
            <w:r>
              <w:rPr>
                <w:rFonts w:ascii="Calibri" w:hAnsi="Calibri"/>
                <w:b w:val="0"/>
                <w:i w:val="0"/>
                <w:color w:val="000000"/>
                <w:sz w:val="18"/>
              </w:rPr>
              <w:t>Alexander Papacosta, Director *(authorised by Shareholder resolution)*</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Employee</w:t>
            </w:r>
          </w:p>
        </w:tc>
        <w:tc>
          <w:tcPr>
            <w:tcW w:type="dxa" w:w="3135"/>
          </w:tcPr>
          <w:p>
            <w:r/>
            <w:r>
              <w:rPr>
                <w:rFonts w:ascii="Calibri" w:hAnsi="Calibri"/>
                <w:b w:val="0"/>
                <w:i w:val="0"/>
                <w:color w:val="000000"/>
                <w:sz w:val="18"/>
              </w:rPr>
              <w:t>Alexander Papacosta (Cyprus ID: 1241318)</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Annex A: Job description summary (optional)</w:t>
      </w:r>
    </w:p>
    <w:p>
      <w:pPr>
        <w:jc w:val="both"/>
      </w:pPr>
      <w:r>
        <w:rPr>
          <w:rFonts w:ascii="Calibri" w:hAnsi="Calibri"/>
          <w:b w:val="0"/>
          <w:i w:val="0"/>
          <w:color w:val="000000"/>
          <w:sz w:val="20"/>
        </w:rPr>
        <w:t>Annex B: Shareholder written resolution approving and ratifying this Agreement (LCY-SHR-EMP-2026-001)</w:t>
      </w:r>
    </w:p>
    <w:p>
      <w:pPr>
        <w:jc w:val="both"/>
      </w:pPr>
      <w:r>
        <w:rPr>
          <w:rFonts w:ascii="Calibri" w:hAnsi="Calibri"/>
          <w:b w:val="0"/>
          <w:i w:val="0"/>
          <w:color w:val="000000"/>
          <w:sz w:val="20"/>
        </w:rPr>
        <w:t>End of draft — not legal advice. Payroll adviser must confirm gross equivalents for €2,000 net periods.</w:t>
      </w:r>
    </w:p>
    <w:p/>
    <w:p>
      <w:r>
        <w:rPr>
          <w:rFonts w:ascii="Calibri" w:hAnsi="Calibri"/>
          <w:b/>
          <w:i w:val="0"/>
          <w:color w:val="C9A432"/>
          <w:sz w:val="24"/>
        </w:rPr>
        <w:t>SIGNATURES</w:t>
      </w:r>
    </w:p>
    <w:p/>
    <w:p>
      <w:r>
        <w:rPr>
          <w:rFonts w:ascii="Calibri" w:hAnsi="Calibri"/>
          <w:b/>
          <w:i w:val="0"/>
          <w:color w:val="000000"/>
          <w:sz w:val="20"/>
        </w:rPr>
        <w:t>Employer — Lighthief Cyprus Ltd (authorised by shareholder resolution)</w:t>
      </w:r>
    </w:p>
    <w:p>
      <w:r>
        <w:rPr>
          <w:rFonts w:ascii="Calibri" w:hAnsi="Calibri"/>
          <w:b w:val="0"/>
          <w:i w:val="0"/>
          <w:color w:val="000000"/>
          <w:sz w:val="20"/>
        </w:rPr>
        <w:t>Signature: ______________________   Date: ______________________</w:t>
      </w:r>
    </w:p>
    <w:p/>
    <w:p>
      <w:r>
        <w:rPr>
          <w:rFonts w:ascii="Calibri" w:hAnsi="Calibri"/>
          <w:b/>
          <w:i w:val="0"/>
          <w:color w:val="000000"/>
          <w:sz w:val="20"/>
        </w:rPr>
        <w:t>Employee — Alexander Papacosta (Cyprus ID: 1241318)</w:t>
      </w:r>
    </w:p>
    <w:p>
      <w:r>
        <w:rPr>
          <w:rFonts w:ascii="Calibri" w:hAnsi="Calibri"/>
          <w:b w:val="0"/>
          <w:i w:val="0"/>
          <w:color w:val="000000"/>
          <w:sz w:val="20"/>
        </w:rPr>
        <w:t>Signature: ______________________   Date: ______________________</w:t>
      </w:r>
    </w:p>
    <w:p>
      <w:pPr>
        <w:sectPr>
          <w:footerReference w:type="default" r:id="rId17"/>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APPROVAL OF MD EMPLOYMENT</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LCY-SHR-EMP-2026-001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jc w:val="both"/>
      </w:pPr>
      <w:r>
        <w:rPr>
          <w:rFonts w:ascii="Calibri" w:hAnsi="Calibri"/>
          <w:b w:val="0"/>
          <w:i w:val="0"/>
          <w:color w:val="000000"/>
          <w:sz w:val="20"/>
        </w:rPr>
        <w:t>UBO: Dr. Arkadiusz Sybaris</w:t>
      </w:r>
    </w:p>
    <w:p>
      <w:pPr>
        <w:jc w:val="both"/>
      </w:pPr>
      <w:r>
        <w:rPr>
          <w:rFonts w:ascii="Calibri" w:hAnsi="Calibri"/>
          <w:b w:val="0"/>
          <w:i w:val="0"/>
          <w:color w:val="000000"/>
          <w:sz w:val="20"/>
        </w:rPr>
        <w:t>Passed in accordance with Section 135, Cyprus Companies Law, Cap. 113.</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of Lighthief Cyprus Ltd (the “Company”) hereby resolves:</w:t>
      </w:r>
    </w:p>
    <w:p>
      <w:pPr>
        <w:jc w:val="both"/>
      </w:pPr>
      <w:r>
        <w:rPr>
          <w:rFonts w:ascii="Calibri" w:hAnsi="Calibri"/>
          <w:b w:val="0"/>
          <w:i w:val="0"/>
          <w:color w:val="000000"/>
          <w:sz w:val="20"/>
        </w:rPr>
        <w:t>1. Approval of employment. The Contract of Employment between the Company and Alexander Papacosta (Cyprus ID: 1241318) as Managing Director, reference LCY-EMP-AP-2026-001 (the “Employment Agreement”), is approved and ratified in its entirety.</w:t>
      </w:r>
    </w:p>
    <w:p>
      <w:pPr>
        <w:jc w:val="both"/>
      </w:pPr>
      <w:r>
        <w:rPr>
          <w:rFonts w:ascii="Calibri" w:hAnsi="Calibri"/>
          <w:b w:val="0"/>
          <w:i w:val="0"/>
          <w:color w:val="000000"/>
          <w:sz w:val="20"/>
        </w:rPr>
        <w:t>2. Remuneration terms. The Shareholder approves: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Period</w:t>
            </w:r>
          </w:p>
        </w:tc>
        <w:tc>
          <w:tcPr>
            <w:tcW w:type="dxa" w:w="4703"/>
            <w:shd w:fill="1A365D" w:val="clear"/>
          </w:tcPr>
          <w:p>
            <w:r/>
            <w:r>
              <w:rPr>
                <w:rFonts w:ascii="Calibri" w:hAnsi="Calibri"/>
                <w:b/>
                <w:i w:val="0"/>
                <w:color w:val="FFFFFF"/>
                <w:sz w:val="18"/>
              </w:rPr>
              <w:t>Remuneration</w:t>
            </w:r>
          </w:p>
        </w:tc>
      </w:tr>
      <w:tr>
        <w:tc>
          <w:tcPr>
            <w:tcW w:type="dxa" w:w="4703"/>
          </w:tcPr>
          <w:p>
            <w:r/>
            <w:r>
              <w:rPr>
                <w:rFonts w:ascii="Calibri" w:hAnsi="Calibri"/>
                <w:b w:val="0"/>
                <w:i w:val="0"/>
                <w:color w:val="000000"/>
                <w:sz w:val="18"/>
              </w:rPr>
              <w:t>From 1 July 2025 until the day before Galascope EPC Effective Date</w:t>
            </w:r>
          </w:p>
        </w:tc>
        <w:tc>
          <w:tcPr>
            <w:tcW w:type="dxa" w:w="4703"/>
          </w:tcPr>
          <w:p>
            <w:r/>
            <w:r>
              <w:rPr>
                <w:rFonts w:ascii="Calibri" w:hAnsi="Calibri"/>
                <w:b w:val="0"/>
                <w:i w:val="0"/>
                <w:color w:val="000000"/>
                <w:sz w:val="18"/>
              </w:rPr>
              <w:t>€2,000 net per month (with PAYE/NIS on gross equivalent per payroll adviser)</w:t>
            </w:r>
          </w:p>
        </w:tc>
      </w:tr>
      <w:tr>
        <w:tc>
          <w:tcPr>
            <w:tcW w:type="dxa" w:w="4703"/>
          </w:tcPr>
          <w:p>
            <w:r/>
            <w:r>
              <w:rPr>
                <w:rFonts w:ascii="Calibri" w:hAnsi="Calibri"/>
                <w:b w:val="0"/>
                <w:i w:val="0"/>
                <w:color w:val="000000"/>
                <w:sz w:val="18"/>
              </w:rPr>
              <w:t>From Galascope EPC Effective Date</w:t>
            </w:r>
          </w:p>
        </w:tc>
        <w:tc>
          <w:tcPr>
            <w:tcW w:type="dxa" w:w="4703"/>
          </w:tcPr>
          <w:p>
            <w:r/>
            <w:r>
              <w:rPr>
                <w:rFonts w:ascii="Calibri" w:hAnsi="Calibri"/>
                <w:b w:val="0"/>
                <w:i w:val="0"/>
                <w:color w:val="000000"/>
                <w:sz w:val="18"/>
              </w:rPr>
              <w:t>€5,000 gross per month</w:t>
            </w:r>
          </w:p>
        </w:tc>
      </w:tr>
    </w:tbl>
    <w:p/>
    <w:p>
      <w:pPr>
        <w:jc w:val="both"/>
      </w:pPr>
      <w:r>
        <w:rPr>
          <w:rFonts w:ascii="Calibri" w:hAnsi="Calibri"/>
          <w:b w:val="0"/>
          <w:i w:val="0"/>
          <w:color w:val="000000"/>
          <w:sz w:val="20"/>
        </w:rPr>
        <w:t>Galascope EPC Effective Date means the date on which the Galascope Ltd BESS EPC contract (LCY-EPC-GAL-B1-2026 or successor) is signed and stamped by both the Company and Galascope Ltd.</w:t>
      </w:r>
    </w:p>
    <w:p>
      <w:pPr>
        <w:jc w:val="both"/>
      </w:pPr>
      <w:r>
        <w:rPr>
          <w:rFonts w:ascii="Calibri" w:hAnsi="Calibri"/>
          <w:b w:val="0"/>
          <w:i w:val="0"/>
          <w:color w:val="000000"/>
          <w:sz w:val="20"/>
        </w:rPr>
        <w:t>3. Ratification and payroll reconciliation. The Shareholder ratifies managing director remuneration paid at €2,000 net per month for the period 1 July 2025 to the date of this Resolution. Ratification alone does not satisfy tax or social-insurance obligations. The Director shall cause the Company’s payroll adviser to reconcile historic PAYE and NIS for that period and remediate any underpayment before execution of the Employment Agreement where practicable.</w:t>
      </w:r>
    </w:p>
    <w:p>
      <w:pPr>
        <w:jc w:val="both"/>
      </w:pPr>
      <w:r>
        <w:rPr>
          <w:rFonts w:ascii="Calibri" w:hAnsi="Calibri"/>
          <w:b w:val="0"/>
          <w:i w:val="0"/>
          <w:color w:val="000000"/>
          <w:sz w:val="20"/>
        </w:rPr>
        <w:t>4. Related-party / conflict waiver. The Shareholder acknowledges that Alexander Papacosta is a director of the Company and will be party to the Employment Agreement as Employee. The Shareholder has considered the conflict of interest and waives objection, confirming the terms are in the Company’s commercial interests given the Employee’s executive role in building and delivering the Cyprus BESS platform.</w:t>
      </w:r>
    </w:p>
    <w:p>
      <w:pPr>
        <w:jc w:val="both"/>
      </w:pPr>
      <w:r>
        <w:rPr>
          <w:rFonts w:ascii="Calibri" w:hAnsi="Calibri"/>
          <w:b w:val="0"/>
          <w:i w:val="0"/>
          <w:color w:val="000000"/>
          <w:sz w:val="20"/>
        </w:rPr>
        <w:t>5. Authority to sign. Alexander Papacosta is authorised to execute the Employment Agreement on behalf of the Company notwithstanding his interest as Employee, provided he executes separately in that capacity.</w:t>
      </w:r>
    </w:p>
    <w:p>
      <w:pPr>
        <w:jc w:val="both"/>
      </w:pPr>
      <w:r>
        <w:rPr>
          <w:rFonts w:ascii="Calibri" w:hAnsi="Calibri"/>
          <w:b w:val="0"/>
          <w:i w:val="0"/>
          <w:color w:val="000000"/>
          <w:sz w:val="20"/>
        </w:rPr>
        <w:t>6. Separate from introducer fee. The Shareholder acknowledges that introducer / consultancy fees under the Moi Ostrov agreement (LCY-MOI-TOCA-2026-001) and any equity side letter are separate from employment salary and shall not be set off against salary without written consent.</w:t>
      </w:r>
    </w:p>
    <w:p>
      <w:pPr>
        <w:jc w:val="both"/>
      </w:pPr>
      <w:r>
        <w:rPr>
          <w:rFonts w:ascii="Calibri" w:hAnsi="Calibri"/>
          <w:b w:val="0"/>
          <w:i w:val="0"/>
          <w:color w:val="000000"/>
          <w:sz w:val="20"/>
        </w:rPr>
        <w:t>7. Filing. The Company Secretary shall file this Resolution with the statutory books.</w:t>
      </w:r>
    </w:p>
    <w:p>
      <w:pPr>
        <w:spacing w:before="240"/>
      </w:pPr>
      <w:r>
        <w:rPr>
          <w:rFonts w:ascii="Calibri" w:hAnsi="Calibri"/>
          <w:b/>
          <w:i w:val="0"/>
          <w:color w:val="C9A432"/>
          <w:sz w:val="24"/>
        </w:rPr>
        <w:t>Signature — Sole Shareholder</w:t>
      </w:r>
    </w:p>
    <w:p>
      <w:pPr>
        <w:jc w:val="both"/>
      </w:pPr>
      <w:r>
        <w:rPr>
          <w:rFonts w:ascii="Calibri" w:hAnsi="Calibri"/>
          <w:b w:val="0"/>
          <w:i w:val="0"/>
          <w:color w:val="000000"/>
          <w:sz w:val="20"/>
        </w:rPr>
        <w:t>For and on behalf of LIGHTHIEF INTERNATIONAL LTD</w:t>
      </w:r>
    </w:p>
    <w:p>
      <w:pPr>
        <w:jc w:val="both"/>
      </w:pPr>
      <w:r>
        <w:rPr>
          <w:rFonts w:ascii="Calibri" w:hAnsi="Calibri"/>
          <w:b w:val="0"/>
          <w:i w:val="0"/>
          <w:color w:val="000000"/>
          <w:sz w:val="20"/>
        </w:rPr>
        <w:t>(Sole shareholder of Lighthief Cyprus Ltd)</w:t>
      </w:r>
    </w:p>
    <w:p>
      <w:pPr>
        <w:jc w:val="both"/>
      </w:pPr>
      <w:r>
        <w:rPr>
          <w:rFonts w:ascii="Calibri" w:hAnsi="Calibri"/>
          <w:b w:val="0"/>
          <w:i w:val="0"/>
          <w:color w:val="000000"/>
          <w:sz w:val="20"/>
        </w:rPr>
        <w:t>&amp;nbsp;</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required; not the Employee signing for shareholder.</w:t>
      </w:r>
    </w:p>
    <w:p>
      <w:pPr>
        <w:sectPr>
          <w:footerReference w:type="default" r:id="rId18"/>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MD EQUITY PARTICIPATION SIDE LETTER (HEADS + CLAUSE WORDING)</w:t>
      </w:r>
    </w:p>
    <w:p/>
    <w:p>
      <w:pPr>
        <w:jc w:val="both"/>
      </w:pPr>
      <w:r>
        <w:rPr>
          <w:rFonts w:ascii="Calibri" w:hAnsi="Calibri"/>
          <w:b w:val="0"/>
          <w:i w:val="0"/>
          <w:color w:val="000000"/>
          <w:sz w:val="20"/>
        </w:rPr>
        <w:t>Status: TEMPLATE — Cyprus legal review required before signature</w:t>
      </w:r>
    </w:p>
    <w:p>
      <w:pPr>
        <w:jc w:val="both"/>
      </w:pPr>
      <w:r>
        <w:rPr>
          <w:rFonts w:ascii="Calibri" w:hAnsi="Calibri"/>
          <w:b w:val="0"/>
          <w:i w:val="0"/>
          <w:color w:val="000000"/>
          <w:sz w:val="20"/>
        </w:rPr>
        <w:t>Ref: LCY-MD-EQ-2026-001</w:t>
      </w:r>
    </w:p>
    <w:p>
      <w:pPr>
        <w:jc w:val="both"/>
      </w:pPr>
      <w:r>
        <w:rPr>
          <w:rFonts w:ascii="Calibri" w:hAnsi="Calibri"/>
          <w:b w:val="0"/>
          <w:i w:val="0"/>
          <w:color w:val="000000"/>
          <w:sz w:val="20"/>
        </w:rPr>
        <w:t>Parties: Dr. Arkadiusz Sybaris / Lighthief International Ltd (“Founder”) · Lighthief Cyprus Ltd (“Company”) · Alexander Papacosta (“MD”)</w:t>
      </w:r>
    </w:p>
    <w:p>
      <w:pPr>
        <w:jc w:val="both"/>
      </w:pPr>
      <w:r>
        <w:rPr>
          <w:rFonts w:ascii="Calibri" w:hAnsi="Calibri"/>
          <w:b w:val="0"/>
          <w:i w:val="0"/>
          <w:color w:val="000000"/>
          <w:sz w:val="20"/>
        </w:rPr>
        <w:t>Purpose: Convert founder’s verbal package into one coherent instrument:</w:t>
      </w:r>
    </w:p>
    <w:p>
      <w:pPr>
        <w:jc w:val="both"/>
      </w:pPr>
      <w:r>
        <w:rPr>
          <w:rFonts w:ascii="Calibri" w:hAnsi="Calibri"/>
          <w:b w:val="0"/>
          <w:i w:val="0"/>
          <w:color w:val="000000"/>
          <w:sz w:val="20"/>
        </w:rPr>
        <w:t>1. 30% Share Sale Participation Fee on every third-party equity subscription (cash to Company).</w:t>
      </w:r>
    </w:p>
    <w:p>
      <w:pPr>
        <w:jc w:val="both"/>
      </w:pPr>
      <w:r>
        <w:rPr>
          <w:rFonts w:ascii="Calibri" w:hAnsi="Calibri"/>
          <w:b w:val="0"/>
          <w:i w:val="0"/>
          <w:color w:val="000000"/>
          <w:sz w:val="20"/>
        </w:rPr>
        <w:t>2. Fallback Equity Grant — any portion of the 25% Equity Pool not sold to third parties is granted to MD.</w:t>
      </w:r>
    </w:p>
    <w:p>
      <w:pPr>
        <w:jc w:val="both"/>
      </w:pPr>
      <w:r>
        <w:rPr>
          <w:rFonts w:ascii="Calibri" w:hAnsi="Calibri"/>
          <w:b w:val="0"/>
          <w:i w:val="0"/>
          <w:color w:val="000000"/>
          <w:sz w:val="20"/>
        </w:rPr>
        <w:t>3. Three-year dividend lock (company-wide) from first Fallback Grant or first Qualifying Equity Closing — whichever is earlier.</w:t>
      </w:r>
    </w:p>
    <w:p>
      <w:pPr>
        <w:jc w:val="both"/>
      </w:pPr>
      <w:r>
        <w:rPr>
          <w:rFonts w:ascii="Calibri" w:hAnsi="Calibri"/>
          <w:b w:val="0"/>
          <w:i w:val="0"/>
          <w:color w:val="000000"/>
          <w:sz w:val="20"/>
        </w:rPr>
        <w:t>Separate from: Moi Ostrov commission deed (30% Net Margin on EPC operations). The two regimes coexist; they are different economic bases.</w:t>
      </w:r>
    </w:p>
    <w:p>
      <w:pPr>
        <w:spacing w:before="240"/>
      </w:pPr>
      <w:r>
        <w:rPr>
          <w:rFonts w:ascii="Calibri" w:hAnsi="Calibri"/>
          <w:b/>
          <w:i w:val="0"/>
          <w:color w:val="C9A432"/>
          <w:sz w:val="24"/>
        </w:rPr>
        <w:t>Recitals (counsel to adapt — contribution narrative)</w:t>
      </w:r>
    </w:p>
    <w:p>
      <w:pPr>
        <w:jc w:val="both"/>
      </w:pPr>
      <w:r>
        <w:rPr>
          <w:rFonts w:ascii="Calibri" w:hAnsi="Calibri"/>
          <w:b w:val="0"/>
          <w:i w:val="0"/>
          <w:color w:val="000000"/>
          <w:sz w:val="20"/>
        </w:rPr>
        <w:t>WHEREAS:</w:t>
      </w:r>
    </w:p>
    <w:p>
      <w:pPr>
        <w:jc w:val="both"/>
      </w:pPr>
      <w:r>
        <w:rPr>
          <w:rFonts w:ascii="Calibri" w:hAnsi="Calibri"/>
          <w:b w:val="0"/>
          <w:i w:val="0"/>
          <w:color w:val="000000"/>
          <w:sz w:val="20"/>
        </w:rPr>
        <w:t>(a) The MD has originated and manages the Company’s Cyprus BESS pipeline (including the 51-park portfolio, Galascope, Esperia, and quoted backlog), led client negotiations, recruitment, and day-to-day delivery, such that the Company’s value at first EPC execution is predominantly attributable to MD-led origination and operations;</w:t>
      </w:r>
    </w:p>
    <w:p>
      <w:pPr>
        <w:jc w:val="both"/>
      </w:pPr>
      <w:r>
        <w:rPr>
          <w:rFonts w:ascii="Calibri" w:hAnsi="Calibri"/>
          <w:b w:val="0"/>
          <w:i w:val="0"/>
          <w:color w:val="000000"/>
          <w:sz w:val="20"/>
        </w:rPr>
        <w:t>(b) The Founder, through Lighthief International Ltd, has provided initial shareholder support (including startup funding and office/premises-related contributions), and holds 100% of the Company (directly or indirectly) prior to any Qualifying Equity Closing;</w:t>
      </w:r>
    </w:p>
    <w:p>
      <w:pPr>
        <w:jc w:val="both"/>
      </w:pPr>
      <w:r>
        <w:rPr>
          <w:rFonts w:ascii="Calibri" w:hAnsi="Calibri"/>
          <w:b w:val="0"/>
          <w:i w:val="0"/>
          <w:color w:val="000000"/>
          <w:sz w:val="20"/>
        </w:rPr>
        <w:t>(c) The Parties have agreed a maximum 25% Equity Pool available for third-party investment and/or MD fallback alignment, and that the MD shall participate in 30% of gross cash received by the Company on Qualifying Equity Closings, in recognition of MD’s role in building enterprise value and facilitating investment;</w:t>
      </w:r>
    </w:p>
    <w:p>
      <w:pPr>
        <w:jc w:val="both"/>
      </w:pPr>
      <w:r>
        <w:rPr>
          <w:rFonts w:ascii="Calibri" w:hAnsi="Calibri"/>
          <w:b w:val="0"/>
          <w:i w:val="0"/>
          <w:color w:val="000000"/>
          <w:sz w:val="20"/>
        </w:rPr>
        <w:t>(d) This Side Letter is entered into alongside the Team Operational Consultancy Agreement between the Company and Moi Ostrov Ltd, which governs operating margin only.</w:t>
      </w:r>
    </w:p>
    <w:p>
      <w:pPr>
        <w:spacing w:before="240"/>
      </w:pPr>
      <w:r>
        <w:rPr>
          <w:rFonts w:ascii="Calibri" w:hAnsi="Calibri"/>
          <w:b/>
          <w:i w:val="0"/>
          <w:color w:val="C9A432"/>
          <w:sz w:val="24"/>
        </w:rPr>
        <w:t>1. Definitions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Term</w:t>
            </w:r>
          </w:p>
        </w:tc>
        <w:tc>
          <w:tcPr>
            <w:tcW w:type="dxa" w:w="4703"/>
            <w:shd w:fill="1A365D" w:val="clear"/>
          </w:tcPr>
          <w:p>
            <w:r/>
            <w:r>
              <w:rPr>
                <w:rFonts w:ascii="Calibri" w:hAnsi="Calibri"/>
                <w:b/>
                <w:i w:val="0"/>
                <w:color w:val="FFFFFF"/>
                <w:sz w:val="18"/>
              </w:rPr>
              <w:t>Meaning</w:t>
            </w:r>
          </w:p>
        </w:tc>
      </w:tr>
      <w:tr>
        <w:tc>
          <w:tcPr>
            <w:tcW w:type="dxa" w:w="4703"/>
          </w:tcPr>
          <w:p>
            <w:r/>
            <w:r>
              <w:rPr>
                <w:rFonts w:ascii="Calibri" w:hAnsi="Calibri"/>
                <w:b w:val="0"/>
                <w:i w:val="0"/>
                <w:color w:val="000000"/>
                <w:sz w:val="18"/>
              </w:rPr>
              <w:t>Equity Pool Cap</w:t>
            </w:r>
          </w:p>
        </w:tc>
        <w:tc>
          <w:tcPr>
            <w:tcW w:type="dxa" w:w="4703"/>
          </w:tcPr>
          <w:p>
            <w:r/>
            <w:r>
              <w:rPr>
                <w:rFonts w:ascii="Calibri" w:hAnsi="Calibri"/>
                <w:b w:val="0"/>
                <w:i w:val="0"/>
                <w:color w:val="000000"/>
                <w:sz w:val="18"/>
              </w:rPr>
              <w:t>25% of the fully diluted ordinary share capital of the Company (as at each Qualifying Equity Closing).</w:t>
            </w:r>
          </w:p>
        </w:tc>
      </w:tr>
      <w:tr>
        <w:tc>
          <w:tcPr>
            <w:tcW w:type="dxa" w:w="4703"/>
          </w:tcPr>
          <w:p>
            <w:r/>
            <w:r>
              <w:rPr>
                <w:rFonts w:ascii="Calibri" w:hAnsi="Calibri"/>
                <w:b w:val="0"/>
                <w:i w:val="0"/>
                <w:color w:val="000000"/>
                <w:sz w:val="18"/>
              </w:rPr>
              <w:t>Qualifying Equity Closing</w:t>
            </w:r>
          </w:p>
        </w:tc>
        <w:tc>
          <w:tcPr>
            <w:tcW w:type="dxa" w:w="4703"/>
          </w:tcPr>
          <w:p>
            <w:r/>
            <w:r>
              <w:rPr>
                <w:rFonts w:ascii="Calibri" w:hAnsi="Calibri"/>
                <w:b w:val="0"/>
                <w:i w:val="0"/>
                <w:color w:val="000000"/>
                <w:sz w:val="18"/>
              </w:rPr>
              <w:t>Completion of a bona fide subscription or transfer of ordinary shares to a Third Party Investor (not MD, not Founder, not any Group company) against payment of cash subscription moneys to the Company, pursuant to executed subscription / SHA documents.</w:t>
            </w:r>
          </w:p>
        </w:tc>
      </w:tr>
      <w:tr>
        <w:tc>
          <w:tcPr>
            <w:tcW w:type="dxa" w:w="4703"/>
          </w:tcPr>
          <w:p>
            <w:r/>
            <w:r>
              <w:rPr>
                <w:rFonts w:ascii="Calibri" w:hAnsi="Calibri"/>
                <w:b w:val="0"/>
                <w:i w:val="0"/>
                <w:color w:val="000000"/>
                <w:sz w:val="18"/>
              </w:rPr>
              <w:t>Gross Subscription Amount</w:t>
            </w:r>
          </w:p>
        </w:tc>
        <w:tc>
          <w:tcPr>
            <w:tcW w:type="dxa" w:w="4703"/>
          </w:tcPr>
          <w:p>
            <w:r/>
            <w:r>
              <w:rPr>
                <w:rFonts w:ascii="Calibri" w:hAnsi="Calibri"/>
                <w:b w:val="0"/>
                <w:i w:val="0"/>
                <w:color w:val="000000"/>
                <w:sz w:val="18"/>
              </w:rPr>
              <w:t>Total cash received by the Company from the Third Party Investor in respect of that Qualifying Equity Closing (excluding expense reimbursements).</w:t>
            </w:r>
          </w:p>
        </w:tc>
      </w:tr>
      <w:tr>
        <w:tc>
          <w:tcPr>
            <w:tcW w:type="dxa" w:w="4703"/>
          </w:tcPr>
          <w:p>
            <w:r/>
            <w:r>
              <w:rPr>
                <w:rFonts w:ascii="Calibri" w:hAnsi="Calibri"/>
                <w:b w:val="0"/>
                <w:i w:val="0"/>
                <w:color w:val="000000"/>
                <w:sz w:val="18"/>
              </w:rPr>
              <w:t>Cumulative Sold Percentage</w:t>
            </w:r>
          </w:p>
        </w:tc>
        <w:tc>
          <w:tcPr>
            <w:tcW w:type="dxa" w:w="4703"/>
          </w:tcPr>
          <w:p>
            <w:r/>
            <w:r>
              <w:rPr>
                <w:rFonts w:ascii="Calibri" w:hAnsi="Calibri"/>
                <w:b w:val="0"/>
                <w:i w:val="0"/>
                <w:color w:val="000000"/>
                <w:sz w:val="18"/>
              </w:rPr>
              <w:t>Sum of all percentages issued or transferred to Third Party Investors under Qualifying Equity Closings, measured on a fully diluted basis.</w:t>
            </w:r>
          </w:p>
        </w:tc>
      </w:tr>
      <w:tr>
        <w:tc>
          <w:tcPr>
            <w:tcW w:type="dxa" w:w="4703"/>
          </w:tcPr>
          <w:p>
            <w:r/>
            <w:r>
              <w:rPr>
                <w:rFonts w:ascii="Calibri" w:hAnsi="Calibri"/>
                <w:b w:val="0"/>
                <w:i w:val="0"/>
                <w:color w:val="000000"/>
                <w:sz w:val="18"/>
              </w:rPr>
              <w:t>Unsold Pool Percentage</w:t>
            </w:r>
          </w:p>
        </w:tc>
        <w:tc>
          <w:tcPr>
            <w:tcW w:type="dxa" w:w="4703"/>
          </w:tcPr>
          <w:p>
            <w:r/>
            <w:r>
              <w:rPr>
                <w:rFonts w:ascii="Calibri" w:hAnsi="Calibri"/>
                <w:b w:val="0"/>
                <w:i w:val="0"/>
                <w:color w:val="000000"/>
                <w:sz w:val="18"/>
              </w:rPr>
              <w:t>Equity Pool Cap minus Cumulative Sold Percentage (minimum zero).</w:t>
            </w:r>
          </w:p>
        </w:tc>
      </w:tr>
      <w:tr>
        <w:tc>
          <w:tcPr>
            <w:tcW w:type="dxa" w:w="4703"/>
          </w:tcPr>
          <w:p>
            <w:r/>
            <w:r>
              <w:rPr>
                <w:rFonts w:ascii="Calibri" w:hAnsi="Calibri"/>
                <w:b w:val="0"/>
                <w:i w:val="0"/>
                <w:color w:val="000000"/>
                <w:sz w:val="18"/>
              </w:rPr>
              <w:t>Share Sale Participation Fee</w:t>
            </w:r>
          </w:p>
        </w:tc>
        <w:tc>
          <w:tcPr>
            <w:tcW w:type="dxa" w:w="4703"/>
          </w:tcPr>
          <w:p>
            <w:r/>
            <w:r>
              <w:rPr>
                <w:rFonts w:ascii="Calibri" w:hAnsi="Calibri"/>
                <w:b w:val="0"/>
                <w:i w:val="0"/>
                <w:color w:val="000000"/>
                <w:sz w:val="18"/>
              </w:rPr>
              <w:t>30% of the Gross Subscription Amount for each Qualifying Equity Closing.</w:t>
            </w:r>
          </w:p>
        </w:tc>
      </w:tr>
      <w:tr>
        <w:tc>
          <w:tcPr>
            <w:tcW w:type="dxa" w:w="4703"/>
          </w:tcPr>
          <w:p>
            <w:r/>
            <w:r>
              <w:rPr>
                <w:rFonts w:ascii="Calibri" w:hAnsi="Calibri"/>
                <w:b w:val="0"/>
                <w:i w:val="0"/>
                <w:color w:val="000000"/>
                <w:sz w:val="18"/>
              </w:rPr>
              <w:t>Fallback Grant Date</w:t>
            </w:r>
          </w:p>
        </w:tc>
        <w:tc>
          <w:tcPr>
            <w:tcW w:type="dxa" w:w="4703"/>
          </w:tcPr>
          <w:p>
            <w:r/>
            <w:r>
              <w:rPr>
                <w:rFonts w:ascii="Calibri" w:hAnsi="Calibri"/>
                <w:b w:val="0"/>
                <w:i w:val="0"/>
                <w:color w:val="000000"/>
                <w:sz w:val="18"/>
              </w:rPr>
              <w:t>The date on which Unsold Pool Percentage is transferred or allotted to MD under Clause 3.</w:t>
            </w:r>
          </w:p>
        </w:tc>
      </w:tr>
      <w:tr>
        <w:tc>
          <w:tcPr>
            <w:tcW w:type="dxa" w:w="4703"/>
          </w:tcPr>
          <w:p>
            <w:r/>
            <w:r>
              <w:rPr>
                <w:rFonts w:ascii="Calibri" w:hAnsi="Calibri"/>
                <w:b w:val="0"/>
                <w:i w:val="0"/>
                <w:color w:val="000000"/>
                <w:sz w:val="18"/>
              </w:rPr>
              <w:t>Longstop Date</w:t>
            </w:r>
          </w:p>
        </w:tc>
        <w:tc>
          <w:tcPr>
            <w:tcW w:type="dxa" w:w="4703"/>
          </w:tcPr>
          <w:p>
            <w:r/>
            <w:r>
              <w:rPr>
                <w:rFonts w:ascii="Calibri" w:hAnsi="Calibri"/>
                <w:b w:val="0"/>
                <w:i w:val="0"/>
                <w:color w:val="000000"/>
                <w:sz w:val="18"/>
              </w:rPr>
              <w:t>[180] days after Galascope EPC Effective Date (signed and stamped by Lighthief Cyprus Ltd and Galascope Ltd), unless extended in writing by Founder and MD.</w:t>
            </w:r>
          </w:p>
        </w:tc>
      </w:tr>
      <w:tr>
        <w:tc>
          <w:tcPr>
            <w:tcW w:type="dxa" w:w="4703"/>
          </w:tcPr>
          <w:p>
            <w:r/>
            <w:r>
              <w:rPr>
                <w:rFonts w:ascii="Calibri" w:hAnsi="Calibri"/>
                <w:b w:val="0"/>
                <w:i w:val="0"/>
                <w:color w:val="000000"/>
                <w:sz w:val="18"/>
              </w:rPr>
              <w:t>Group</w:t>
            </w:r>
          </w:p>
        </w:tc>
        <w:tc>
          <w:tcPr>
            <w:tcW w:type="dxa" w:w="4703"/>
          </w:tcPr>
          <w:p>
            <w:r/>
            <w:r>
              <w:rPr>
                <w:rFonts w:ascii="Calibri" w:hAnsi="Calibri"/>
                <w:b w:val="0"/>
                <w:i w:val="0"/>
                <w:color w:val="000000"/>
                <w:sz w:val="18"/>
              </w:rPr>
              <w:t>Lighthief International Ltd and any entity Sybaris Controls (&gt;50% vote or UBO).</w:t>
            </w:r>
          </w:p>
        </w:tc>
      </w:tr>
    </w:tbl>
    <w:p/>
    <w:p>
      <w:pPr>
        <w:spacing w:before="240"/>
      </w:pPr>
      <w:r>
        <w:rPr>
          <w:rFonts w:ascii="Calibri" w:hAnsi="Calibri"/>
          <w:b/>
          <w:i w:val="0"/>
          <w:color w:val="C9A432"/>
          <w:sz w:val="24"/>
        </w:rPr>
        <w:t>2. Share Sale Participation Fee (30%)</w:t>
      </w:r>
    </w:p>
    <w:p>
      <w:pPr>
        <w:jc w:val="both"/>
      </w:pPr>
      <w:r>
        <w:rPr>
          <w:rFonts w:ascii="Calibri" w:hAnsi="Calibri"/>
          <w:b w:val="0"/>
          <w:i w:val="0"/>
          <w:color w:val="000000"/>
          <w:sz w:val="20"/>
        </w:rPr>
        <w:t>2.1 Amount. On each Qualifying Equity Closing, the Founder shall pay (or cause to be paid) to the MD (or MD Nominee) the Share Sale Participation Fee equal to 30% of the Gross Subscription Amount for that closing.</w:t>
      </w:r>
    </w:p>
    <w:p>
      <w:pPr>
        <w:jc w:val="both"/>
      </w:pPr>
      <w:r>
        <w:rPr>
          <w:rFonts w:ascii="Calibri" w:hAnsi="Calibri"/>
          <w:b w:val="0"/>
          <w:i w:val="0"/>
          <w:color w:val="000000"/>
          <w:sz w:val="20"/>
        </w:rPr>
        <w:t>2.2 Timing. Within 14 calendar days after the Company’s receipt of the Gross Subscription Amount (same cadence as Moi Ostrov milestone fees).</w:t>
      </w:r>
    </w:p>
    <w:p>
      <w:pPr>
        <w:jc w:val="both"/>
      </w:pPr>
      <w:r>
        <w:rPr>
          <w:rFonts w:ascii="Calibri" w:hAnsi="Calibri"/>
          <w:b w:val="0"/>
          <w:i w:val="0"/>
          <w:color w:val="000000"/>
          <w:sz w:val="20"/>
        </w:rPr>
        <w:t>2.3 Payor (critical for investor optics). Primary obligor is Founder / Lighthief International Ltd, not the Company’s project working capital. If counsel structures payment via the Company, it shall be documented as a pre-disclosed success fee in the investor term sheet and shall rank after Linyang / project delivery obligations for that tranche — *counsel to confirm*.</w:t>
      </w:r>
    </w:p>
    <w:p>
      <w:pPr>
        <w:jc w:val="both"/>
      </w:pPr>
      <w:r>
        <w:rPr>
          <w:rFonts w:ascii="Calibri" w:hAnsi="Calibri"/>
          <w:b w:val="0"/>
          <w:i w:val="0"/>
          <w:color w:val="000000"/>
          <w:sz w:val="20"/>
        </w:rPr>
        <w:t>2.4 No duplication. The Share Sale Participation Fee is calculated only on Gross Subscription Amount. It is not calculated on: (a) Net Margin or EPC revenue; (b) client milestone receipts; (c) shareholder loans. Operating margin remains governed by the Moi Ostrov Consultancy Agreement.</w:t>
      </w:r>
    </w:p>
    <w:p>
      <w:pPr>
        <w:jc w:val="both"/>
      </w:pPr>
      <w:r>
        <w:rPr>
          <w:rFonts w:ascii="Calibri" w:hAnsi="Calibri"/>
          <w:b w:val="0"/>
          <w:i w:val="0"/>
          <w:color w:val="000000"/>
          <w:sz w:val="20"/>
        </w:rPr>
        <w:t>2.5 Partial tranches. Each tranche (e.g. €500,000 for 12.5%) is a separate Qualifying Equity Closing with its own fee: 30% × €500,000 = €150,000.</w:t>
      </w:r>
    </w:p>
    <w:p>
      <w:pPr>
        <w:jc w:val="both"/>
      </w:pPr>
      <w:r>
        <w:rPr>
          <w:rFonts w:ascii="Calibri" w:hAnsi="Calibri"/>
          <w:b w:val="0"/>
          <w:i w:val="0"/>
          <w:color w:val="000000"/>
          <w:sz w:val="20"/>
        </w:rPr>
        <w:t>2.6 Survival. Fee applies to all Qualifying Equity Closings occurring while MD is engaged as Managing Director, or within 12 months after MD ceases for Good Reason (as defined in counsel’s employment / services agreement).</w:t>
      </w:r>
    </w:p>
    <w:p>
      <w:pPr>
        <w:jc w:val="both"/>
      </w:pPr>
      <w:r>
        <w:rPr>
          <w:rFonts w:ascii="Calibri" w:hAnsi="Calibri"/>
          <w:b w:val="0"/>
          <w:i w:val="0"/>
          <w:color w:val="000000"/>
          <w:sz w:val="20"/>
        </w:rPr>
        <w:t>2.7 Tax. MD obtains independent tax advice. Parties cooperate on lawful structuring (personal receipt vs MD Nominee company).</w:t>
      </w:r>
    </w:p>
    <w:p>
      <w:pPr>
        <w:spacing w:before="240"/>
      </w:pPr>
      <w:r>
        <w:rPr>
          <w:rFonts w:ascii="Calibri" w:hAnsi="Calibri"/>
          <w:b/>
          <w:i w:val="0"/>
          <w:color w:val="C9A432"/>
          <w:sz w:val="24"/>
        </w:rPr>
        <w:t>3. Fallback Equity Grant (unsold portion of 25% pool)</w:t>
      </w:r>
    </w:p>
    <w:p>
      <w:pPr>
        <w:jc w:val="both"/>
      </w:pPr>
      <w:r>
        <w:rPr>
          <w:rFonts w:ascii="Calibri" w:hAnsi="Calibri"/>
          <w:b w:val="0"/>
          <w:i w:val="0"/>
          <w:color w:val="000000"/>
          <w:sz w:val="20"/>
        </w:rPr>
        <w:t>3.1 Principle. The Equity Pool Cap is 25%. Third parties may acquire up to 25%. Any Unsold Pool Percentage is granted to MD — not retained by Founder.</w:t>
      </w:r>
    </w:p>
    <w:p>
      <w:pPr>
        <w:jc w:val="both"/>
      </w:pPr>
      <w:r>
        <w:rPr>
          <w:rFonts w:ascii="Calibri" w:hAnsi="Calibri"/>
          <w:b/>
          <w:i w:val="0"/>
          <w:color w:val="000000"/>
          <w:sz w:val="20"/>
        </w:rPr>
        <w:t>3.2 Worked examples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Cumulative Sold %</w:t>
            </w:r>
          </w:p>
        </w:tc>
        <w:tc>
          <w:tcPr>
            <w:tcW w:type="dxa" w:w="3135"/>
            <w:shd w:fill="1A365D" w:val="clear"/>
          </w:tcPr>
          <w:p>
            <w:r/>
            <w:r>
              <w:rPr>
                <w:rFonts w:ascii="Calibri" w:hAnsi="Calibri"/>
                <w:b/>
                <w:i w:val="0"/>
                <w:color w:val="FFFFFF"/>
                <w:sz w:val="18"/>
              </w:rPr>
              <w:t>MD Participation Fee (30% of cash)</w:t>
            </w:r>
          </w:p>
        </w:tc>
        <w:tc>
          <w:tcPr>
            <w:tcW w:type="dxa" w:w="3135"/>
            <w:shd w:fill="1A365D" w:val="clear"/>
          </w:tcPr>
          <w:p>
            <w:r/>
            <w:r>
              <w:rPr>
                <w:rFonts w:ascii="Calibri" w:hAnsi="Calibri"/>
                <w:b/>
                <w:i w:val="0"/>
                <w:color w:val="FFFFFF"/>
                <w:sz w:val="18"/>
              </w:rPr>
              <w:t>MD Fallback Equity</w:t>
            </w:r>
          </w:p>
        </w:tc>
      </w:tr>
      <w:tr>
        <w:tc>
          <w:tcPr>
            <w:tcW w:type="dxa" w:w="3135"/>
          </w:tcPr>
          <w:p>
            <w:r/>
            <w:r>
              <w:rPr>
                <w:rFonts w:ascii="Calibri" w:hAnsi="Calibri"/>
                <w:b w:val="0"/>
                <w:i w:val="0"/>
                <w:color w:val="000000"/>
                <w:sz w:val="18"/>
              </w:rPr>
              <w:t>0% (no investor by Longstop)</w:t>
            </w:r>
          </w:p>
        </w:tc>
        <w:tc>
          <w:tcPr>
            <w:tcW w:type="dxa" w:w="3135"/>
          </w:tcPr>
          <w:p>
            <w:r/>
            <w:r>
              <w:rPr>
                <w:rFonts w:ascii="Calibri" w:hAnsi="Calibri"/>
                <w:b w:val="0"/>
                <w:i w:val="0"/>
                <w:color w:val="000000"/>
                <w:sz w:val="18"/>
              </w:rPr>
              <w:t>None</w:t>
            </w:r>
          </w:p>
        </w:tc>
        <w:tc>
          <w:tcPr>
            <w:tcW w:type="dxa" w:w="3135"/>
          </w:tcPr>
          <w:p>
            <w:r/>
            <w:r>
              <w:rPr>
                <w:rFonts w:ascii="Calibri" w:hAnsi="Calibri"/>
                <w:b w:val="0"/>
                <w:i w:val="0"/>
                <w:color w:val="000000"/>
                <w:sz w:val="18"/>
              </w:rPr>
              <w:t>25%</w:t>
            </w:r>
          </w:p>
        </w:tc>
      </w:tr>
      <w:tr>
        <w:tc>
          <w:tcPr>
            <w:tcW w:type="dxa" w:w="3135"/>
          </w:tcPr>
          <w:p>
            <w:r/>
            <w:r>
              <w:rPr>
                <w:rFonts w:ascii="Calibri" w:hAnsi="Calibri"/>
                <w:b w:val="0"/>
                <w:i w:val="0"/>
                <w:color w:val="000000"/>
                <w:sz w:val="18"/>
              </w:rPr>
              <w:t>12.5% (€500k)</w:t>
            </w:r>
          </w:p>
        </w:tc>
        <w:tc>
          <w:tcPr>
            <w:tcW w:type="dxa" w:w="3135"/>
          </w:tcPr>
          <w:p>
            <w:r/>
            <w:r>
              <w:rPr>
                <w:rFonts w:ascii="Calibri" w:hAnsi="Calibri"/>
                <w:b w:val="0"/>
                <w:i w:val="0"/>
                <w:color w:val="000000"/>
                <w:sz w:val="18"/>
              </w:rPr>
              <w:t>€150,000</w:t>
            </w:r>
          </w:p>
        </w:tc>
        <w:tc>
          <w:tcPr>
            <w:tcW w:type="dxa" w:w="3135"/>
          </w:tcPr>
          <w:p>
            <w:r/>
            <w:r>
              <w:rPr>
                <w:rFonts w:ascii="Calibri" w:hAnsi="Calibri"/>
                <w:b w:val="0"/>
                <w:i w:val="0"/>
                <w:color w:val="000000"/>
                <w:sz w:val="18"/>
              </w:rPr>
              <w:t>12.5% (25% − 12.5%)</w:t>
            </w:r>
          </w:p>
        </w:tc>
      </w:tr>
      <w:tr>
        <w:tc>
          <w:tcPr>
            <w:tcW w:type="dxa" w:w="3135"/>
          </w:tcPr>
          <w:p>
            <w:r/>
            <w:r>
              <w:rPr>
                <w:rFonts w:ascii="Calibri" w:hAnsi="Calibri"/>
                <w:b w:val="0"/>
                <w:i w:val="0"/>
                <w:color w:val="000000"/>
                <w:sz w:val="18"/>
              </w:rPr>
              <w:t>25% (€1M)</w:t>
            </w:r>
          </w:p>
        </w:tc>
        <w:tc>
          <w:tcPr>
            <w:tcW w:type="dxa" w:w="3135"/>
          </w:tcPr>
          <w:p>
            <w:r/>
            <w:r>
              <w:rPr>
                <w:rFonts w:ascii="Calibri" w:hAnsi="Calibri"/>
                <w:b w:val="0"/>
                <w:i w:val="0"/>
                <w:color w:val="000000"/>
                <w:sz w:val="18"/>
              </w:rPr>
              <w:t>€300,000</w:t>
            </w:r>
          </w:p>
        </w:tc>
        <w:tc>
          <w:tcPr>
            <w:tcW w:type="dxa" w:w="3135"/>
          </w:tcPr>
          <w:p>
            <w:r/>
            <w:r>
              <w:rPr>
                <w:rFonts w:ascii="Calibri" w:hAnsi="Calibri"/>
                <w:b w:val="0"/>
                <w:i w:val="0"/>
                <w:color w:val="000000"/>
                <w:sz w:val="18"/>
              </w:rPr>
              <w:t>0%</w:t>
            </w:r>
          </w:p>
        </w:tc>
      </w:tr>
    </w:tbl>
    <w:p/>
    <w:p>
      <w:pPr>
        <w:jc w:val="both"/>
      </w:pPr>
      <w:r>
        <w:rPr>
          <w:rFonts w:ascii="Calibri" w:hAnsi="Calibri"/>
          <w:b/>
          <w:i w:val="0"/>
          <w:color w:val="000000"/>
          <w:sz w:val="20"/>
        </w:rPr>
        <w:t>3.3 Trigger — per tranche + longstop</w:t>
      </w:r>
    </w:p>
    <w:p>
      <w:pPr>
        <w:jc w:val="both"/>
      </w:pPr>
      <w:r>
        <w:rPr>
          <w:rFonts w:ascii="Calibri" w:hAnsi="Calibri"/>
          <w:b w:val="0"/>
          <w:i w:val="0"/>
          <w:color w:val="000000"/>
          <w:sz w:val="20"/>
        </w:rPr>
        <w:t>(a) On each Qualifying Equity Closing: within 30 days, Founder causes register update so MD holds fallback equity equal to Unsold Pool Percentage immediately after that closing *(optional — counsel may prefer single grant at longstop)*; OR</w:t>
      </w:r>
    </w:p>
    <w:p>
      <w:pPr>
        <w:jc w:val="both"/>
      </w:pPr>
      <w:r>
        <w:rPr>
          <w:rFonts w:ascii="Calibri" w:hAnsi="Calibri"/>
          <w:b w:val="0"/>
          <w:i w:val="0"/>
          <w:color w:val="000000"/>
          <w:sz w:val="20"/>
        </w:rPr>
        <w:t>(b) Recommended: Incremental grant — after each closing, MD receives Unsold Pool Percentage as at that date (e.g. after 12.5% sale, MD gets 12.5% shares within 30 days).</w:t>
      </w:r>
    </w:p>
    <w:p>
      <w:pPr>
        <w:jc w:val="both"/>
      </w:pPr>
      <w:r>
        <w:rPr>
          <w:rFonts w:ascii="Calibri" w:hAnsi="Calibri"/>
          <w:b w:val="0"/>
          <w:i w:val="0"/>
          <w:color w:val="000000"/>
          <w:sz w:val="20"/>
        </w:rPr>
        <w:t>(c) Longstop top-up: If Cumulative Sold Percentage &lt; 25% on Longstop Date, Founder shall within 30 days grant MD the remaining Unsold Pool Percentage so that Cumulative Sold Percentage + MD holding = 25% (plus Founder’s retained balance).</w:t>
      </w:r>
    </w:p>
    <w:p>
      <w:pPr>
        <w:jc w:val="both"/>
      </w:pPr>
      <w:r>
        <w:rPr>
          <w:rFonts w:ascii="Calibri" w:hAnsi="Calibri"/>
          <w:b w:val="0"/>
          <w:i w:val="0"/>
          <w:color w:val="000000"/>
          <w:sz w:val="20"/>
        </w:rPr>
        <w:t>3.4 Consideration. Nominal / nil subscription or set-off against documented MD amounts — as tax counsel advises.</w:t>
      </w:r>
    </w:p>
    <w:p>
      <w:pPr>
        <w:jc w:val="both"/>
      </w:pPr>
      <w:r>
        <w:rPr>
          <w:rFonts w:ascii="Calibri" w:hAnsi="Calibri"/>
          <w:b w:val="0"/>
          <w:i w:val="0"/>
          <w:color w:val="000000"/>
          <w:sz w:val="20"/>
        </w:rPr>
        <w:t>3.5 Grantor. Lighthief International Ltd (transfer) or Company (capital increase) — counsel to choose.</w:t>
      </w:r>
    </w:p>
    <w:p>
      <w:pPr>
        <w:jc w:val="both"/>
      </w:pPr>
      <w:r>
        <w:rPr>
          <w:rFonts w:ascii="Calibri" w:hAnsi="Calibri"/>
          <w:b w:val="0"/>
          <w:i w:val="0"/>
          <w:color w:val="000000"/>
          <w:sz w:val="20"/>
        </w:rPr>
        <w:t>3.6 Recipient. Alexander Papacosta or Moi Ostrov Ltd (MD Nominee).</w:t>
      </w:r>
    </w:p>
    <w:p>
      <w:pPr>
        <w:jc w:val="both"/>
      </w:pPr>
      <w:r>
        <w:rPr>
          <w:rFonts w:ascii="Calibri" w:hAnsi="Calibri"/>
          <w:b w:val="0"/>
          <w:i w:val="0"/>
          <w:color w:val="000000"/>
          <w:sz w:val="20"/>
        </w:rPr>
        <w:t>3.7 No extra fee on fallback shares. Fallback equity is not subject to Share Sale Participation Fee (no Gross Subscription Amount on nil grant).</w:t>
      </w:r>
    </w:p>
    <w:p>
      <w:pPr>
        <w:spacing w:before="240"/>
      </w:pPr>
      <w:r>
        <w:rPr>
          <w:rFonts w:ascii="Calibri" w:hAnsi="Calibri"/>
          <w:b/>
          <w:i w:val="0"/>
          <w:color w:val="C9A432"/>
          <w:sz w:val="24"/>
        </w:rPr>
        <w:t>4. Dividend restriction (3 years)</w:t>
      </w:r>
    </w:p>
    <w:p>
      <w:pPr>
        <w:jc w:val="both"/>
      </w:pPr>
      <w:r>
        <w:rPr>
          <w:rFonts w:ascii="Calibri" w:hAnsi="Calibri"/>
          <w:b w:val="0"/>
          <w:i w:val="0"/>
          <w:color w:val="000000"/>
          <w:sz w:val="20"/>
        </w:rPr>
        <w:t>4.1 From the earlier of (i) first Fallback Grant Date or (ii) first Qualifying Equity Closing, until the third anniversary, the Company shall not declare or pay dividends or make shareholder distributions except:</w:t>
      </w:r>
    </w:p>
    <w:p>
      <w:pPr>
        <w:jc w:val="both"/>
      </w:pPr>
      <w:r>
        <w:rPr>
          <w:rFonts w:ascii="Calibri" w:hAnsi="Calibri"/>
          <w:b w:val="0"/>
          <w:i w:val="0"/>
          <w:color w:val="000000"/>
          <w:sz w:val="20"/>
        </w:rPr>
        <w:t>(a) payments under the Moi Ostrov Consultancy Agreement (operating fees — not distributions);</w:t>
      </w:r>
    </w:p>
    <w:p>
      <w:pPr>
        <w:jc w:val="both"/>
      </w:pPr>
      <w:r>
        <w:rPr>
          <w:rFonts w:ascii="Calibri" w:hAnsi="Calibri"/>
          <w:b w:val="0"/>
          <w:i w:val="0"/>
          <w:color w:val="000000"/>
          <w:sz w:val="20"/>
        </w:rPr>
        <w:t>(b) payroll and arm’s-length director/employee remuneration;</w:t>
      </w:r>
    </w:p>
    <w:p>
      <w:pPr>
        <w:jc w:val="both"/>
      </w:pPr>
      <w:r>
        <w:rPr>
          <w:rFonts w:ascii="Calibri" w:hAnsi="Calibri"/>
          <w:b w:val="0"/>
          <w:i w:val="0"/>
          <w:color w:val="000000"/>
          <w:sz w:val="20"/>
        </w:rPr>
        <w:t>(c) project delivery costs and confirmed equipment/adders;</w:t>
      </w:r>
    </w:p>
    <w:p>
      <w:pPr>
        <w:jc w:val="both"/>
      </w:pPr>
      <w:r>
        <w:rPr>
          <w:rFonts w:ascii="Calibri" w:hAnsi="Calibri"/>
          <w:b w:val="0"/>
          <w:i w:val="0"/>
          <w:color w:val="000000"/>
          <w:sz w:val="20"/>
        </w:rPr>
        <w:t>(d) repayment of documented shareholder loans per a pre-agreed schedule attached as Annex C;</w:t>
      </w:r>
    </w:p>
    <w:p>
      <w:pPr>
        <w:jc w:val="both"/>
      </w:pPr>
      <w:r>
        <w:rPr>
          <w:rFonts w:ascii="Calibri" w:hAnsi="Calibri"/>
          <w:b w:val="0"/>
          <w:i w:val="0"/>
          <w:color w:val="000000"/>
          <w:sz w:val="20"/>
        </w:rPr>
        <w:t>(e) amounts required by law.</w:t>
      </w:r>
    </w:p>
    <w:p>
      <w:pPr>
        <w:jc w:val="both"/>
      </w:pPr>
      <w:r>
        <w:rPr>
          <w:rFonts w:ascii="Calibri" w:hAnsi="Calibri"/>
          <w:b w:val="0"/>
          <w:i w:val="0"/>
          <w:color w:val="000000"/>
          <w:sz w:val="20"/>
        </w:rPr>
        <w:t>4.2 This restriction binds the Company and Founder shall vote shares accordingly.</w:t>
      </w:r>
    </w:p>
    <w:p>
      <w:pPr>
        <w:spacing w:before="240"/>
      </w:pPr>
      <w:r>
        <w:rPr>
          <w:rFonts w:ascii="Calibri" w:hAnsi="Calibri"/>
          <w:b/>
          <w:i w:val="0"/>
          <w:color w:val="C9A432"/>
          <w:sz w:val="24"/>
        </w:rPr>
        <w:t>5. Conditions &amp; protections</w:t>
      </w:r>
    </w:p>
    <w:p>
      <w:pPr>
        <w:jc w:val="both"/>
      </w:pPr>
      <w:r>
        <w:rPr>
          <w:rFonts w:ascii="Calibri" w:hAnsi="Calibri"/>
          <w:b w:val="0"/>
          <w:i w:val="0"/>
          <w:color w:val="000000"/>
          <w:sz w:val="20"/>
        </w:rPr>
        <w:t>5.1 MD engagement. MD must be Managing Director (or equivalent) at each Qualifying Equity Closing, except Good Reason leaver per employment terms.</w:t>
      </w:r>
    </w:p>
    <w:p>
      <w:pPr>
        <w:jc w:val="both"/>
      </w:pPr>
      <w:r>
        <w:rPr>
          <w:rFonts w:ascii="Calibri" w:hAnsi="Calibri"/>
          <w:b w:val="0"/>
          <w:i w:val="0"/>
          <w:color w:val="000000"/>
          <w:sz w:val="20"/>
        </w:rPr>
        <w:t>5.2 Founder undertakings. Founder shall not circumvent this Side Letter by: (a) issuing shares above Equity Pool Cap to Group entities without MD consent; (b) routing Cyprus BESS revenue outside LCY to avoid margin or equity value (consistent with Consultancy Agreement Clause 12).</w:t>
      </w:r>
    </w:p>
    <w:p>
      <w:pPr>
        <w:jc w:val="both"/>
      </w:pPr>
      <w:r>
        <w:rPr>
          <w:rFonts w:ascii="Calibri" w:hAnsi="Calibri"/>
          <w:b w:val="0"/>
          <w:i w:val="0"/>
          <w:color w:val="000000"/>
          <w:sz w:val="20"/>
        </w:rPr>
        <w:t>5.3 Investor disclosure. Before each Qualifying Equity Closing, Founder shall disclose existence of this Side Letter to Third Party Investor under NDA. Share Sale Participation Fee should appear in term sheet if paid from Company.</w:t>
      </w:r>
    </w:p>
    <w:p>
      <w:pPr>
        <w:jc w:val="both"/>
      </w:pPr>
      <w:r>
        <w:rPr>
          <w:rFonts w:ascii="Calibri" w:hAnsi="Calibri"/>
          <w:b w:val="0"/>
          <w:i w:val="0"/>
          <w:color w:val="000000"/>
          <w:sz w:val="20"/>
        </w:rPr>
        <w:t>5.4 Protected Matter. Amendment or termination of this Side Letter requires unanimous written consent of Founder and MD — mirror Consultancy Agreement Protected Matter in Articles.</w:t>
      </w:r>
    </w:p>
    <w:p>
      <w:pPr>
        <w:jc w:val="both"/>
      </w:pPr>
      <w:r>
        <w:rPr>
          <w:rFonts w:ascii="Calibri" w:hAnsi="Calibri"/>
          <w:b w:val="0"/>
          <w:i w:val="0"/>
          <w:color w:val="000000"/>
          <w:sz w:val="20"/>
        </w:rPr>
        <w:t>5.5 Anti-dilution (MD fallback shares only). Until a bona fide third-party round above Equity Pool Cap, MD’s Fallback Equity shall not be diluted by founder-only issuances without MD consent.</w:t>
      </w:r>
    </w:p>
    <w:p>
      <w:pPr>
        <w:spacing w:before="240"/>
      </w:pPr>
      <w:r>
        <w:rPr>
          <w:rFonts w:ascii="Calibri" w:hAnsi="Calibri"/>
          <w:b/>
          <w:i w:val="0"/>
          <w:color w:val="C9A432"/>
          <w:sz w:val="24"/>
        </w:rPr>
        <w:t>6. Relationship to other documents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Document</w:t>
            </w:r>
          </w:p>
        </w:tc>
        <w:tc>
          <w:tcPr>
            <w:tcW w:type="dxa" w:w="4703"/>
            <w:shd w:fill="1A365D" w:val="clear"/>
          </w:tcPr>
          <w:p>
            <w:r/>
            <w:r>
              <w:rPr>
                <w:rFonts w:ascii="Calibri" w:hAnsi="Calibri"/>
                <w:b/>
                <w:i w:val="0"/>
                <w:color w:val="FFFFFF"/>
                <w:sz w:val="18"/>
              </w:rPr>
              <w:t>Relationship</w:t>
            </w:r>
          </w:p>
        </w:tc>
      </w:tr>
      <w:tr>
        <w:tc>
          <w:tcPr>
            <w:tcW w:type="dxa" w:w="4703"/>
          </w:tcPr>
          <w:p>
            <w:r/>
            <w:r>
              <w:rPr>
                <w:rFonts w:ascii="Calibri" w:hAnsi="Calibri"/>
                <w:b w:val="0"/>
                <w:i w:val="0"/>
                <w:color w:val="000000"/>
                <w:sz w:val="18"/>
              </w:rPr>
              <w:t>Moi Ostrov Consultancy Agreement</w:t>
            </w:r>
          </w:p>
        </w:tc>
        <w:tc>
          <w:tcPr>
            <w:tcW w:type="dxa" w:w="4703"/>
          </w:tcPr>
          <w:p>
            <w:r/>
            <w:r>
              <w:rPr>
                <w:rFonts w:ascii="Calibri" w:hAnsi="Calibri"/>
                <w:b w:val="0"/>
                <w:i w:val="0"/>
                <w:color w:val="000000"/>
                <w:sz w:val="18"/>
              </w:rPr>
              <w:t>Operating — 30% Net Margin, Part A / Part B</w:t>
            </w:r>
          </w:p>
        </w:tc>
      </w:tr>
      <w:tr>
        <w:tc>
          <w:tcPr>
            <w:tcW w:type="dxa" w:w="4703"/>
          </w:tcPr>
          <w:p>
            <w:r/>
            <w:r>
              <w:rPr>
                <w:rFonts w:ascii="Calibri" w:hAnsi="Calibri"/>
                <w:b w:val="0"/>
                <w:i w:val="0"/>
                <w:color w:val="000000"/>
                <w:sz w:val="18"/>
              </w:rPr>
              <w:t>This Side Letter</w:t>
            </w:r>
          </w:p>
        </w:tc>
        <w:tc>
          <w:tcPr>
            <w:tcW w:type="dxa" w:w="4703"/>
          </w:tcPr>
          <w:p>
            <w:r/>
            <w:r>
              <w:rPr>
                <w:rFonts w:ascii="Calibri" w:hAnsi="Calibri"/>
                <w:b w:val="0"/>
                <w:i w:val="0"/>
                <w:color w:val="000000"/>
                <w:sz w:val="18"/>
              </w:rPr>
              <w:t>Capital — 30% of subscription cash + unsold % up to 25%</w:t>
            </w:r>
          </w:p>
        </w:tc>
      </w:tr>
      <w:tr>
        <w:tc>
          <w:tcPr>
            <w:tcW w:type="dxa" w:w="4703"/>
          </w:tcPr>
          <w:p>
            <w:r/>
            <w:r>
              <w:rPr>
                <w:rFonts w:ascii="Calibri" w:hAnsi="Calibri"/>
                <w:b w:val="0"/>
                <w:i w:val="0"/>
                <w:color w:val="000000"/>
                <w:sz w:val="18"/>
              </w:rPr>
              <w:t>Third-party investor term sheet</w:t>
            </w:r>
          </w:p>
        </w:tc>
        <w:tc>
          <w:tcPr>
            <w:tcW w:type="dxa" w:w="4703"/>
          </w:tcPr>
          <w:p>
            <w:r/>
            <w:r>
              <w:rPr>
                <w:rFonts w:ascii="Calibri" w:hAnsi="Calibri"/>
                <w:b w:val="0"/>
                <w:i w:val="0"/>
                <w:color w:val="000000"/>
                <w:sz w:val="18"/>
              </w:rPr>
              <w:t>Disclose participation fee; do not disclose fallback % until triggered</w:t>
            </w:r>
          </w:p>
        </w:tc>
      </w:tr>
      <w:tr>
        <w:tc>
          <w:tcPr>
            <w:tcW w:type="dxa" w:w="4703"/>
          </w:tcPr>
          <w:p>
            <w:r/>
            <w:r>
              <w:rPr>
                <w:rFonts w:ascii="Calibri" w:hAnsi="Calibri"/>
                <w:b w:val="0"/>
                <w:i w:val="0"/>
                <w:color w:val="000000"/>
                <w:sz w:val="18"/>
              </w:rPr>
              <w:t>Option A runway</w:t>
            </w:r>
          </w:p>
        </w:tc>
        <w:tc>
          <w:tcPr>
            <w:tcW w:type="dxa" w:w="4703"/>
          </w:tcPr>
          <w:p>
            <w:r/>
            <w:r>
              <w:rPr>
                <w:rFonts w:ascii="Calibri" w:hAnsi="Calibri"/>
                <w:b w:val="0"/>
                <w:i w:val="0"/>
                <w:color w:val="000000"/>
                <w:sz w:val="18"/>
              </w:rPr>
              <w:t>Independent — shareholder loan / base salary</w:t>
            </w:r>
          </w:p>
        </w:tc>
      </w:tr>
    </w:tbl>
    <w:p/>
    <w:p>
      <w:pPr>
        <w:spacing w:before="240"/>
      </w:pPr>
      <w:r>
        <w:rPr>
          <w:rFonts w:ascii="Calibri" w:hAnsi="Calibri"/>
          <w:b/>
          <w:i w:val="0"/>
          <w:color w:val="C9A432"/>
          <w:sz w:val="24"/>
        </w:rPr>
        <w:t>7. Illustrative cap table outcomes</w:t>
      </w:r>
    </w:p>
    <w:p>
      <w:pPr>
        <w:jc w:val="both"/>
      </w:pPr>
      <w:r>
        <w:rPr>
          <w:rFonts w:ascii="Calibri" w:hAnsi="Calibri"/>
          <w:b w:val="0"/>
          <w:i w:val="0"/>
          <w:color w:val="000000"/>
          <w:sz w:val="20"/>
        </w:rPr>
        <w:t>Pre-investment: Founder (via International) 100%.</w:t>
      </w:r>
    </w:p>
    <w:p>
      <w:pPr>
        <w:jc w:val="both"/>
      </w:pPr>
      <w:r>
        <w:rPr>
          <w:rFonts w:ascii="Calibri" w:hAnsi="Calibri"/>
          <w:b/>
          <w:i w:val="0"/>
          <w:color w:val="000000"/>
          <w:sz w:val="20"/>
        </w:rPr>
        <w:t>After €500k / 12.5% + MD package: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62.5%</w:t>
            </w:r>
          </w:p>
        </w:tc>
      </w:tr>
      <w:tr>
        <w:tc>
          <w:tcPr>
            <w:tcW w:type="dxa" w:w="4703"/>
          </w:tcPr>
          <w:p>
            <w:r/>
            <w:r>
              <w:rPr>
                <w:rFonts w:ascii="Calibri" w:hAnsi="Calibri"/>
                <w:b w:val="0"/>
                <w:i w:val="0"/>
                <w:color w:val="000000"/>
                <w:sz w:val="18"/>
              </w:rPr>
              <w:t>Third Party Investor</w:t>
            </w:r>
          </w:p>
        </w:tc>
        <w:tc>
          <w:tcPr>
            <w:tcW w:type="dxa" w:w="4703"/>
          </w:tcPr>
          <w:p>
            <w:r/>
            <w:r>
              <w:rPr>
                <w:rFonts w:ascii="Calibri" w:hAnsi="Calibri"/>
                <w:b w:val="0"/>
                <w:i w:val="0"/>
                <w:color w:val="000000"/>
                <w:sz w:val="18"/>
              </w:rPr>
              <w:t>12.5%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12.5%</w:t>
            </w:r>
          </w:p>
        </w:tc>
      </w:tr>
      <w:tr>
        <w:tc>
          <w:tcPr>
            <w:tcW w:type="dxa" w:w="4703"/>
          </w:tcPr>
          <w:p>
            <w:r/>
            <w:r>
              <w:rPr>
                <w:rFonts w:ascii="Calibri" w:hAnsi="Calibri"/>
                <w:b w:val="0"/>
                <w:i w:val="0"/>
                <w:color w:val="000000"/>
                <w:sz w:val="18"/>
              </w:rPr>
              <w:t>*Founder pays MD*</w:t>
            </w:r>
          </w:p>
        </w:tc>
        <w:tc>
          <w:tcPr>
            <w:tcW w:type="dxa" w:w="4703"/>
          </w:tcPr>
          <w:p>
            <w:r/>
            <w:r>
              <w:rPr>
                <w:rFonts w:ascii="Calibri" w:hAnsi="Calibri"/>
                <w:b w:val="0"/>
                <w:i w:val="0"/>
                <w:color w:val="000000"/>
                <w:sz w:val="18"/>
              </w:rPr>
              <w:t>*€150k fee (personal / International)*</w:t>
            </w:r>
          </w:p>
        </w:tc>
      </w:tr>
    </w:tbl>
    <w:p/>
    <w:p>
      <w:pPr>
        <w:jc w:val="both"/>
      </w:pPr>
      <w:r>
        <w:rPr>
          <w:rFonts w:ascii="Calibri" w:hAnsi="Calibri"/>
          <w:b/>
          <w:i w:val="0"/>
          <w:color w:val="000000"/>
          <w:sz w:val="20"/>
        </w:rPr>
        <w:t>After €1M / 25% + MD package: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75%</w:t>
            </w:r>
          </w:p>
        </w:tc>
      </w:tr>
      <w:tr>
        <w:tc>
          <w:tcPr>
            <w:tcW w:type="dxa" w:w="4703"/>
          </w:tcPr>
          <w:p>
            <w:r/>
            <w:r>
              <w:rPr>
                <w:rFonts w:ascii="Calibri" w:hAnsi="Calibri"/>
                <w:b w:val="0"/>
                <w:i w:val="0"/>
                <w:color w:val="000000"/>
                <w:sz w:val="18"/>
              </w:rPr>
              <w:t>Third Party Investor</w:t>
            </w:r>
          </w:p>
        </w:tc>
        <w:tc>
          <w:tcPr>
            <w:tcW w:type="dxa" w:w="4703"/>
          </w:tcPr>
          <w:p>
            <w:r/>
            <w:r>
              <w:rPr>
                <w:rFonts w:ascii="Calibri" w:hAnsi="Calibri"/>
                <w:b w:val="0"/>
                <w:i w:val="0"/>
                <w:color w:val="000000"/>
                <w:sz w:val="18"/>
              </w:rPr>
              <w:t>25%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0% (fee only)</w:t>
            </w:r>
          </w:p>
        </w:tc>
      </w:tr>
      <w:tr>
        <w:tc>
          <w:tcPr>
            <w:tcW w:type="dxa" w:w="4703"/>
          </w:tcPr>
          <w:p>
            <w:r/>
            <w:r>
              <w:rPr>
                <w:rFonts w:ascii="Calibri" w:hAnsi="Calibri"/>
                <w:b w:val="0"/>
                <w:i w:val="0"/>
                <w:color w:val="000000"/>
                <w:sz w:val="18"/>
              </w:rPr>
              <w:t>*Founder pays MD*</w:t>
            </w:r>
          </w:p>
        </w:tc>
        <w:tc>
          <w:tcPr>
            <w:tcW w:type="dxa" w:w="4703"/>
          </w:tcPr>
          <w:p>
            <w:r/>
            <w:r>
              <w:rPr>
                <w:rFonts w:ascii="Calibri" w:hAnsi="Calibri"/>
                <w:b w:val="0"/>
                <w:i w:val="0"/>
                <w:color w:val="000000"/>
                <w:sz w:val="18"/>
              </w:rPr>
              <w:t>*€300k fee*</w:t>
            </w:r>
          </w:p>
        </w:tc>
      </w:tr>
    </w:tbl>
    <w:p/>
    <w:p>
      <w:pPr>
        <w:jc w:val="both"/>
      </w:pPr>
      <w:r>
        <w:rPr>
          <w:rFonts w:ascii="Calibri" w:hAnsi="Calibri"/>
          <w:b/>
          <w:i w:val="0"/>
          <w:color w:val="000000"/>
          <w:sz w:val="20"/>
        </w:rPr>
        <w:t>After no investor by Longstop:</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75%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25%</w:t>
            </w:r>
          </w:p>
        </w:tc>
      </w:tr>
    </w:tbl>
    <w:p/>
    <w:p>
      <w:pPr>
        <w:spacing w:before="240"/>
      </w:pPr>
      <w:r>
        <w:rPr>
          <w:rFonts w:ascii="Calibri" w:hAnsi="Calibri"/>
          <w:b/>
          <w:i w:val="0"/>
          <w:color w:val="C9A432"/>
          <w:sz w:val="24"/>
        </w:rPr>
        <w:t>8. Signature block</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Party</w:t>
            </w:r>
          </w:p>
        </w:tc>
        <w:tc>
          <w:tcPr>
            <w:tcW w:type="dxa" w:w="4703"/>
            <w:shd w:fill="1A365D" w:val="clear"/>
          </w:tcPr>
          <w:p>
            <w:r/>
            <w:r>
              <w:rPr>
                <w:rFonts w:ascii="Calibri" w:hAnsi="Calibri"/>
                <w:b/>
                <w:i w:val="0"/>
                <w:color w:val="FFFFFF"/>
                <w:sz w:val="18"/>
              </w:rPr>
              <w:t>Signatory</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Dr. Arkadiusz Sybaris for and on behalf of Lighthief International Ltd</w:t>
            </w:r>
          </w:p>
        </w:tc>
      </w:tr>
      <w:tr>
        <w:tc>
          <w:tcPr>
            <w:tcW w:type="dxa" w:w="4703"/>
          </w:tcPr>
          <w:p>
            <w:r/>
            <w:r>
              <w:rPr>
                <w:rFonts w:ascii="Calibri" w:hAnsi="Calibri"/>
                <w:b w:val="0"/>
                <w:i w:val="0"/>
                <w:color w:val="000000"/>
                <w:sz w:val="18"/>
              </w:rPr>
              <w:t>Company</w:t>
            </w:r>
          </w:p>
        </w:tc>
        <w:tc>
          <w:tcPr>
            <w:tcW w:type="dxa" w:w="4703"/>
          </w:tcPr>
          <w:p>
            <w:r/>
            <w:r>
              <w:rPr>
                <w:rFonts w:ascii="Calibri" w:hAnsi="Calibri"/>
                <w:b w:val="0"/>
                <w:i w:val="0"/>
                <w:color w:val="000000"/>
                <w:sz w:val="18"/>
              </w:rPr>
              <w:t>Alexander Papacosta, Director (acknowledges terms; fee payor remains Founder unless counsel restructures)</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Alexander Papacosta</w:t>
            </w:r>
          </w:p>
        </w:tc>
      </w:tr>
    </w:tbl>
    <w:p/>
    <w:p>
      <w:pPr>
        <w:jc w:val="both"/>
      </w:pPr>
      <w:r>
        <w:rPr>
          <w:rFonts w:ascii="Calibri" w:hAnsi="Calibri"/>
          <w:b w:val="0"/>
          <w:i w:val="0"/>
          <w:color w:val="000000"/>
          <w:sz w:val="20"/>
        </w:rPr>
        <w:t>Annex A: Equity Pool Cap table mechanics</w:t>
      </w:r>
    </w:p>
    <w:p>
      <w:pPr>
        <w:jc w:val="both"/>
      </w:pPr>
      <w:r>
        <w:rPr>
          <w:rFonts w:ascii="Calibri" w:hAnsi="Calibri"/>
          <w:b w:val="0"/>
          <w:i w:val="0"/>
          <w:color w:val="000000"/>
          <w:sz w:val="20"/>
        </w:rPr>
        <w:t>Annex B: Good Reason definition (cross-ref employment agreement)</w:t>
      </w:r>
    </w:p>
    <w:p>
      <w:pPr>
        <w:jc w:val="both"/>
      </w:pPr>
      <w:r>
        <w:rPr>
          <w:rFonts w:ascii="Calibri" w:hAnsi="Calibri"/>
          <w:b w:val="0"/>
          <w:i w:val="0"/>
          <w:color w:val="000000"/>
          <w:sz w:val="20"/>
        </w:rPr>
        <w:t>Annex C: Shareholder loan repayment schedule (if any)</w:t>
      </w:r>
    </w:p>
    <w:p>
      <w:pPr>
        <w:jc w:val="both"/>
      </w:pPr>
      <w:r>
        <w:rPr>
          <w:rFonts w:ascii="Calibri" w:hAnsi="Calibri"/>
          <w:b w:val="0"/>
          <w:i w:val="0"/>
          <w:color w:val="000000"/>
          <w:sz w:val="20"/>
        </w:rPr>
        <w:t>End of draft — not legal advice.</w:t>
      </w:r>
    </w:p>
    <w:p/>
    <w:p>
      <w:r>
        <w:rPr>
          <w:rFonts w:ascii="Calibri" w:hAnsi="Calibri"/>
          <w:b/>
          <w:i w:val="0"/>
          <w:color w:val="C9A432"/>
          <w:sz w:val="24"/>
        </w:rPr>
        <w:t>SIGNATURES</w:t>
      </w:r>
    </w:p>
    <w:p/>
    <w:p>
      <w:r>
        <w:rPr>
          <w:rFonts w:ascii="Calibri" w:hAnsi="Calibri"/>
          <w:b/>
          <w:i w:val="0"/>
          <w:color w:val="000000"/>
          <w:sz w:val="20"/>
        </w:rPr>
        <w:t>Founder: Dr. Arkadiusz Sybaris for Lighthief International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Company: Lighthief Cyprus Ltd — Director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Alexander Papacosta</w:t>
      </w:r>
    </w:p>
    <w:p>
      <w:r>
        <w:rPr>
          <w:rFonts w:ascii="Calibri" w:hAnsi="Calibri"/>
          <w:b w:val="0"/>
          <w:i w:val="0"/>
          <w:color w:val="000000"/>
          <w:sz w:val="20"/>
        </w:rPr>
        <w:t>Signature: ______________________   Date: ______________________</w:t>
      </w:r>
    </w:p>
    <w:p>
      <w:pPr>
        <w:sectPr>
          <w:footerReference w:type="default" r:id="rId19"/>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OPTION A: FOUNDER RUNWAY &amp; MD ECONOMICS (HEADS OF TERMS)</w:t>
      </w:r>
    </w:p>
    <w:p/>
    <w:p>
      <w:pPr>
        <w:jc w:val="both"/>
      </w:pPr>
      <w:r>
        <w:rPr>
          <w:rFonts w:ascii="Calibri" w:hAnsi="Calibri"/>
          <w:b w:val="0"/>
          <w:i w:val="0"/>
          <w:color w:val="000000"/>
          <w:sz w:val="20"/>
        </w:rPr>
        <w:t>Status: TEMPLATE — requires Cyprus legal review before signature</w:t>
      </w:r>
    </w:p>
    <w:p>
      <w:pPr>
        <w:jc w:val="both"/>
      </w:pPr>
      <w:r>
        <w:rPr>
          <w:rFonts w:ascii="Calibri" w:hAnsi="Calibri"/>
          <w:b w:val="0"/>
          <w:i w:val="0"/>
          <w:color w:val="000000"/>
          <w:sz w:val="20"/>
        </w:rPr>
        <w:t>Parties (fill in): Lighthief Cyprus Ltd (“Company”) · [Founder full legal name] (“Founder”) · Alexander Papacosta (“MD”) in capacity as [Managing Director / employee — as advised]</w:t>
      </w:r>
    </w:p>
    <w:p>
      <w:pPr>
        <w:jc w:val="both"/>
      </w:pPr>
      <w:r>
        <w:rPr>
          <w:rFonts w:ascii="Calibri" w:hAnsi="Calibri"/>
          <w:b w:val="0"/>
          <w:i w:val="0"/>
          <w:color w:val="000000"/>
          <w:sz w:val="20"/>
        </w:rPr>
        <w:t>Purpose: Record binding or pre-contractual commitments so the Company can execute the client contract without relying on informal founder support. Counsel may convert this into a loan agreement, shareholder resolution, side letter, or amended SHA.</w:t>
      </w:r>
    </w:p>
    <w:p>
      <w:pPr>
        <w:spacing w:before="240"/>
      </w:pPr>
      <w:r>
        <w:rPr>
          <w:rFonts w:ascii="Calibri" w:hAnsi="Calibri"/>
          <w:b/>
          <w:i w:val="0"/>
          <w:color w:val="C9A432"/>
          <w:sz w:val="24"/>
        </w:rPr>
        <w:t>Recitals (to be adapted by counsel)</w:t>
      </w:r>
    </w:p>
    <w:p>
      <w:pPr>
        <w:pStyle w:val="ListBullet"/>
      </w:pPr>
      <w:r>
        <w:rPr>
          <w:rFonts w:ascii="Calibri" w:hAnsi="Calibri"/>
          <w:b w:val="0"/>
          <w:i w:val="0"/>
          <w:color w:val="000000"/>
          <w:sz w:val="20"/>
        </w:rPr>
        <w:t>The Company intends to enter into [describe client contract / LOI reference] (“Client Contract”).</w:t>
      </w:r>
    </w:p>
    <w:p>
      <w:pPr>
        <w:pStyle w:val="ListBullet"/>
      </w:pPr>
      <w:r>
        <w:rPr>
          <w:rFonts w:ascii="Calibri" w:hAnsi="Calibri"/>
          <w:b w:val="0"/>
          <w:i w:val="0"/>
          <w:color w:val="000000"/>
          <w:sz w:val="20"/>
        </w:rPr>
        <w:t>The MD has built sales pipeline and requires certainty on company liquidity and MD compensation to support execution.</w:t>
      </w:r>
    </w:p>
    <w:p>
      <w:pPr>
        <w:pStyle w:val="ListBullet"/>
      </w:pPr>
      <w:r>
        <w:rPr>
          <w:rFonts w:ascii="Calibri" w:hAnsi="Calibri"/>
          <w:b w:val="0"/>
          <w:i w:val="0"/>
          <w:color w:val="000000"/>
          <w:sz w:val="20"/>
        </w:rPr>
        <w:t>The Founder is willing to provide Option A support as set out below.</w:t>
      </w:r>
    </w:p>
    <w:p>
      <w:pPr>
        <w:spacing w:before="240"/>
      </w:pPr>
      <w:r>
        <w:rPr>
          <w:rFonts w:ascii="Calibri" w:hAnsi="Calibri"/>
          <w:b/>
          <w:i w:val="0"/>
          <w:color w:val="C9A432"/>
          <w:sz w:val="24"/>
        </w:rPr>
        <w:t>1. Founder liquidity support (choose one sub-structure; counsel to draft)</w:t>
      </w:r>
    </w:p>
    <w:p>
      <w:pPr>
        <w:jc w:val="both"/>
      </w:pPr>
      <w:r>
        <w:rPr>
          <w:rFonts w:ascii="Calibri" w:hAnsi="Calibri"/>
          <w:b/>
          <w:i w:val="0"/>
          <w:color w:val="000000"/>
          <w:sz w:val="20"/>
        </w:rPr>
        <w:t>1A. Shareholder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Currency</w:t>
            </w:r>
          </w:p>
        </w:tc>
        <w:tc>
          <w:tcPr>
            <w:tcW w:type="dxa" w:w="4703"/>
          </w:tcPr>
          <w:p>
            <w:r/>
            <w:r>
              <w:rPr>
                <w:rFonts w:ascii="Calibri" w:hAnsi="Calibri"/>
                <w:b w:val="0"/>
                <w:i w:val="0"/>
                <w:color w:val="000000"/>
                <w:sz w:val="18"/>
              </w:rPr>
              <w:t>EUR</w:t>
            </w:r>
          </w:p>
        </w:tc>
      </w:tr>
      <w:tr>
        <w:tc>
          <w:tcPr>
            <w:tcW w:type="dxa" w:w="4703"/>
          </w:tcPr>
          <w:p>
            <w:r/>
            <w:r>
              <w:rPr>
                <w:rFonts w:ascii="Calibri" w:hAnsi="Calibri"/>
                <w:b w:val="0"/>
                <w:i w:val="0"/>
                <w:color w:val="000000"/>
                <w:sz w:val="18"/>
              </w:rPr>
              <w:t>Purpose</w:t>
            </w:r>
          </w:p>
        </w:tc>
        <w:tc>
          <w:tcPr>
            <w:tcW w:type="dxa" w:w="4703"/>
          </w:tcPr>
          <w:p>
            <w:r/>
            <w:r>
              <w:rPr>
                <w:rFonts w:ascii="Calibri" w:hAnsi="Calibri"/>
                <w:b w:val="0"/>
                <w:i w:val="0"/>
                <w:color w:val="000000"/>
                <w:sz w:val="18"/>
              </w:rPr>
              <w:t>Working capital: payroll, premises, [VAT bridge / other — specify]</w:t>
            </w:r>
          </w:p>
        </w:tc>
      </w:tr>
      <w:tr>
        <w:tc>
          <w:tcPr>
            <w:tcW w:type="dxa" w:w="4703"/>
          </w:tcPr>
          <w:p>
            <w:r/>
            <w:r>
              <w:rPr>
                <w:rFonts w:ascii="Calibri" w:hAnsi="Calibri"/>
                <w:b w:val="0"/>
                <w:i w:val="0"/>
                <w:color w:val="000000"/>
                <w:sz w:val="18"/>
              </w:rPr>
              <w:t>Interest</w:t>
            </w:r>
          </w:p>
        </w:tc>
        <w:tc>
          <w:tcPr>
            <w:tcW w:type="dxa" w:w="4703"/>
          </w:tcPr>
          <w:p>
            <w:r/>
            <w:r>
              <w:rPr>
                <w:rFonts w:ascii="Calibri" w:hAnsi="Calibri"/>
                <w:b w:val="0"/>
                <w:i w:val="0"/>
                <w:color w:val="000000"/>
                <w:sz w:val="18"/>
              </w:rPr>
              <w:t>[None / fixed / floating — as legally permitted]</w:t>
            </w:r>
          </w:p>
        </w:tc>
      </w:tr>
      <w:tr>
        <w:tc>
          <w:tcPr>
            <w:tcW w:type="dxa" w:w="4703"/>
          </w:tcPr>
          <w:p>
            <w:r/>
            <w:r>
              <w:rPr>
                <w:rFonts w:ascii="Calibri" w:hAnsi="Calibri"/>
                <w:b w:val="0"/>
                <w:i w:val="0"/>
                <w:color w:val="000000"/>
                <w:sz w:val="18"/>
              </w:rPr>
              <w:t>Repayment</w:t>
            </w:r>
          </w:p>
        </w:tc>
        <w:tc>
          <w:tcPr>
            <w:tcW w:type="dxa" w:w="4703"/>
          </w:tcPr>
          <w:p>
            <w:r/>
            <w:r>
              <w:rPr>
                <w:rFonts w:ascii="Calibri" w:hAnsi="Calibri"/>
                <w:b w:val="0"/>
                <w:i w:val="0"/>
                <w:color w:val="000000"/>
                <w:sz w:val="18"/>
              </w:rPr>
              <w:t>[From Client Contract milestones / from distributable profits / schedule]</w:t>
            </w:r>
          </w:p>
        </w:tc>
      </w:tr>
      <w:tr>
        <w:tc>
          <w:tcPr>
            <w:tcW w:type="dxa" w:w="4703"/>
          </w:tcPr>
          <w:p>
            <w:r/>
            <w:r>
              <w:rPr>
                <w:rFonts w:ascii="Calibri" w:hAnsi="Calibri"/>
                <w:b w:val="0"/>
                <w:i w:val="0"/>
                <w:color w:val="000000"/>
                <w:sz w:val="18"/>
              </w:rPr>
              <w:t>Subordination</w:t>
            </w:r>
          </w:p>
        </w:tc>
        <w:tc>
          <w:tcPr>
            <w:tcW w:type="dxa" w:w="4703"/>
          </w:tcPr>
          <w:p>
            <w:r/>
            <w:r>
              <w:rPr>
                <w:rFonts w:ascii="Calibri" w:hAnsi="Calibri"/>
                <w:b w:val="0"/>
                <w:i w:val="0"/>
                <w:color w:val="000000"/>
                <w:sz w:val="18"/>
              </w:rPr>
              <w:t>[Subordinated to third-party lenders / pari passu — specify]</w:t>
            </w:r>
          </w:p>
        </w:tc>
      </w:tr>
      <w:tr>
        <w:tc>
          <w:tcPr>
            <w:tcW w:type="dxa" w:w="4703"/>
          </w:tcPr>
          <w:p>
            <w:r/>
            <w:r>
              <w:rPr>
                <w:rFonts w:ascii="Calibri" w:hAnsi="Calibri"/>
                <w:b w:val="0"/>
                <w:i w:val="0"/>
                <w:color w:val="000000"/>
                <w:sz w:val="18"/>
              </w:rPr>
              <w:t>Drawdown</w:t>
            </w:r>
          </w:p>
        </w:tc>
        <w:tc>
          <w:tcPr>
            <w:tcW w:type="dxa" w:w="4703"/>
          </w:tcPr>
          <w:p>
            <w:r/>
            <w:r>
              <w:rPr>
                <w:rFonts w:ascii="Calibri" w:hAnsi="Calibri"/>
                <w:b w:val="0"/>
                <w:i w:val="0"/>
                <w:color w:val="000000"/>
                <w:sz w:val="18"/>
              </w:rPr>
              <w:t>By [date] / upon Client Contract signature</w:t>
            </w:r>
          </w:p>
        </w:tc>
      </w:tr>
      <w:tr>
        <w:tc>
          <w:tcPr>
            <w:tcW w:type="dxa" w:w="4703"/>
          </w:tcPr>
          <w:p>
            <w:r/>
            <w:r>
              <w:rPr>
                <w:rFonts w:ascii="Calibri" w:hAnsi="Calibri"/>
                <w:b w:val="0"/>
                <w:i w:val="0"/>
                <w:color w:val="000000"/>
                <w:sz w:val="18"/>
              </w:rPr>
              <w:t>Condition</w:t>
            </w:r>
          </w:p>
        </w:tc>
        <w:tc>
          <w:tcPr>
            <w:tcW w:type="dxa" w:w="4703"/>
          </w:tcPr>
          <w:p>
            <w:r/>
            <w:r>
              <w:rPr>
                <w:rFonts w:ascii="Calibri" w:hAnsi="Calibri"/>
                <w:b w:val="0"/>
                <w:i w:val="0"/>
                <w:color w:val="000000"/>
                <w:sz w:val="18"/>
              </w:rPr>
              <w:t>[Optional] Drawdown available only if Client Contract signed by [date]</w:t>
            </w:r>
          </w:p>
        </w:tc>
      </w:tr>
    </w:tbl>
    <w:p/>
    <w:p>
      <w:pPr>
        <w:jc w:val="both"/>
      </w:pPr>
      <w:r>
        <w:rPr>
          <w:rFonts w:ascii="Calibri" w:hAnsi="Calibri"/>
          <w:b w:val="0"/>
          <w:i w:val="0"/>
          <w:color w:val="000000"/>
          <w:sz w:val="20"/>
        </w:rPr>
        <w:t>1B. Paid-in capital / equity injection (alternative to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Form</w:t>
            </w:r>
          </w:p>
        </w:tc>
        <w:tc>
          <w:tcPr>
            <w:tcW w:type="dxa" w:w="4703"/>
          </w:tcPr>
          <w:p>
            <w:r/>
            <w:r>
              <w:rPr>
                <w:rFonts w:ascii="Calibri" w:hAnsi="Calibri"/>
                <w:b w:val="0"/>
                <w:i w:val="0"/>
                <w:color w:val="000000"/>
                <w:sz w:val="18"/>
              </w:rPr>
              <w:t>Cash subscription / capital increase</w:t>
            </w:r>
          </w:p>
        </w:tc>
      </w:tr>
      <w:tr>
        <w:tc>
          <w:tcPr>
            <w:tcW w:type="dxa" w:w="4703"/>
          </w:tcPr>
          <w:p>
            <w:r/>
            <w:r>
              <w:rPr>
                <w:rFonts w:ascii="Calibri" w:hAnsi="Calibri"/>
                <w:b w:val="0"/>
                <w:i w:val="0"/>
                <w:color w:val="000000"/>
                <w:sz w:val="18"/>
              </w:rPr>
              <w:t>Valuation / shares</w:t>
            </w:r>
          </w:p>
        </w:tc>
        <w:tc>
          <w:tcPr>
            <w:tcW w:type="dxa" w:w="4703"/>
          </w:tcPr>
          <w:p>
            <w:r/>
            <w:r>
              <w:rPr>
                <w:rFonts w:ascii="Calibri" w:hAnsi="Calibri"/>
                <w:b w:val="0"/>
                <w:i w:val="0"/>
                <w:color w:val="000000"/>
                <w:sz w:val="18"/>
              </w:rPr>
              <w:t>[Per counsel and existing SHA]</w:t>
            </w:r>
          </w:p>
        </w:tc>
      </w:tr>
    </w:tbl>
    <w:p/>
    <w:p>
      <w:pPr>
        <w:spacing w:before="240"/>
      </w:pPr>
      <w:r>
        <w:rPr>
          <w:rFonts w:ascii="Calibri" w:hAnsi="Calibri"/>
          <w:b/>
          <w:i w:val="0"/>
          <w:color w:val="C9A432"/>
          <w:sz w:val="24"/>
        </w:rPr>
        <w:t>2. Premises &amp; in-kind (if relevant)</w:t>
      </w:r>
    </w:p>
    <w:p>
      <w:pPr>
        <w:pStyle w:val="ListBullet"/>
      </w:pPr>
      <w:r>
        <w:rPr>
          <w:rFonts w:ascii="Calibri" w:hAnsi="Calibri"/>
          <w:b w:val="0"/>
          <w:i w:val="0"/>
          <w:color w:val="000000"/>
          <w:sz w:val="20"/>
        </w:rPr>
        <w:t>Office and/or warehouse: If Founder provides premises, either (a) arm’s-length lease at €[6,700] / month or (b) documented contribution in kind with value and board approval — as counsel advises.</w:t>
      </w:r>
    </w:p>
    <w:p>
      <w:pPr>
        <w:pStyle w:val="ListBullet"/>
      </w:pPr>
      <w:r>
        <w:rPr>
          <w:rFonts w:ascii="Calibri" w:hAnsi="Calibri"/>
          <w:b w:val="0"/>
          <w:i w:val="0"/>
          <w:color w:val="000000"/>
          <w:sz w:val="20"/>
        </w:rPr>
        <w:t>Vehicle: Same — lease or documented benefit; tax treatment per accountant.</w:t>
      </w:r>
    </w:p>
    <w:p>
      <w:pPr>
        <w:spacing w:before="240"/>
      </w:pPr>
      <w:r>
        <w:rPr>
          <w:rFonts w:ascii="Calibri" w:hAnsi="Calibri"/>
          <w:b/>
          <w:i w:val="0"/>
          <w:color w:val="C9A432"/>
          <w:sz w:val="24"/>
        </w:rPr>
        <w:t>3. MD compensation (Founder acknowledges)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Element</w:t>
            </w:r>
          </w:p>
        </w:tc>
        <w:tc>
          <w:tcPr>
            <w:tcW w:type="dxa" w:w="4703"/>
            <w:shd w:fill="1A365D" w:val="clear"/>
          </w:tcPr>
          <w:p>
            <w:r/>
            <w:r>
              <w:rPr>
                <w:rFonts w:ascii="Calibri" w:hAnsi="Calibri"/>
                <w:b/>
                <w:i w:val="0"/>
                <w:color w:val="FFFFFF"/>
                <w:sz w:val="18"/>
              </w:rPr>
              <w:t>Mechanism</w:t>
            </w:r>
          </w:p>
        </w:tc>
      </w:tr>
      <w:tr>
        <w:tc>
          <w:tcPr>
            <w:tcW w:type="dxa" w:w="4703"/>
          </w:tcPr>
          <w:p>
            <w:r/>
            <w:r>
              <w:rPr>
                <w:rFonts w:ascii="Calibri" w:hAnsi="Calibri"/>
                <w:b w:val="0"/>
                <w:i w:val="0"/>
                <w:color w:val="000000"/>
                <w:sz w:val="18"/>
              </w:rPr>
              <w:t>Employment salary (pre-EPC)</w:t>
            </w:r>
          </w:p>
        </w:tc>
        <w:tc>
          <w:tcPr>
            <w:tcW w:type="dxa" w:w="4703"/>
          </w:tcPr>
          <w:p>
            <w:r/>
            <w:r>
              <w:rPr>
                <w:rFonts w:ascii="Calibri" w:hAnsi="Calibri"/>
                <w:b w:val="0"/>
                <w:i w:val="0"/>
                <w:color w:val="000000"/>
                <w:sz w:val="18"/>
              </w:rPr>
              <w:t>€2,000 net/month from 1 July 2025 — formalised in LCY-EMP-AP-2026-001; shareholder ratification LCY-SHR-EMP-2026-001</w:t>
            </w:r>
          </w:p>
        </w:tc>
      </w:tr>
      <w:tr>
        <w:tc>
          <w:tcPr>
            <w:tcW w:type="dxa" w:w="4703"/>
          </w:tcPr>
          <w:p>
            <w:r/>
            <w:r>
              <w:rPr>
                <w:rFonts w:ascii="Calibri" w:hAnsi="Calibri"/>
                <w:b w:val="0"/>
                <w:i w:val="0"/>
                <w:color w:val="000000"/>
                <w:sz w:val="18"/>
              </w:rPr>
              <w:t>Employment salary (from EPC sign)</w:t>
            </w:r>
          </w:p>
        </w:tc>
        <w:tc>
          <w:tcPr>
            <w:tcW w:type="dxa" w:w="4703"/>
          </w:tcPr>
          <w:p>
            <w:r/>
            <w:r>
              <w:rPr>
                <w:rFonts w:ascii="Calibri" w:hAnsi="Calibri"/>
                <w:b w:val="0"/>
                <w:i w:val="0"/>
                <w:color w:val="000000"/>
                <w:sz w:val="18"/>
              </w:rPr>
              <w:t>€5,000 gross/month from Galascope EPC Effective Date (signed &amp; stamped both parties)</w:t>
            </w:r>
          </w:p>
        </w:tc>
      </w:tr>
      <w:tr>
        <w:tc>
          <w:tcPr>
            <w:tcW w:type="dxa" w:w="4703"/>
          </w:tcPr>
          <w:p>
            <w:r/>
            <w:r>
              <w:rPr>
                <w:rFonts w:ascii="Calibri" w:hAnsi="Calibri"/>
                <w:b w:val="0"/>
                <w:i w:val="0"/>
                <w:color w:val="000000"/>
                <w:sz w:val="18"/>
              </w:rPr>
              <w:t>Introducer / commission</w:t>
            </w:r>
          </w:p>
        </w:tc>
        <w:tc>
          <w:tcPr>
            <w:tcW w:type="dxa" w:w="4703"/>
          </w:tcPr>
          <w:p>
            <w:r/>
            <w:r>
              <w:rPr>
                <w:rFonts w:ascii="Calibri" w:hAnsi="Calibri"/>
                <w:b w:val="0"/>
                <w:i w:val="0"/>
                <w:color w:val="000000"/>
                <w:sz w:val="18"/>
              </w:rPr>
              <w:t>Per Moi Ostrov agreement (LCY-MOI-TOCA-2026-001) only — no duplicate commission in this document</w:t>
            </w:r>
          </w:p>
        </w:tc>
      </w:tr>
      <w:tr>
        <w:tc>
          <w:tcPr>
            <w:tcW w:type="dxa" w:w="4703"/>
          </w:tcPr>
          <w:p>
            <w:r/>
            <w:r>
              <w:rPr>
                <w:rFonts w:ascii="Calibri" w:hAnsi="Calibri"/>
                <w:b w:val="0"/>
                <w:i w:val="0"/>
                <w:color w:val="000000"/>
                <w:sz w:val="18"/>
              </w:rPr>
              <w:t>Accrued / informal periods</w:t>
            </w:r>
          </w:p>
        </w:tc>
        <w:tc>
          <w:tcPr>
            <w:tcW w:type="dxa" w:w="4703"/>
          </w:tcPr>
          <w:p>
            <w:r/>
            <w:r>
              <w:rPr>
                <w:rFonts w:ascii="Calibri" w:hAnsi="Calibri"/>
                <w:b w:val="0"/>
                <w:i w:val="0"/>
                <w:color w:val="000000"/>
                <w:sz w:val="18"/>
              </w:rPr>
              <w:t>Ratified in shareholder employment resolution; payroll adviser to confirm gross equivalents for net periods</w:t>
            </w:r>
          </w:p>
        </w:tc>
      </w:tr>
      <w:tr>
        <w:tc>
          <w:tcPr>
            <w:tcW w:type="dxa" w:w="4703"/>
          </w:tcPr>
          <w:p>
            <w:r/>
            <w:r>
              <w:rPr>
                <w:rFonts w:ascii="Calibri" w:hAnsi="Calibri"/>
                <w:b w:val="0"/>
                <w:i w:val="0"/>
                <w:color w:val="000000"/>
                <w:sz w:val="18"/>
              </w:rPr>
              <w:t>Deferral</w:t>
            </w:r>
          </w:p>
        </w:tc>
        <w:tc>
          <w:tcPr>
            <w:tcW w:type="dxa" w:w="4703"/>
          </w:tcPr>
          <w:p>
            <w:r/>
            <w:r>
              <w:rPr>
                <w:rFonts w:ascii="Calibri" w:hAnsi="Calibri"/>
                <w:b w:val="0"/>
                <w:i w:val="0"/>
                <w:color w:val="000000"/>
                <w:sz w:val="18"/>
              </w:rPr>
              <w:t>Any deferral of salary documented as accrued liability in Company books</w:t>
            </w:r>
          </w:p>
        </w:tc>
      </w:tr>
    </w:tbl>
    <w:p/>
    <w:p>
      <w:pPr>
        <w:spacing w:before="240"/>
      </w:pPr>
      <w:r>
        <w:rPr>
          <w:rFonts w:ascii="Calibri" w:hAnsi="Calibri"/>
          <w:b/>
          <w:i w:val="0"/>
          <w:color w:val="C9A432"/>
          <w:sz w:val="24"/>
        </w:rPr>
        <w:t>4. Governance</w:t>
      </w:r>
    </w:p>
    <w:p>
      <w:pPr>
        <w:pStyle w:val="ListBullet"/>
      </w:pPr>
      <w:r>
        <w:rPr>
          <w:rFonts w:ascii="Calibri" w:hAnsi="Calibri"/>
          <w:b w:val="0"/>
          <w:i w:val="0"/>
          <w:color w:val="000000"/>
          <w:sz w:val="20"/>
        </w:rPr>
        <w:t>Board reporting: [Monthly] liquidity report to board / Founder during Client Contract execution phase.</w:t>
      </w:r>
    </w:p>
    <w:p>
      <w:pPr>
        <w:pStyle w:val="ListBullet"/>
      </w:pPr>
      <w:r>
        <w:rPr>
          <w:rFonts w:ascii="Calibri" w:hAnsi="Calibri"/>
          <w:b w:val="0"/>
          <w:i w:val="0"/>
          <w:color w:val="000000"/>
          <w:sz w:val="20"/>
        </w:rPr>
        <w:t>Reserved matters: [List: additional borrowings, guarantees above €X, new share issues — per counsel]</w:t>
      </w:r>
    </w:p>
    <w:p>
      <w:pPr>
        <w:spacing w:before="240"/>
      </w:pPr>
      <w:r>
        <w:rPr>
          <w:rFonts w:ascii="Calibri" w:hAnsi="Calibri"/>
          <w:b/>
          <w:i w:val="0"/>
          <w:color w:val="C9A432"/>
          <w:sz w:val="24"/>
        </w:rPr>
        <w:t>5. Condition precedent (optional — counsel to draft)</w:t>
      </w:r>
    </w:p>
    <w:p>
      <w:pPr>
        <w:jc w:val="both"/>
      </w:pPr>
      <w:r>
        <w:rPr>
          <w:rFonts w:ascii="Calibri" w:hAnsi="Calibri"/>
          <w:b w:val="0"/>
          <w:i w:val="0"/>
          <w:color w:val="000000"/>
          <w:sz w:val="20"/>
        </w:rPr>
        <w:t>Example:* Founder’s obligation to advance the loan / capital is conditional upon [Client Contract executed by [date] / MD remaining MD / other].</w:t>
      </w:r>
    </w:p>
    <w:p>
      <w:pPr>
        <w:jc w:val="both"/>
      </w:pPr>
      <w:r>
        <w:rPr>
          <w:rFonts w:ascii="Calibri" w:hAnsi="Calibri"/>
          <w:b w:val="0"/>
          <w:i w:val="0"/>
          <w:color w:val="000000"/>
          <w:sz w:val="20"/>
        </w:rPr>
        <w:t>Alternative:* Commitments are unconditional but MD’s recommendation to sign Client Contract is subject to separate board resolution.</w:t>
      </w:r>
    </w:p>
    <w:p>
      <w:pPr>
        <w:spacing w:before="240"/>
      </w:pPr>
      <w:r>
        <w:rPr>
          <w:rFonts w:ascii="Calibri" w:hAnsi="Calibri"/>
          <w:b/>
          <w:i w:val="0"/>
          <w:color w:val="C9A432"/>
          <w:sz w:val="24"/>
        </w:rPr>
        <w:t>6. Representations &amp; boilerplate (counsel to insert)</w:t>
      </w:r>
    </w:p>
    <w:p>
      <w:pPr>
        <w:pStyle w:val="ListBullet"/>
      </w:pPr>
      <w:r>
        <w:rPr>
          <w:rFonts w:ascii="Calibri" w:hAnsi="Calibri"/>
          <w:b w:val="0"/>
          <w:i w:val="0"/>
          <w:color w:val="000000"/>
          <w:sz w:val="20"/>
        </w:rPr>
        <w:t>Authority to bind Company; Founder capacity; no conflict with existing SHA; governing law Republic of Cyprus; jurisdiction [Cyprus courts / arbitration]; confidentiality; entire agreement; counterparts.</w:t>
      </w:r>
    </w:p>
    <w:p>
      <w:pPr>
        <w:spacing w:before="240"/>
      </w:pPr>
      <w:r>
        <w:rPr>
          <w:rFonts w:ascii="Calibri" w:hAnsi="Calibri"/>
          <w:b/>
          <w:i w:val="0"/>
          <w:color w:val="C9A432"/>
          <w:sz w:val="24"/>
        </w:rPr>
        <w:t>7. Cross-reference — equity participation</w:t>
      </w:r>
    </w:p>
    <w:p>
      <w:pPr>
        <w:jc w:val="both"/>
      </w:pPr>
      <w:r>
        <w:rPr>
          <w:rFonts w:ascii="Calibri" w:hAnsi="Calibri"/>
          <w:b w:val="0"/>
          <w:i w:val="0"/>
          <w:color w:val="000000"/>
          <w:sz w:val="20"/>
        </w:rPr>
        <w:t>The MD equity participation package (30% share sale fee, fallback equity to 25% pool, dividend lock) is set out in the operative side letter `DRAFT-EQUITY-PARTICIPATION-SIDE-LETTER.md` (ref LCY-MD-EQ-2026-001). Option A runway terms are independent of that instrument.</w:t>
      </w:r>
    </w:p>
    <w:p>
      <w:pPr>
        <w:spacing w:before="240"/>
      </w:pPr>
      <w:r>
        <w:rPr>
          <w:rFonts w:ascii="Calibri" w:hAnsi="Calibri"/>
          <w:b/>
          <w:i w:val="0"/>
          <w:color w:val="C9A432"/>
          <w:sz w:val="24"/>
        </w:rPr>
        <w:t>8. MD equity participation package (share sale fee + fallback up to 25%)</w:t>
      </w:r>
    </w:p>
    <w:p>
      <w:pPr>
        <w:jc w:val="both"/>
      </w:pPr>
      <w:r>
        <w:rPr>
          <w:rFonts w:ascii="Calibri" w:hAnsi="Calibri"/>
          <w:b w:val="0"/>
          <w:i w:val="0"/>
          <w:color w:val="000000"/>
          <w:sz w:val="20"/>
        </w:rPr>
        <w:t>Use when: Founder has verbally agreed: (i) 30% of any third-party share sale to MD, and (ii) any unsold portion of a 25% equity pool is granted to MD, with (iii) no dividends for 3 years.</w:t>
      </w:r>
    </w:p>
    <w:p>
      <w:pPr>
        <w:jc w:val="both"/>
      </w:pPr>
      <w:r>
        <w:rPr>
          <w:rFonts w:ascii="Calibri" w:hAnsi="Calibri"/>
          <w:b w:val="0"/>
          <w:i w:val="0"/>
          <w:color w:val="000000"/>
          <w:sz w:val="20"/>
        </w:rPr>
        <w:t>Full draft: `DRAFT-EQUITY-PARTICIPATION-SIDE-LETTER.md` — counsel converts to executable side letter + SHA amendment.</w:t>
      </w:r>
    </w:p>
    <w:p>
      <w:pPr>
        <w:jc w:val="both"/>
      </w:pPr>
      <w:r>
        <w:rPr>
          <w:rFonts w:ascii="Calibri" w:hAnsi="Calibri"/>
          <w:b w:val="0"/>
          <w:i w:val="0"/>
          <w:color w:val="000000"/>
          <w:sz w:val="20"/>
        </w:rPr>
        <w:t>Separate from Moi Ostrov commission (30% Net Margin on EPC). Both can coexist — different bases.</w:t>
      </w:r>
    </w:p>
    <w:p>
      <w:r>
        <w:rPr>
          <w:rFonts w:ascii="Calibri" w:hAnsi="Calibri"/>
          <w:b/>
          <w:i w:val="0"/>
          <w:color w:val="1A365D"/>
          <w:sz w:val="22"/>
        </w:rPr>
        <w:t>8.1 Economics (single formula)</w:t>
      </w:r>
    </w:p>
    <w:p>
      <w:pPr>
        <w:jc w:val="both"/>
      </w:pPr>
      <w:r>
        <w:rPr>
          <w:rFonts w:ascii="Calibri" w:hAnsi="Calibri"/>
          <w:b w:val="0"/>
          <w:i w:val="0"/>
          <w:color w:val="000000"/>
          <w:sz w:val="20"/>
        </w:rPr>
        <w:t>| Equity Pool Cap | 25% of fully diluted LCY — max available to third parties + MD fallback |</w:t>
      </w:r>
    </w:p>
    <w:p>
      <w:pPr>
        <w:jc w:val="both"/>
      </w:pPr>
      <w:r>
        <w:rPr>
          <w:rFonts w:ascii="Calibri" w:hAnsi="Calibri"/>
          <w:b w:val="0"/>
          <w:i w:val="0"/>
          <w:color w:val="000000"/>
          <w:sz w:val="20"/>
        </w:rPr>
        <w:t>| Share Sale Participation Fee | 30% × Gross Subscription Amount on each third-party closing, within 14 days |</w:t>
      </w:r>
    </w:p>
    <w:p>
      <w:pPr>
        <w:jc w:val="both"/>
      </w:pPr>
      <w:r>
        <w:rPr>
          <w:rFonts w:ascii="Calibri" w:hAnsi="Calibri"/>
          <w:b w:val="0"/>
          <w:i w:val="0"/>
          <w:color w:val="000000"/>
          <w:sz w:val="20"/>
        </w:rPr>
        <w:t>| Fallback Equity | 25% − Cumulative Sold % to MD (nil consideration — tax counsel) |</w:t>
      </w:r>
    </w:p>
    <w:p>
      <w:pPr>
        <w:jc w:val="both"/>
      </w:pPr>
      <w:r>
        <w:rPr>
          <w:rFonts w:ascii="Calibri" w:hAnsi="Calibri"/>
          <w:b/>
          <w:i w:val="0"/>
          <w:color w:val="000000"/>
          <w:sz w:val="20"/>
        </w:rPr>
        <w:t>Examples: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Outcome</w:t>
            </w:r>
          </w:p>
        </w:tc>
        <w:tc>
          <w:tcPr>
            <w:tcW w:type="dxa" w:w="3135"/>
            <w:shd w:fill="1A365D" w:val="clear"/>
          </w:tcPr>
          <w:p>
            <w:r/>
            <w:r>
              <w:rPr>
                <w:rFonts w:ascii="Calibri" w:hAnsi="Calibri"/>
                <w:b/>
                <w:i w:val="0"/>
                <w:color w:val="FFFFFF"/>
                <w:sz w:val="18"/>
              </w:rPr>
              <w:t>MD cash (30% fee)</w:t>
            </w:r>
          </w:p>
        </w:tc>
        <w:tc>
          <w:tcPr>
            <w:tcW w:type="dxa" w:w="3135"/>
            <w:shd w:fill="1A365D" w:val="clear"/>
          </w:tcPr>
          <w:p>
            <w:r/>
            <w:r>
              <w:rPr>
                <w:rFonts w:ascii="Calibri" w:hAnsi="Calibri"/>
                <w:b/>
                <w:i w:val="0"/>
                <w:color w:val="FFFFFF"/>
                <w:sz w:val="18"/>
              </w:rPr>
              <w:t>MD shares</w:t>
            </w:r>
          </w:p>
        </w:tc>
      </w:tr>
      <w:tr>
        <w:tc>
          <w:tcPr>
            <w:tcW w:type="dxa" w:w="3135"/>
          </w:tcPr>
          <w:p>
            <w:r/>
            <w:r>
              <w:rPr>
                <w:rFonts w:ascii="Calibri" w:hAnsi="Calibri"/>
                <w:b w:val="0"/>
                <w:i w:val="0"/>
                <w:color w:val="000000"/>
                <w:sz w:val="18"/>
              </w:rPr>
              <w:t>No investor by longstop</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25%</w:t>
            </w:r>
          </w:p>
        </w:tc>
      </w:tr>
      <w:tr>
        <w:tc>
          <w:tcPr>
            <w:tcW w:type="dxa" w:w="3135"/>
          </w:tcPr>
          <w:p>
            <w:r/>
            <w:r>
              <w:rPr>
                <w:rFonts w:ascii="Calibri" w:hAnsi="Calibri"/>
                <w:b w:val="0"/>
                <w:i w:val="0"/>
                <w:color w:val="000000"/>
                <w:sz w:val="18"/>
              </w:rPr>
              <w:t>Third party €500k / 12.5%</w:t>
            </w:r>
          </w:p>
        </w:tc>
        <w:tc>
          <w:tcPr>
            <w:tcW w:type="dxa" w:w="3135"/>
          </w:tcPr>
          <w:p>
            <w:r/>
            <w:r>
              <w:rPr>
                <w:rFonts w:ascii="Calibri" w:hAnsi="Calibri"/>
                <w:b w:val="0"/>
                <w:i w:val="0"/>
                <w:color w:val="000000"/>
                <w:sz w:val="18"/>
              </w:rPr>
              <w:t>€150,000</w:t>
            </w:r>
          </w:p>
        </w:tc>
        <w:tc>
          <w:tcPr>
            <w:tcW w:type="dxa" w:w="3135"/>
          </w:tcPr>
          <w:p>
            <w:r/>
            <w:r>
              <w:rPr>
                <w:rFonts w:ascii="Calibri" w:hAnsi="Calibri"/>
                <w:b w:val="0"/>
                <w:i w:val="0"/>
                <w:color w:val="000000"/>
                <w:sz w:val="18"/>
              </w:rPr>
              <w:t>12.5%</w:t>
            </w:r>
          </w:p>
        </w:tc>
      </w:tr>
      <w:tr>
        <w:tc>
          <w:tcPr>
            <w:tcW w:type="dxa" w:w="3135"/>
          </w:tcPr>
          <w:p>
            <w:r/>
            <w:r>
              <w:rPr>
                <w:rFonts w:ascii="Calibri" w:hAnsi="Calibri"/>
                <w:b w:val="0"/>
                <w:i w:val="0"/>
                <w:color w:val="000000"/>
                <w:sz w:val="18"/>
              </w:rPr>
              <w:t>Third party €1M / 25%</w:t>
            </w:r>
          </w:p>
        </w:tc>
        <w:tc>
          <w:tcPr>
            <w:tcW w:type="dxa" w:w="3135"/>
          </w:tcPr>
          <w:p>
            <w:r/>
            <w:r>
              <w:rPr>
                <w:rFonts w:ascii="Calibri" w:hAnsi="Calibri"/>
                <w:b w:val="0"/>
                <w:i w:val="0"/>
                <w:color w:val="000000"/>
                <w:sz w:val="18"/>
              </w:rPr>
              <w:t>€300,000</w:t>
            </w:r>
          </w:p>
        </w:tc>
        <w:tc>
          <w:tcPr>
            <w:tcW w:type="dxa" w:w="3135"/>
          </w:tcPr>
          <w:p>
            <w:r/>
            <w:r>
              <w:rPr>
                <w:rFonts w:ascii="Calibri" w:hAnsi="Calibri"/>
                <w:b w:val="0"/>
                <w:i w:val="0"/>
                <w:color w:val="000000"/>
                <w:sz w:val="18"/>
              </w:rPr>
              <w:t>0%</w:t>
            </w:r>
          </w:p>
        </w:tc>
      </w:tr>
    </w:tbl>
    <w:p/>
    <w:p>
      <w:r>
        <w:rPr>
          <w:rFonts w:ascii="Calibri" w:hAnsi="Calibri"/>
          <w:b/>
          <w:i w:val="0"/>
          <w:color w:val="1A365D"/>
          <w:sz w:val="22"/>
        </w:rPr>
        <w:t>8.2 When it triggers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Event</w:t>
            </w:r>
          </w:p>
        </w:tc>
        <w:tc>
          <w:tcPr>
            <w:tcW w:type="dxa" w:w="4703"/>
            <w:shd w:fill="1A365D" w:val="clear"/>
          </w:tcPr>
          <w:p>
            <w:r/>
            <w:r>
              <w:rPr>
                <w:rFonts w:ascii="Calibri" w:hAnsi="Calibri"/>
                <w:b/>
                <w:i w:val="0"/>
                <w:color w:val="FFFFFF"/>
                <w:sz w:val="18"/>
              </w:rPr>
              <w:t>What fires</w:t>
            </w:r>
          </w:p>
        </w:tc>
      </w:tr>
      <w:tr>
        <w:tc>
          <w:tcPr>
            <w:tcW w:type="dxa" w:w="4703"/>
          </w:tcPr>
          <w:p>
            <w:r/>
            <w:r>
              <w:rPr>
                <w:rFonts w:ascii="Calibri" w:hAnsi="Calibri"/>
                <w:b w:val="0"/>
                <w:i w:val="0"/>
                <w:color w:val="000000"/>
                <w:sz w:val="18"/>
              </w:rPr>
              <w:t>Each Qualifying Equity Closing</w:t>
            </w:r>
          </w:p>
        </w:tc>
        <w:tc>
          <w:tcPr>
            <w:tcW w:type="dxa" w:w="4703"/>
          </w:tcPr>
          <w:p>
            <w:r/>
            <w:r>
              <w:rPr>
                <w:rFonts w:ascii="Calibri" w:hAnsi="Calibri"/>
                <w:b w:val="0"/>
                <w:i w:val="0"/>
                <w:color w:val="000000"/>
                <w:sz w:val="18"/>
              </w:rPr>
              <w:t>30% fee on that tranche’s cash; optional immediate fallback grant of unsold %</w:t>
            </w:r>
          </w:p>
        </w:tc>
      </w:tr>
      <w:tr>
        <w:tc>
          <w:tcPr>
            <w:tcW w:type="dxa" w:w="4703"/>
          </w:tcPr>
          <w:p>
            <w:r/>
            <w:r>
              <w:rPr>
                <w:rFonts w:ascii="Calibri" w:hAnsi="Calibri"/>
                <w:b w:val="0"/>
                <w:i w:val="0"/>
                <w:color w:val="000000"/>
                <w:sz w:val="18"/>
              </w:rPr>
              <w:t>Longstop (e.g. Galascope EPC + 180 days)</w:t>
            </w:r>
          </w:p>
        </w:tc>
        <w:tc>
          <w:tcPr>
            <w:tcW w:type="dxa" w:w="4703"/>
          </w:tcPr>
          <w:p>
            <w:r/>
            <w:r>
              <w:rPr>
                <w:rFonts w:ascii="Calibri" w:hAnsi="Calibri"/>
                <w:b w:val="0"/>
                <w:i w:val="0"/>
                <w:color w:val="000000"/>
                <w:sz w:val="18"/>
              </w:rPr>
              <w:t>Top-up: any Unsold Pool % still held by Founder → grant to MD within 30 days</w:t>
            </w:r>
          </w:p>
        </w:tc>
      </w:tr>
      <w:tr>
        <w:tc>
          <w:tcPr>
            <w:tcW w:type="dxa" w:w="4703"/>
          </w:tcPr>
          <w:p>
            <w:r/>
            <w:r>
              <w:rPr>
                <w:rFonts w:ascii="Calibri" w:hAnsi="Calibri"/>
                <w:b w:val="0"/>
                <w:i w:val="0"/>
                <w:color w:val="000000"/>
                <w:sz w:val="18"/>
              </w:rPr>
              <w:t>No sale ever</w:t>
            </w:r>
          </w:p>
        </w:tc>
        <w:tc>
          <w:tcPr>
            <w:tcW w:type="dxa" w:w="4703"/>
          </w:tcPr>
          <w:p>
            <w:r/>
            <w:r>
              <w:rPr>
                <w:rFonts w:ascii="Calibri" w:hAnsi="Calibri"/>
                <w:b w:val="0"/>
                <w:i w:val="0"/>
                <w:color w:val="000000"/>
                <w:sz w:val="18"/>
              </w:rPr>
              <w:t>MD gets 25% at longstop; no participation fee</w:t>
            </w:r>
          </w:p>
        </w:tc>
      </w:tr>
    </w:tbl>
    <w:p/>
    <w:p>
      <w:pPr>
        <w:jc w:val="both"/>
      </w:pPr>
      <w:r>
        <w:rPr>
          <w:rFonts w:ascii="Calibri" w:hAnsi="Calibri"/>
          <w:b w:val="0"/>
          <w:i w:val="0"/>
          <w:color w:val="000000"/>
          <w:sz w:val="20"/>
        </w:rPr>
        <w:t>Qualifying Equity Closing = third party (not MD/Founder/Group) pays cash to Company for shares, subscription agreement executed.</w:t>
      </w:r>
    </w:p>
    <w:p>
      <w:r>
        <w:rPr>
          <w:rFonts w:ascii="Calibri" w:hAnsi="Calibri"/>
          <w:b/>
          <w:i w:val="0"/>
          <w:color w:val="1A365D"/>
          <w:sz w:val="22"/>
        </w:rPr>
        <w:t>8.3 Payor — structure for founder + investor acceptance</w:t>
      </w:r>
    </w:p>
    <w:p>
      <w:pPr>
        <w:jc w:val="both"/>
      </w:pPr>
      <w:r>
        <w:rPr>
          <w:rFonts w:ascii="Calibri" w:hAnsi="Calibri"/>
          <w:b w:val="0"/>
          <w:i w:val="0"/>
          <w:color w:val="000000"/>
          <w:sz w:val="20"/>
        </w:rPr>
        <w:t>Preferred: Founder / Lighthief International pays the 30% fee personally — investor’s €500k stays in Company for delivery.</w:t>
      </w:r>
    </w:p>
    <w:p>
      <w:pPr>
        <w:jc w:val="both"/>
      </w:pPr>
      <w:r>
        <w:rPr>
          <w:rFonts w:ascii="Calibri" w:hAnsi="Calibri"/>
          <w:b w:val="0"/>
          <w:i w:val="0"/>
          <w:color w:val="000000"/>
          <w:sz w:val="20"/>
        </w:rPr>
        <w:t>If Company pays: Must be pre-disclosed in the third-party investor term sheet as success fee; expect pushback — rebut with separate buckets (margin = ops, fee = capital raise / value creation).</w:t>
      </w:r>
    </w:p>
    <w:p>
      <w:r>
        <w:rPr>
          <w:rFonts w:ascii="Calibri" w:hAnsi="Calibri"/>
          <w:b/>
          <w:i w:val="0"/>
          <w:color w:val="1A365D"/>
          <w:sz w:val="22"/>
        </w:rPr>
        <w:t>8.4 Three-year dividend lock</w:t>
      </w:r>
    </w:p>
    <w:p>
      <w:pPr>
        <w:jc w:val="both"/>
      </w:pPr>
      <w:r>
        <w:rPr>
          <w:rFonts w:ascii="Calibri" w:hAnsi="Calibri"/>
          <w:b w:val="0"/>
          <w:i w:val="0"/>
          <w:color w:val="000000"/>
          <w:sz w:val="20"/>
        </w:rPr>
        <w:t>From first equity closing or first fallback grant: no dividends company-wide for 36 months, with carve-outs for Moi Ostrov fees, payroll, project COGS, scheduled loan repayments — not discretionary upstream to Group.</w:t>
      </w:r>
    </w:p>
    <w:p>
      <w:r>
        <w:rPr>
          <w:rFonts w:ascii="Calibri" w:hAnsi="Calibri"/>
          <w:b/>
          <w:i w:val="0"/>
          <w:color w:val="1A365D"/>
          <w:sz w:val="22"/>
        </w:rPr>
        <w:t>8.5 Partial sale = Option (b) locked in</w:t>
      </w:r>
    </w:p>
    <w:p>
      <w:pPr>
        <w:jc w:val="both"/>
      </w:pPr>
      <w:r>
        <w:rPr>
          <w:rFonts w:ascii="Calibri" w:hAnsi="Calibri"/>
          <w:b w:val="0"/>
          <w:i w:val="0"/>
          <w:color w:val="000000"/>
          <w:sz w:val="20"/>
        </w:rPr>
        <w:t>Founder’s verbal “if we don’t sell I give you shares” + “30% of sale” combines as:</w:t>
      </w:r>
    </w:p>
    <w:p>
      <w:pPr>
        <w:pStyle w:val="ListBullet"/>
      </w:pPr>
      <w:r>
        <w:rPr>
          <w:rFonts w:ascii="Calibri" w:hAnsi="Calibri"/>
          <w:b w:val="0"/>
          <w:i w:val="0"/>
          <w:color w:val="000000"/>
          <w:sz w:val="20"/>
        </w:rPr>
        <w:t>Sold portion → MD gets 30% of cash</w:t>
      </w:r>
    </w:p>
    <w:p>
      <w:pPr>
        <w:pStyle w:val="ListBullet"/>
      </w:pPr>
      <w:r>
        <w:rPr>
          <w:rFonts w:ascii="Calibri" w:hAnsi="Calibri"/>
          <w:b w:val="0"/>
          <w:i w:val="0"/>
          <w:color w:val="000000"/>
          <w:sz w:val="20"/>
        </w:rPr>
        <w:t>Unsold portion of 25% pool → MD gets shares</w:t>
      </w:r>
    </w:p>
    <w:p>
      <w:pPr>
        <w:pStyle w:val="ListBullet"/>
      </w:pPr>
      <w:r>
        <w:rPr>
          <w:rFonts w:ascii="Calibri" w:hAnsi="Calibri"/>
          <w:b w:val="0"/>
          <w:i w:val="0"/>
          <w:color w:val="000000"/>
          <w:sz w:val="20"/>
        </w:rPr>
        <w:t>Fully sold 25% → MD gets fee only, no shares</w:t>
      </w:r>
    </w:p>
    <w:p>
      <w:pPr>
        <w:jc w:val="both"/>
      </w:pPr>
      <w:r>
        <w:rPr>
          <w:rFonts w:ascii="Calibri" w:hAnsi="Calibri"/>
          <w:b w:val="0"/>
          <w:i w:val="0"/>
          <w:color w:val="000000"/>
          <w:sz w:val="20"/>
        </w:rPr>
        <w:t>Do not grant fallback shares in addition to 25% sold (total MD stake would exceed pool).</w:t>
      </w:r>
    </w:p>
    <w:p>
      <w:r>
        <w:rPr>
          <w:rFonts w:ascii="Calibri" w:hAnsi="Calibri"/>
          <w:b/>
          <w:i w:val="0"/>
          <w:color w:val="1A365D"/>
          <w:sz w:val="22"/>
        </w:rPr>
        <w:t>8.6 Signing sequence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When</w:t>
            </w:r>
          </w:p>
        </w:tc>
        <w:tc>
          <w:tcPr>
            <w:tcW w:type="dxa" w:w="4703"/>
            <w:shd w:fill="1A365D" w:val="clear"/>
          </w:tcPr>
          <w:p>
            <w:r/>
            <w:r>
              <w:rPr>
                <w:rFonts w:ascii="Calibri" w:hAnsi="Calibri"/>
                <w:b/>
                <w:i w:val="0"/>
                <w:color w:val="FFFFFF"/>
                <w:sz w:val="18"/>
              </w:rPr>
              <w:t>Action</w:t>
            </w:r>
          </w:p>
        </w:tc>
      </w:tr>
      <w:tr>
        <w:tc>
          <w:tcPr>
            <w:tcW w:type="dxa" w:w="4703"/>
          </w:tcPr>
          <w:p>
            <w:r/>
            <w:r>
              <w:rPr>
                <w:rFonts w:ascii="Calibri" w:hAnsi="Calibri"/>
                <w:b w:val="0"/>
                <w:i w:val="0"/>
                <w:color w:val="000000"/>
                <w:sz w:val="18"/>
              </w:rPr>
              <w:t>Founder pack (now)</w:t>
            </w:r>
          </w:p>
        </w:tc>
        <w:tc>
          <w:tcPr>
            <w:tcW w:type="dxa" w:w="4703"/>
          </w:tcPr>
          <w:p>
            <w:r/>
            <w:r>
              <w:rPr>
                <w:rFonts w:ascii="Calibri" w:hAnsi="Calibri"/>
                <w:b w:val="0"/>
                <w:i w:val="0"/>
                <w:color w:val="000000"/>
                <w:sz w:val="18"/>
              </w:rPr>
              <w:t>Heads in Option A + side letter draft for review</w:t>
            </w:r>
          </w:p>
        </w:tc>
      </w:tr>
      <w:tr>
        <w:tc>
          <w:tcPr>
            <w:tcW w:type="dxa" w:w="4703"/>
          </w:tcPr>
          <w:p>
            <w:r/>
            <w:r>
              <w:rPr>
                <w:rFonts w:ascii="Calibri" w:hAnsi="Calibri"/>
                <w:b w:val="0"/>
                <w:i w:val="0"/>
                <w:color w:val="000000"/>
                <w:sz w:val="18"/>
              </w:rPr>
              <w:t>Before first investor close</w:t>
            </w:r>
          </w:p>
        </w:tc>
        <w:tc>
          <w:tcPr>
            <w:tcW w:type="dxa" w:w="4703"/>
          </w:tcPr>
          <w:p>
            <w:r/>
            <w:r>
              <w:rPr>
                <w:rFonts w:ascii="Calibri" w:hAnsi="Calibri"/>
                <w:b w:val="0"/>
                <w:i w:val="0"/>
                <w:color w:val="000000"/>
                <w:sz w:val="18"/>
              </w:rPr>
              <w:t>Executed side letter; Articles Protected Matter</w:t>
            </w:r>
          </w:p>
        </w:tc>
      </w:tr>
      <w:tr>
        <w:tc>
          <w:tcPr>
            <w:tcW w:type="dxa" w:w="4703"/>
          </w:tcPr>
          <w:p>
            <w:r/>
            <w:r>
              <w:rPr>
                <w:rFonts w:ascii="Calibri" w:hAnsi="Calibri"/>
                <w:b w:val="0"/>
                <w:i w:val="0"/>
                <w:color w:val="000000"/>
                <w:sz w:val="18"/>
              </w:rPr>
              <w:t>Each investor tranche</w:t>
            </w:r>
          </w:p>
        </w:tc>
        <w:tc>
          <w:tcPr>
            <w:tcW w:type="dxa" w:w="4703"/>
          </w:tcPr>
          <w:p>
            <w:r/>
            <w:r>
              <w:rPr>
                <w:rFonts w:ascii="Calibri" w:hAnsi="Calibri"/>
                <w:b w:val="0"/>
                <w:i w:val="0"/>
                <w:color w:val="000000"/>
                <w:sz w:val="18"/>
              </w:rPr>
              <w:t>Fee payment + cap table update</w:t>
            </w:r>
          </w:p>
        </w:tc>
      </w:tr>
      <w:tr>
        <w:tc>
          <w:tcPr>
            <w:tcW w:type="dxa" w:w="4703"/>
          </w:tcPr>
          <w:p>
            <w:r/>
            <w:r>
              <w:rPr>
                <w:rFonts w:ascii="Calibri" w:hAnsi="Calibri"/>
                <w:b w:val="0"/>
                <w:i w:val="0"/>
                <w:color w:val="000000"/>
                <w:sz w:val="18"/>
              </w:rPr>
              <w:t>Longstop</w:t>
            </w:r>
          </w:p>
        </w:tc>
        <w:tc>
          <w:tcPr>
            <w:tcW w:type="dxa" w:w="4703"/>
          </w:tcPr>
          <w:p>
            <w:r/>
            <w:r>
              <w:rPr>
                <w:rFonts w:ascii="Calibri" w:hAnsi="Calibri"/>
                <w:b w:val="0"/>
                <w:i w:val="0"/>
                <w:color w:val="000000"/>
                <w:sz w:val="18"/>
              </w:rPr>
              <w:t>Top-up fallback grant if needed</w:t>
            </w:r>
          </w:p>
        </w:tc>
      </w:tr>
    </w:tbl>
    <w:p/>
    <w:p>
      <w:pPr>
        <w:spacing w:before="240"/>
      </w:pPr>
      <w:r>
        <w:rPr>
          <w:rFonts w:ascii="Calibri" w:hAnsi="Calibri"/>
          <w:b/>
          <w:i w:val="0"/>
          <w:color w:val="C9A432"/>
          <w:sz w:val="24"/>
        </w:rPr>
        <w:t>9. Signature block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Party</w:t>
            </w:r>
          </w:p>
        </w:tc>
        <w:tc>
          <w:tcPr>
            <w:tcW w:type="dxa" w:w="2351"/>
            <w:shd w:fill="1A365D" w:val="clear"/>
          </w:tcPr>
          <w:p>
            <w:r/>
            <w:r>
              <w:rPr>
                <w:rFonts w:ascii="Calibri" w:hAnsi="Calibri"/>
                <w:b/>
                <w:i w:val="0"/>
                <w:color w:val="FFFFFF"/>
                <w:sz w:val="18"/>
              </w:rPr>
              <w:t>Name</w:t>
            </w:r>
          </w:p>
        </w:tc>
        <w:tc>
          <w:tcPr>
            <w:tcW w:type="dxa" w:w="2351"/>
            <w:shd w:fill="1A365D" w:val="clear"/>
          </w:tcPr>
          <w:p>
            <w:r/>
            <w:r>
              <w:rPr>
                <w:rFonts w:ascii="Calibri" w:hAnsi="Calibri"/>
                <w:b/>
                <w:i w:val="0"/>
                <w:color w:val="FFFFFF"/>
                <w:sz w:val="18"/>
              </w:rPr>
              <w:t>Signature</w:t>
            </w:r>
          </w:p>
        </w:tc>
        <w:tc>
          <w:tcPr>
            <w:tcW w:type="dxa" w:w="2351"/>
            <w:shd w:fill="1A365D" w:val="clear"/>
          </w:tcPr>
          <w:p>
            <w:r/>
            <w:r>
              <w:rPr>
                <w:rFonts w:ascii="Calibri" w:hAnsi="Calibri"/>
                <w:b/>
                <w:i w:val="0"/>
                <w:color w:val="FFFFFF"/>
                <w:sz w:val="18"/>
              </w:rPr>
              <w:t>Date</w:t>
            </w:r>
          </w:p>
        </w:tc>
      </w:tr>
      <w:tr>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Founder</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MD (if signing in personal capacity — as advised)</w:t>
            </w:r>
          </w:p>
        </w:tc>
        <w:tc>
          <w:tcPr>
            <w:tcW w:type="dxa" w:w="2351"/>
          </w:tcPr>
          <w:p>
            <w:r/>
            <w:r>
              <w:rPr>
                <w:rFonts w:ascii="Calibri" w:hAnsi="Calibri"/>
                <w:b w:val="0"/>
                <w:i w:val="0"/>
                <w:color w:val="000000"/>
                <w:sz w:val="18"/>
              </w:rPr>
              <w:t>Alexander Papacosta</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bl>
    <w:p/>
    <w:p>
      <w:pPr>
        <w:jc w:val="both"/>
      </w:pPr>
      <w:r>
        <w:rPr>
          <w:rFonts w:ascii="Calibri" w:hAnsi="Calibri"/>
          <w:b w:val="0"/>
          <w:i w:val="0"/>
          <w:color w:val="000000"/>
          <w:sz w:val="20"/>
        </w:rPr>
        <w:t>Annex A: Cashflow summary (attach spreadsheet)</w:t>
      </w:r>
    </w:p>
    <w:p>
      <w:pPr>
        <w:jc w:val="both"/>
      </w:pPr>
      <w:r>
        <w:rPr>
          <w:rFonts w:ascii="Calibri" w:hAnsi="Calibri"/>
          <w:b w:val="0"/>
          <w:i w:val="0"/>
          <w:color w:val="000000"/>
          <w:sz w:val="20"/>
        </w:rPr>
        <w:t>Annex B: Accrued MD compensation schedule (if any)</w:t>
      </w:r>
    </w:p>
    <w:p>
      <w:pPr>
        <w:jc w:val="both"/>
      </w:pPr>
      <w:r>
        <w:rPr>
          <w:rFonts w:ascii="Calibri" w:hAnsi="Calibri"/>
          <w:b w:val="0"/>
          <w:i w:val="0"/>
          <w:color w:val="000000"/>
          <w:sz w:val="20"/>
        </w:rPr>
        <w:t>End of draft — Option A. Not for use without legal review.</w:t>
      </w:r>
    </w:p>
    <w:p/>
    <w:p>
      <w:r>
        <w:rPr>
          <w:rFonts w:ascii="Calibri" w:hAnsi="Calibri"/>
          <w:b/>
          <w:i w:val="0"/>
          <w:color w:val="C9A432"/>
          <w:sz w:val="24"/>
        </w:rPr>
        <w:t>SIGNATURES</w:t>
      </w:r>
    </w:p>
    <w:p/>
    <w:p>
      <w:r>
        <w:rPr>
          <w:rFonts w:ascii="Calibri" w:hAnsi="Calibri"/>
          <w:b/>
          <w:i w:val="0"/>
          <w:color w:val="000000"/>
          <w:sz w:val="20"/>
        </w:rPr>
        <w:t>Company — Lighthief Cyprus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Founder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 Alexander Papacosta</w:t>
      </w:r>
    </w:p>
    <w:p>
      <w:r>
        <w:rPr>
          <w:rFonts w:ascii="Calibri" w:hAnsi="Calibri"/>
          <w:b w:val="0"/>
          <w:i w:val="0"/>
          <w:color w:val="000000"/>
          <w:sz w:val="20"/>
        </w:rPr>
        <w:t>Signature: ______________________   Date: ______________________</w:t>
      </w:r>
    </w:p>
    <w:p>
      <w:pPr>
        <w:sectPr>
          <w:footerReference w:type="default" r:id="rId20"/>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DEED OF GROUP ADHERENCE (CYPRUS PROTECTED PROJECTS)</w:t>
      </w:r>
    </w:p>
    <w:p/>
    <w:p>
      <w:pPr>
        <w:jc w:val="both"/>
      </w:pPr>
      <w:r>
        <w:rPr>
          <w:rFonts w:ascii="Calibri" w:hAnsi="Calibri"/>
          <w:b w:val="0"/>
          <w:i w:val="0"/>
          <w:color w:val="000000"/>
          <w:sz w:val="20"/>
        </w:rPr>
        <w:t>Status: TEMPLATE — counsel to finalise</w:t>
      </w:r>
    </w:p>
    <w:p>
      <w:pPr>
        <w:jc w:val="both"/>
      </w:pPr>
      <w:r>
        <w:rPr>
          <w:rFonts w:ascii="Calibri" w:hAnsi="Calibri"/>
          <w:b w:val="0"/>
          <w:i w:val="0"/>
          <w:color w:val="000000"/>
          <w:sz w:val="20"/>
        </w:rPr>
        <w:t>Ref: LCY-MOI-ADH-2026-001</w:t>
      </w:r>
    </w:p>
    <w:p>
      <w:pPr>
        <w:jc w:val="both"/>
      </w:pPr>
      <w:r>
        <w:rPr>
          <w:rFonts w:ascii="Calibri" w:hAnsi="Calibri"/>
          <w:b w:val="0"/>
          <w:i w:val="0"/>
          <w:color w:val="000000"/>
          <w:sz w:val="20"/>
        </w:rPr>
        <w:t>Purpose: Bind a Group entity (not party to LCY-MOI-TOCA-2026-001) to fee and anti-circumvention obligations before contracting Cyprus BESS work.</w:t>
      </w:r>
    </w:p>
    <w:p>
      <w:pPr>
        <w:spacing w:before="240"/>
      </w:pPr>
      <w:r>
        <w:rPr>
          <w:rFonts w:ascii="Calibri" w:hAnsi="Calibri"/>
          <w:b/>
          <w:i w:val="0"/>
          <w:color w:val="C9A432"/>
          <w:sz w:val="24"/>
        </w:rPr>
        <w:t>Parties</w:t>
      </w:r>
    </w:p>
    <w:p>
      <w:pPr>
        <w:pStyle w:val="ListBullet"/>
      </w:pPr>
      <w:r>
        <w:rPr>
          <w:rFonts w:ascii="Calibri" w:hAnsi="Calibri"/>
          <w:b w:val="0"/>
          <w:i w:val="0"/>
          <w:color w:val="000000"/>
          <w:sz w:val="20"/>
        </w:rPr>
        <w:t>Lighthief Cyprus Ltd (HE 477423) — "Company"</w:t>
      </w:r>
    </w:p>
    <w:p>
      <w:pPr>
        <w:pStyle w:val="ListBullet"/>
      </w:pPr>
      <w:r>
        <w:rPr>
          <w:rFonts w:ascii="Calibri" w:hAnsi="Calibri"/>
          <w:b w:val="0"/>
          <w:i w:val="0"/>
          <w:color w:val="000000"/>
          <w:sz w:val="20"/>
        </w:rPr>
        <w:t>Moi Ostrov Ltd (HE 319483) — "Consultant"</w:t>
      </w:r>
    </w:p>
    <w:p>
      <w:pPr>
        <w:pStyle w:val="ListBullet"/>
      </w:pPr>
      <w:r>
        <w:rPr>
          <w:rFonts w:ascii="Calibri" w:hAnsi="Calibri"/>
          <w:b w:val="0"/>
          <w:i w:val="0"/>
          <w:color w:val="000000"/>
          <w:sz w:val="20"/>
        </w:rPr>
        <w:t>[Group Entity Name] — "Adhering Entity"</w:t>
      </w:r>
    </w:p>
    <w:p>
      <w:pPr>
        <w:pStyle w:val="ListBullet"/>
      </w:pPr>
      <w:r>
        <w:rPr>
          <w:rFonts w:ascii="Calibri" w:hAnsi="Calibri"/>
          <w:b w:val="0"/>
          <w:i w:val="0"/>
          <w:color w:val="000000"/>
          <w:sz w:val="20"/>
        </w:rPr>
        <w:t>Dr. Arkadiusz Sybaris — personal guarantor (optional cross-ref Annex B)</w:t>
      </w:r>
    </w:p>
    <w:p>
      <w:pPr>
        <w:spacing w:before="240"/>
      </w:pPr>
      <w:r>
        <w:rPr>
          <w:rFonts w:ascii="Calibri" w:hAnsi="Calibri"/>
          <w:b/>
          <w:i w:val="0"/>
          <w:color w:val="C9A432"/>
          <w:sz w:val="24"/>
        </w:rPr>
        <w:t>Operative terms (heads)</w:t>
      </w:r>
    </w:p>
    <w:p>
      <w:pPr>
        <w:jc w:val="both"/>
      </w:pPr>
      <w:r>
        <w:rPr>
          <w:rFonts w:ascii="Calibri" w:hAnsi="Calibri"/>
          <w:b w:val="0"/>
          <w:i w:val="0"/>
          <w:color w:val="000000"/>
          <w:sz w:val="20"/>
        </w:rPr>
        <w:t>1. Adhering Entity acknowledges the Consultancy Agreement (LCY-MOI-TOCA-2026-001) and agrees that any receipt by Adhering Entity in respect of a Cyprus Protected Project is a Deemed Group Receipt under Clause 12.3.</w:t>
      </w:r>
    </w:p>
    <w:p>
      <w:pPr>
        <w:jc w:val="both"/>
      </w:pPr>
      <w:r>
        <w:rPr>
          <w:rFonts w:ascii="Calibri" w:hAnsi="Calibri"/>
          <w:b w:val="0"/>
          <w:i w:val="0"/>
          <w:color w:val="000000"/>
          <w:sz w:val="20"/>
        </w:rPr>
        <w:t>2. Adhering Entity shall not contract, invoice, or receive payment for Cyprus Protected Projects listed in Schedule 1 (or otherwise originated by Consultant) except through the Company unless Consultant consents in writing.</w:t>
      </w:r>
    </w:p>
    <w:p>
      <w:pPr>
        <w:jc w:val="both"/>
      </w:pPr>
      <w:r>
        <w:rPr>
          <w:rFonts w:ascii="Calibri" w:hAnsi="Calibri"/>
          <w:b w:val="0"/>
          <w:i w:val="0"/>
          <w:color w:val="000000"/>
          <w:sz w:val="20"/>
        </w:rPr>
        <w:t>3. Adhering Entity joins the fee calculation and payment mechanics: Company remains primary payor; Adhering Entity covenants to cooperate with margin reporting and audit.</w:t>
      </w:r>
    </w:p>
    <w:p>
      <w:pPr>
        <w:jc w:val="both"/>
      </w:pPr>
      <w:r>
        <w:rPr>
          <w:rFonts w:ascii="Calibri" w:hAnsi="Calibri"/>
          <w:b w:val="0"/>
          <w:i w:val="0"/>
          <w:color w:val="000000"/>
          <w:sz w:val="20"/>
        </w:rPr>
        <w:t>4. Adhering Entity acknowledges Protected Matter status and agrees not to take action to frustrate fees properly accrued under signed client contracts.</w:t>
      </w:r>
    </w:p>
    <w:p>
      <w:pPr>
        <w:jc w:val="both"/>
      </w:pPr>
      <w:r>
        <w:rPr>
          <w:rFonts w:ascii="Calibri" w:hAnsi="Calibri"/>
          <w:b w:val="0"/>
          <w:i w:val="0"/>
          <w:color w:val="000000"/>
          <w:sz w:val="20"/>
        </w:rPr>
        <w:t>5. Term: co-terminous with Consultancy Agreement Minimum Term / per-project survival on signed contracts.</w:t>
      </w:r>
    </w:p>
    <w:p>
      <w:pPr>
        <w:jc w:val="both"/>
      </w:pPr>
      <w:r>
        <w:rPr>
          <w:rFonts w:ascii="Calibri" w:hAnsi="Calibri"/>
          <w:b w:val="0"/>
          <w:i w:val="0"/>
          <w:color w:val="000000"/>
          <w:sz w:val="20"/>
        </w:rPr>
        <w:t>6. Term: co-terminous with Consultancy Agreement Minimum Term / per-project survival on signed contracts.</w:t>
      </w:r>
    </w:p>
    <w:p>
      <w:pPr>
        <w:jc w:val="both"/>
      </w:pPr>
      <w:r>
        <w:rPr>
          <w:rFonts w:ascii="Calibri" w:hAnsi="Calibri"/>
          <w:b w:val="0"/>
          <w:i w:val="0"/>
          <w:color w:val="000000"/>
          <w:sz w:val="20"/>
        </w:rPr>
        <w:t>7. Execution note: This deed binds the Adhering Entity only if that entity executes it. Clause 12.3(d) of the Consultancy Agreement may require adherence before Cyprus work, but a Group entity that refuses to sign and contracts anyway is not a party here. The primary backstop for circumvention remains Annex B (Sybaris personal obligations) — ensure Annex B is executed and enforceable.</w:t>
      </w:r>
    </w:p>
    <w:p>
      <w:pPr>
        <w:jc w:val="both"/>
      </w:pPr>
      <w:r>
        <w:rPr>
          <w:rFonts w:ascii="Calibri" w:hAnsi="Calibri"/>
          <w:b w:val="0"/>
          <w:i w:val="0"/>
          <w:color w:val="000000"/>
          <w:sz w:val="20"/>
        </w:rPr>
        <w:t>8. Governing law: Republic of Cyprus.</w:t>
      </w:r>
    </w:p>
    <w:p>
      <w:pPr>
        <w:spacing w:before="240"/>
      </w:pPr>
      <w:r>
        <w:rPr>
          <w:rFonts w:ascii="Calibri" w:hAnsi="Calibri"/>
          <w:b/>
          <w:i w:val="0"/>
          <w:color w:val="C9A432"/>
          <w:sz w:val="24"/>
        </w:rPr>
        <w:t>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Consultant</w:t>
            </w:r>
          </w:p>
        </w:tc>
        <w:tc>
          <w:tcPr>
            <w:tcW w:type="dxa" w:w="3135"/>
          </w:tcPr>
          <w:p>
            <w:r/>
            <w:r>
              <w:rPr>
                <w:rFonts w:ascii="Calibri" w:hAnsi="Calibri"/>
                <w:b w:val="0"/>
                <w:i w:val="0"/>
                <w:color w:val="000000"/>
                <w:sz w:val="18"/>
              </w:rPr>
              <w:t>Moi Ostrov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Adhering Entity</w:t>
            </w:r>
          </w:p>
        </w:tc>
        <w:tc>
          <w:tcPr>
            <w:tcW w:type="dxa" w:w="3135"/>
          </w:tcPr>
          <w:p>
            <w:r/>
            <w:r>
              <w:rPr>
                <w:rFonts w:ascii="Calibri" w:hAnsi="Calibri"/>
                <w:b w:val="0"/>
                <w:i w:val="0"/>
                <w:color w:val="000000"/>
                <w:sz w:val="18"/>
              </w:rPr>
              <w:t>[Name]</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Guarantor (if req.)</w:t>
            </w:r>
          </w:p>
        </w:tc>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Attach to Consultancy Agreement as Schedule 4 or execute per project.</w:t>
      </w:r>
    </w:p>
    <w:p>
      <w:pPr>
        <w:sectPr>
          <w:footerReference w:type="default" r:id="rId21"/>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DIRECTOR &amp; OFFICER PROTECTIONS (LCY)</w:t>
      </w:r>
    </w:p>
    <w:p/>
    <w:p>
      <w:pPr>
        <w:jc w:val="both"/>
      </w:pPr>
      <w:r>
        <w:rPr>
          <w:rFonts w:ascii="Calibri" w:hAnsi="Calibri"/>
          <w:b w:val="0"/>
          <w:i w:val="0"/>
          <w:color w:val="000000"/>
          <w:sz w:val="20"/>
        </w:rPr>
        <w:t>Status: TEMPLATE — Cyprus counsel + insurance broker review required</w:t>
      </w:r>
    </w:p>
    <w:p>
      <w:pPr>
        <w:jc w:val="both"/>
      </w:pPr>
      <w:r>
        <w:rPr>
          <w:rFonts w:ascii="Calibri" w:hAnsi="Calibri"/>
          <w:b w:val="0"/>
          <w:i w:val="0"/>
          <w:color w:val="000000"/>
          <w:sz w:val="20"/>
        </w:rPr>
        <w:t>Ref: LCY-DIR-IND-2026-001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Beneficiaries: Alexander Papacosta (natural person director and company secretary); authorised representative(s) of Lighthief International Ltd in its capacity as corporate director</w:t>
      </w:r>
    </w:p>
    <w:p>
      <w:pPr>
        <w:jc w:val="both"/>
      </w:pPr>
      <w:r>
        <w:rPr>
          <w:rFonts w:ascii="Calibri" w:hAnsi="Calibri"/>
          <w:b w:val="0"/>
          <w:i w:val="0"/>
          <w:color w:val="000000"/>
          <w:sz w:val="20"/>
        </w:rPr>
        <w:t>Purpose: Separate from company professional indemnity on EPC contracts (Marsh / client-facing). This instrument covers personal exposure as director, secretary, and authorised signatory.</w:t>
      </w:r>
    </w:p>
    <w:p>
      <w:pPr>
        <w:spacing w:before="240"/>
      </w:pPr>
      <w:r>
        <w:rPr>
          <w:rFonts w:ascii="Calibri" w:hAnsi="Calibri"/>
          <w:b/>
          <w:i w:val="0"/>
          <w:color w:val="C9A432"/>
          <w:sz w:val="24"/>
        </w:rPr>
        <w:t>1. Why this is separate from EPC professional indemnity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Cover</w:t>
            </w:r>
          </w:p>
        </w:tc>
        <w:tc>
          <w:tcPr>
            <w:tcW w:type="dxa" w:w="2351"/>
            <w:shd w:fill="1A365D" w:val="clear"/>
          </w:tcPr>
          <w:p>
            <w:r/>
            <w:r>
              <w:rPr>
                <w:rFonts w:ascii="Calibri" w:hAnsi="Calibri"/>
                <w:b/>
                <w:i w:val="0"/>
                <w:color w:val="FFFFFF"/>
                <w:sz w:val="18"/>
              </w:rPr>
              <w:t>What it protects</w:t>
            </w:r>
          </w:p>
        </w:tc>
        <w:tc>
          <w:tcPr>
            <w:tcW w:type="dxa" w:w="2351"/>
            <w:shd w:fill="1A365D" w:val="clear"/>
          </w:tcPr>
          <w:p>
            <w:r/>
            <w:r>
              <w:rPr>
                <w:rFonts w:ascii="Calibri" w:hAnsi="Calibri"/>
                <w:b/>
                <w:i w:val="0"/>
                <w:color w:val="FFFFFF"/>
                <w:sz w:val="18"/>
              </w:rPr>
              <w:t>Typical payor</w:t>
            </w:r>
          </w:p>
        </w:tc>
        <w:tc>
          <w:tcPr>
            <w:tcW w:type="dxa" w:w="2351"/>
            <w:shd w:fill="1A365D" w:val="clear"/>
          </w:tcPr>
          <w:p>
            <w:r/>
            <w:r>
              <w:rPr>
                <w:rFonts w:ascii="Calibri" w:hAnsi="Calibri"/>
                <w:b/>
                <w:i w:val="0"/>
                <w:color w:val="FFFFFF"/>
                <w:sz w:val="18"/>
              </w:rPr>
              <w:t>In current pack?</w:t>
            </w:r>
          </w:p>
        </w:tc>
      </w:tr>
      <w:tr>
        <w:tc>
          <w:tcPr>
            <w:tcW w:type="dxa" w:w="2351"/>
          </w:tcPr>
          <w:p>
            <w:r/>
            <w:r>
              <w:rPr>
                <w:rFonts w:ascii="Calibri" w:hAnsi="Calibri"/>
                <w:b w:val="0"/>
                <w:i w:val="0"/>
                <w:color w:val="000000"/>
                <w:sz w:val="18"/>
              </w:rPr>
              <w:t>EPC professional indemnity (PI)</w:t>
            </w:r>
          </w:p>
        </w:tc>
        <w:tc>
          <w:tcPr>
            <w:tcW w:type="dxa" w:w="2351"/>
          </w:tcPr>
          <w:p>
            <w:r/>
            <w:r>
              <w:rPr>
                <w:rFonts w:ascii="Calibri" w:hAnsi="Calibri"/>
                <w:b w:val="0"/>
                <w:i w:val="0"/>
                <w:color w:val="000000"/>
                <w:sz w:val="18"/>
              </w:rPr>
              <w:t>Client claims for design/EPC negligence</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t>Yes — EPC template §14 (€1–2M); Marsh programme in progress</w:t>
            </w:r>
          </w:p>
        </w:tc>
      </w:tr>
      <w:tr>
        <w:tc>
          <w:tcPr>
            <w:tcW w:type="dxa" w:w="2351"/>
          </w:tcPr>
          <w:p>
            <w:r/>
            <w:r>
              <w:rPr>
                <w:rFonts w:ascii="Calibri" w:hAnsi="Calibri"/>
                <w:b w:val="0"/>
                <w:i w:val="0"/>
                <w:color w:val="000000"/>
                <w:sz w:val="18"/>
              </w:rPr>
              <w:t>Public / employer liability</w:t>
            </w:r>
          </w:p>
        </w:tc>
        <w:tc>
          <w:tcPr>
            <w:tcW w:type="dxa" w:w="2351"/>
          </w:tcPr>
          <w:p>
            <w:r/>
            <w:r>
              <w:rPr>
                <w:rFonts w:ascii="Calibri" w:hAnsi="Calibri"/>
                <w:b w:val="0"/>
                <w:i w:val="0"/>
                <w:color w:val="000000"/>
                <w:sz w:val="18"/>
              </w:rPr>
              <w:t>Third-party injury, employee claims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Partially — EPC / Marsh</w:t>
            </w:r>
          </w:p>
        </w:tc>
      </w:tr>
      <w:tr>
        <w:tc>
          <w:tcPr>
            <w:tcW w:type="dxa" w:w="2351"/>
          </w:tcPr>
          <w:p>
            <w:r/>
            <w:r>
              <w:rPr>
                <w:rFonts w:ascii="Calibri" w:hAnsi="Calibri"/>
                <w:b w:val="0"/>
                <w:i w:val="0"/>
                <w:color w:val="000000"/>
                <w:sz w:val="18"/>
              </w:rPr>
              <w:t>D&amp;O / management liability</w:t>
            </w:r>
          </w:p>
        </w:tc>
        <w:tc>
          <w:tcPr>
            <w:tcW w:type="dxa" w:w="2351"/>
          </w:tcPr>
          <w:p>
            <w:r/>
            <w:r>
              <w:rPr>
                <w:rFonts w:ascii="Calibri" w:hAnsi="Calibri"/>
                <w:b w:val="0"/>
                <w:i w:val="0"/>
                <w:color w:val="000000"/>
                <w:sz w:val="18"/>
              </w:rPr>
              <w:t>Breach of duty, wrongful trading, shareholder claims, regulatory, related-party challenge</w:t>
            </w:r>
          </w:p>
        </w:tc>
        <w:tc>
          <w:tcPr>
            <w:tcW w:type="dxa" w:w="2351"/>
          </w:tcPr>
          <w:p>
            <w:r/>
            <w:r>
              <w:rPr>
                <w:rFonts w:ascii="Calibri" w:hAnsi="Calibri"/>
                <w:b w:val="0"/>
                <w:i w:val="0"/>
                <w:color w:val="000000"/>
                <w:sz w:val="18"/>
              </w:rPr>
              <w:t>Company (or shareholder)</w:t>
            </w:r>
          </w:p>
        </w:tc>
        <w:tc>
          <w:tcPr>
            <w:tcW w:type="dxa" w:w="2351"/>
          </w:tcPr>
          <w:p>
            <w:r/>
            <w:r>
              <w:rPr>
                <w:rFonts w:ascii="Calibri" w:hAnsi="Calibri"/>
                <w:b w:val="0"/>
                <w:i w:val="0"/>
                <w:color w:val="000000"/>
                <w:sz w:val="18"/>
              </w:rPr>
              <w:t>No</w:t>
            </w:r>
          </w:p>
        </w:tc>
      </w:tr>
      <w:tr>
        <w:tc>
          <w:tcPr>
            <w:tcW w:type="dxa" w:w="2351"/>
          </w:tcPr>
          <w:p>
            <w:r/>
            <w:r>
              <w:rPr>
                <w:rFonts w:ascii="Calibri" w:hAnsi="Calibri"/>
                <w:b w:val="0"/>
                <w:i w:val="0"/>
                <w:color w:val="000000"/>
                <w:sz w:val="18"/>
              </w:rPr>
              <w:t>Statutory indemnity (Cap. 113)</w:t>
            </w:r>
          </w:p>
        </w:tc>
        <w:tc>
          <w:tcPr>
            <w:tcW w:type="dxa" w:w="2351"/>
          </w:tcPr>
          <w:p>
            <w:r/>
            <w:r>
              <w:rPr>
                <w:rFonts w:ascii="Calibri" w:hAnsi="Calibri"/>
                <w:b w:val="0"/>
                <w:i w:val="0"/>
                <w:color w:val="000000"/>
                <w:sz w:val="18"/>
              </w:rPr>
              <w:t>Defence costs / losses from acts in office (within legal limits)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No — check Articles</w:t>
            </w:r>
          </w:p>
        </w:tc>
      </w:tr>
    </w:tbl>
    <w:p/>
    <w:p>
      <w:pPr>
        <w:jc w:val="both"/>
      </w:pPr>
      <w:r>
        <w:rPr>
          <w:rFonts w:ascii="Calibri" w:hAnsi="Calibri"/>
          <w:b w:val="0"/>
          <w:i w:val="0"/>
          <w:color w:val="000000"/>
          <w:sz w:val="20"/>
        </w:rPr>
        <w:t>PI does not substitute for D&amp;O. Client PI responds when the company is sued for project delivery. D&amp;O responds when you (or Lighthief International’s representative) are sued as officers — e.g. approving related-party contracts, dividend policy, insolvency, filing defaults, employment disputes.</w:t>
      </w:r>
    </w:p>
    <w:p>
      <w:pPr>
        <w:spacing w:before="240"/>
      </w:pPr>
      <w:r>
        <w:rPr>
          <w:rFonts w:ascii="Calibri" w:hAnsi="Calibri"/>
          <w:b/>
          <w:i w:val="0"/>
          <w:color w:val="C9A432"/>
          <w:sz w:val="24"/>
        </w:rPr>
        <w:t>2. Current office structure (confirm with register)</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Holder</w:t>
            </w:r>
          </w:p>
        </w:tc>
        <w:tc>
          <w:tcPr>
            <w:tcW w:type="dxa" w:w="3135"/>
            <w:shd w:fill="1A365D" w:val="clear"/>
          </w:tcPr>
          <w:p>
            <w:r/>
            <w:r>
              <w:rPr>
                <w:rFonts w:ascii="Calibri" w:hAnsi="Calibri"/>
                <w:b/>
                <w:i w:val="0"/>
                <w:color w:val="FFFFFF"/>
                <w:sz w:val="18"/>
              </w:rPr>
              <w:t>Notes</w:t>
            </w:r>
          </w:p>
        </w:tc>
      </w:tr>
      <w:tr>
        <w:tc>
          <w:tcPr>
            <w:tcW w:type="dxa" w:w="3135"/>
          </w:tcPr>
          <w:p>
            <w:r/>
            <w:r>
              <w:rPr>
                <w:rFonts w:ascii="Calibri" w:hAnsi="Calibri"/>
                <w:b w:val="0"/>
                <w:i w:val="0"/>
                <w:color w:val="000000"/>
                <w:sz w:val="18"/>
              </w:rPr>
              <w:t>Director (natural person)</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Signs day-to-day; dual director of Moi Ostrov Ltd — disclosed §7 Moi Ostrov deed</w:t>
            </w:r>
          </w:p>
        </w:tc>
      </w:tr>
      <w:tr>
        <w:tc>
          <w:tcPr>
            <w:tcW w:type="dxa" w:w="3135"/>
          </w:tcPr>
          <w:p>
            <w:r/>
            <w:r>
              <w:rPr>
                <w:rFonts w:ascii="Calibri" w:hAnsi="Calibri"/>
                <w:b w:val="0"/>
                <w:i w:val="0"/>
                <w:color w:val="000000"/>
                <w:sz w:val="18"/>
              </w:rPr>
              <w:t>Director (corporate)</w:t>
            </w:r>
          </w:p>
        </w:tc>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Requires named authorised representative on Registrar file and for board minutes</w:t>
            </w:r>
          </w:p>
        </w:tc>
      </w:tr>
      <w:tr>
        <w:tc>
          <w:tcPr>
            <w:tcW w:type="dxa" w:w="3135"/>
          </w:tcPr>
          <w:p>
            <w:r/>
            <w:r>
              <w:rPr>
                <w:rFonts w:ascii="Calibri" w:hAnsi="Calibri"/>
                <w:b w:val="0"/>
                <w:i w:val="0"/>
                <w:color w:val="000000"/>
                <w:sz w:val="18"/>
              </w:rPr>
              <w:t>Company secretary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Statutory books, filings, minutes — joint exposure with directors on defaults</w:t>
            </w:r>
          </w:p>
        </w:tc>
      </w:tr>
      <w:tr>
        <w:tc>
          <w:tcPr>
            <w:tcW w:type="dxa" w:w="3135"/>
          </w:tcPr>
          <w:p>
            <w:r/>
            <w:r>
              <w:rPr>
                <w:rFonts w:ascii="Calibri" w:hAnsi="Calibri"/>
                <w:b w:val="0"/>
                <w:i w:val="0"/>
                <w:color w:val="000000"/>
                <w:sz w:val="18"/>
              </w:rPr>
              <w:t>Managing director (employment)</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LCY-EMP-AP-2026-001 — employment duties ≠ director indemnity (separate tracks)</w:t>
            </w:r>
          </w:p>
        </w:tc>
      </w:tr>
    </w:tbl>
    <w:p/>
    <w:p>
      <w:pPr>
        <w:jc w:val="both"/>
      </w:pPr>
      <w:r>
        <w:rPr>
          <w:rFonts w:ascii="Calibri" w:hAnsi="Calibri"/>
          <w:b w:val="0"/>
          <w:i w:val="0"/>
          <w:color w:val="000000"/>
          <w:sz w:val="20"/>
        </w:rPr>
        <w:t>Counsel to confirm: (a) articles permit two directors + one secretary; (b) quorum when Alexander and LI representative are the board; (c) whether LI corporate director needs separate representative indemnity.</w:t>
      </w:r>
    </w:p>
    <w:p>
      <w:pPr>
        <w:spacing w:before="240"/>
      </w:pPr>
      <w:r>
        <w:rPr>
          <w:rFonts w:ascii="Calibri" w:hAnsi="Calibri"/>
          <w:b/>
          <w:i w:val="0"/>
          <w:color w:val="C9A432"/>
          <w:sz w:val="24"/>
        </w:rPr>
        <w:t>3. Company covenants (heads — counsel to expand)</w:t>
      </w:r>
    </w:p>
    <w:p>
      <w:pPr>
        <w:jc w:val="both"/>
      </w:pPr>
      <w:r>
        <w:rPr>
          <w:rFonts w:ascii="Calibri" w:hAnsi="Calibri"/>
          <w:b/>
          <w:i w:val="0"/>
          <w:color w:val="000000"/>
          <w:sz w:val="20"/>
        </w:rPr>
        <w:t>3.1 Directors’ and officers’ liability insurance</w:t>
      </w:r>
    </w:p>
    <w:p>
      <w:pPr>
        <w:jc w:val="both"/>
      </w:pPr>
      <w:r>
        <w:rPr>
          <w:rFonts w:ascii="Calibri" w:hAnsi="Calibri"/>
          <w:b w:val="0"/>
          <w:i w:val="0"/>
          <w:color w:val="000000"/>
          <w:sz w:val="20"/>
        </w:rPr>
        <w:t>The Company shall, within [60] days of execution (or [30] days before Galascope EPC Effective Date, whichever is earlier):</w:t>
      </w:r>
    </w:p>
    <w:p>
      <w:pPr>
        <w:jc w:val="both"/>
      </w:pPr>
      <w:r>
        <w:rPr>
          <w:rFonts w:ascii="Calibri" w:hAnsi="Calibri"/>
          <w:b w:val="0"/>
          <w:i w:val="0"/>
          <w:color w:val="000000"/>
          <w:sz w:val="20"/>
        </w:rPr>
        <w:t>(a) procure and maintain D&amp;O / management liability insurance with minimum limit €[1,000,000] per claim and in the aggregate (counsel + Marsh to confirm BESS-appropriate limit);</w:t>
      </w:r>
    </w:p>
    <w:p>
      <w:pPr>
        <w:jc w:val="both"/>
      </w:pPr>
      <w:r>
        <w:rPr>
          <w:rFonts w:ascii="Calibri" w:hAnsi="Calibri"/>
          <w:b w:val="0"/>
          <w:i w:val="0"/>
          <w:color w:val="000000"/>
          <w:sz w:val="20"/>
        </w:rPr>
        <w:t>(b) name as insured persons: Alexander Papacosta (director and secretary); each authorised representative of Lighthief International Ltd acting as corporate director; and any future executive directors approved by the Shareholder;</w:t>
      </w:r>
    </w:p>
    <w:p>
      <w:pPr>
        <w:jc w:val="both"/>
      </w:pPr>
      <w:r>
        <w:rPr>
          <w:rFonts w:ascii="Calibri" w:hAnsi="Calibri"/>
          <w:b w:val="0"/>
          <w:i w:val="0"/>
          <w:color w:val="000000"/>
          <w:sz w:val="20"/>
        </w:rPr>
        <w:t>(c) provide certificates of insurance and policy summaries to each insured person on placement and renewal;</w:t>
      </w:r>
    </w:p>
    <w:p>
      <w:pPr>
        <w:jc w:val="both"/>
      </w:pPr>
      <w:r>
        <w:rPr>
          <w:rFonts w:ascii="Calibri" w:hAnsi="Calibri"/>
          <w:b w:val="0"/>
          <w:i w:val="0"/>
          <w:color w:val="000000"/>
          <w:sz w:val="20"/>
        </w:rPr>
        <w:t>(d) not cancel or materially reduce cover without [30] days’ prior written notice to insured persons and Shareholder consent while any Protected Matter under LCY-MOI-TOCA-2026-001 remains in force;</w:t>
      </w:r>
    </w:p>
    <w:p>
      <w:pPr>
        <w:jc w:val="both"/>
      </w:pPr>
      <w:r>
        <w:rPr>
          <w:rFonts w:ascii="Calibri" w:hAnsi="Calibri"/>
          <w:b w:val="0"/>
          <w:i w:val="0"/>
          <w:color w:val="000000"/>
          <w:sz w:val="20"/>
        </w:rPr>
        <w:t>(e) where the policy permits, ensure defence costs are advanced and retroactive date covers acts from 1 July 2025 (or earlier if available).</w:t>
      </w:r>
    </w:p>
    <w:p>
      <w:pPr>
        <w:jc w:val="both"/>
      </w:pPr>
      <w:r>
        <w:rPr>
          <w:rFonts w:ascii="Calibri" w:hAnsi="Calibri"/>
          <w:b/>
          <w:i w:val="0"/>
          <w:color w:val="000000"/>
          <w:sz w:val="20"/>
        </w:rPr>
        <w:t>3.2 Statutory indemnity (Cap. 113)</w:t>
      </w:r>
    </w:p>
    <w:p>
      <w:pPr>
        <w:jc w:val="both"/>
      </w:pPr>
      <w:r>
        <w:rPr>
          <w:rFonts w:ascii="Calibri" w:hAnsi="Calibri"/>
          <w:b w:val="0"/>
          <w:i w:val="0"/>
          <w:color w:val="000000"/>
          <w:sz w:val="20"/>
        </w:rPr>
        <w:t>To the fullest extent permitted by Cyprus law (including Section 197, Cap. 113 and the Company’s articles):</w:t>
      </w:r>
    </w:p>
    <w:p>
      <w:pPr>
        <w:jc w:val="both"/>
      </w:pPr>
      <w:r>
        <w:rPr>
          <w:rFonts w:ascii="Calibri" w:hAnsi="Calibri"/>
          <w:b w:val="0"/>
          <w:i w:val="0"/>
          <w:color w:val="000000"/>
          <w:sz w:val="20"/>
        </w:rPr>
        <w:t>(a) the Company indemnifies each Beneficiary against liabilities and reasonable defence costs arising from acts or omissions in the proper performance of duties as director or secretary, excluding fraud, wilful default, or conduct known to be in breach of duty;</w:t>
      </w:r>
    </w:p>
    <w:p>
      <w:pPr>
        <w:jc w:val="both"/>
      </w:pPr>
      <w:r>
        <w:rPr>
          <w:rFonts w:ascii="Calibri" w:hAnsi="Calibri"/>
          <w:b w:val="0"/>
          <w:i w:val="0"/>
          <w:color w:val="000000"/>
          <w:sz w:val="20"/>
        </w:rPr>
        <w:t>(b) indemnity includes proceedings brought by the Company or Shareholder unless final non-appealable judgment finds fraud or dishonesty;</w:t>
      </w:r>
    </w:p>
    <w:p>
      <w:pPr>
        <w:jc w:val="both"/>
      </w:pPr>
      <w:r>
        <w:rPr>
          <w:rFonts w:ascii="Calibri" w:hAnsi="Calibri"/>
          <w:b w:val="0"/>
          <w:i w:val="0"/>
          <w:color w:val="000000"/>
          <w:sz w:val="20"/>
        </w:rPr>
        <w:t>(c) the Company shall advance reasonable defence costs subject to undertaking to repay if indemnity excluded.</w:t>
      </w:r>
    </w:p>
    <w:p>
      <w:pPr>
        <w:jc w:val="both"/>
      </w:pPr>
      <w:r>
        <w:rPr>
          <w:rFonts w:ascii="Calibri" w:hAnsi="Calibri"/>
          <w:b/>
          <w:i w:val="0"/>
          <w:color w:val="000000"/>
          <w:sz w:val="20"/>
        </w:rPr>
        <w:t>3.3 Secretary-specific</w:t>
      </w:r>
    </w:p>
    <w:p>
      <w:pPr>
        <w:jc w:val="both"/>
      </w:pPr>
      <w:r>
        <w:rPr>
          <w:rFonts w:ascii="Calibri" w:hAnsi="Calibri"/>
          <w:b w:val="0"/>
          <w:i w:val="0"/>
          <w:color w:val="000000"/>
          <w:sz w:val="20"/>
        </w:rPr>
        <w:t>Alexander Papacosta’s indemnity and D&amp;O cover extend to duties as company secretary (registers, filings, minutes) on the same basis as directorship.</w:t>
      </w:r>
    </w:p>
    <w:p>
      <w:pPr>
        <w:jc w:val="both"/>
      </w:pPr>
      <w:r>
        <w:rPr>
          <w:rFonts w:ascii="Calibri" w:hAnsi="Calibri"/>
          <w:b/>
          <w:i w:val="0"/>
          <w:color w:val="000000"/>
          <w:sz w:val="20"/>
        </w:rPr>
        <w:t>3.4 Related-party transactions</w:t>
      </w:r>
    </w:p>
    <w:p>
      <w:pPr>
        <w:jc w:val="both"/>
      </w:pPr>
      <w:r>
        <w:rPr>
          <w:rFonts w:ascii="Calibri" w:hAnsi="Calibri"/>
          <w:b w:val="0"/>
          <w:i w:val="0"/>
          <w:color w:val="000000"/>
          <w:sz w:val="20"/>
        </w:rPr>
        <w:t>The Shareholder acknowledges that Beneficiaries may participate in related-party transactions (Moi Ostrov deed, employment, side letter) only where disclosed and approved per Section 191, Cap. 113. The Company and Shareholder shall not deny indemnity or insurance solely because a claim arises from a transaction that was duly disclosed and shareholder-approved, unless counsel determines indemnity is legally prohibited.</w:t>
      </w:r>
    </w:p>
    <w:p>
      <w:pPr>
        <w:jc w:val="both"/>
      </w:pPr>
      <w:r>
        <w:rPr>
          <w:rFonts w:ascii="Calibri" w:hAnsi="Calibri"/>
          <w:b/>
          <w:i w:val="0"/>
          <w:color w:val="000000"/>
          <w:sz w:val="20"/>
        </w:rPr>
        <w:t>3.5 Run-off</w:t>
      </w:r>
    </w:p>
    <w:p>
      <w:pPr>
        <w:jc w:val="both"/>
      </w:pPr>
      <w:r>
        <w:rPr>
          <w:rFonts w:ascii="Calibri" w:hAnsi="Calibri"/>
          <w:b w:val="0"/>
          <w:i w:val="0"/>
          <w:color w:val="000000"/>
          <w:sz w:val="20"/>
        </w:rPr>
        <w:t>On cessation of office (other than summary removal for fraud/dishonesty), D&amp;O run-off cover of [6] years (or policy maximum) at Company expense unless termination is for cause defined in counsel’s final draft.</w:t>
      </w:r>
    </w:p>
    <w:p>
      <w:pPr>
        <w:jc w:val="both"/>
      </w:pPr>
      <w:r>
        <w:rPr>
          <w:rFonts w:ascii="Calibri" w:hAnsi="Calibri"/>
          <w:b/>
          <w:i w:val="0"/>
          <w:color w:val="000000"/>
          <w:sz w:val="20"/>
        </w:rPr>
        <w:t>3.6 No personal guarantee of company PI</w:t>
      </w:r>
    </w:p>
    <w:p>
      <w:pPr>
        <w:jc w:val="both"/>
      </w:pPr>
      <w:r>
        <w:rPr>
          <w:rFonts w:ascii="Calibri" w:hAnsi="Calibri"/>
          <w:b w:val="0"/>
          <w:i w:val="0"/>
          <w:color w:val="000000"/>
          <w:sz w:val="20"/>
        </w:rPr>
        <w:t>Nothing here requires Beneficiaries to personally underwrite the Company’s EPC professional indemnity obligations to clients. Client-facing PI remains a Company obligation.</w:t>
      </w:r>
    </w:p>
    <w:p>
      <w:pPr>
        <w:spacing w:before="240"/>
      </w:pPr>
      <w:r>
        <w:rPr>
          <w:rFonts w:ascii="Calibri" w:hAnsi="Calibri"/>
          <w:b/>
          <w:i w:val="0"/>
          <w:color w:val="C9A432"/>
          <w:sz w:val="24"/>
        </w:rPr>
        <w:t>4. Shareholder support (cross-ref resolution)</w:t>
      </w:r>
    </w:p>
    <w:p>
      <w:pPr>
        <w:jc w:val="both"/>
      </w:pPr>
      <w:r>
        <w:rPr>
          <w:rFonts w:ascii="Calibri" w:hAnsi="Calibri"/>
          <w:b w:val="0"/>
          <w:i w:val="0"/>
          <w:color w:val="000000"/>
          <w:sz w:val="20"/>
        </w:rPr>
        <w:t>Lighthief International Ltd shall pass written resolution (LCY-SHR-DO-2026-001):</w:t>
      </w:r>
    </w:p>
    <w:p>
      <w:pPr>
        <w:jc w:val="both"/>
      </w:pPr>
      <w:r>
        <w:rPr>
          <w:rFonts w:ascii="Calibri" w:hAnsi="Calibri"/>
          <w:b w:val="0"/>
          <w:i w:val="0"/>
          <w:color w:val="000000"/>
          <w:sz w:val="20"/>
        </w:rPr>
        <w:t>1. Approves procurement of D&amp;O insurance on terms no less favourable than §3.1.</w:t>
      </w:r>
    </w:p>
    <w:p>
      <w:pPr>
        <w:jc w:val="both"/>
      </w:pPr>
      <w:r>
        <w:rPr>
          <w:rFonts w:ascii="Calibri" w:hAnsi="Calibri"/>
          <w:b w:val="0"/>
          <w:i w:val="0"/>
          <w:color w:val="000000"/>
          <w:sz w:val="20"/>
        </w:rPr>
        <w:t>2. Approves Cap. 113 indemnity deed in favour of Beneficiaries.</w:t>
      </w:r>
    </w:p>
    <w:p>
      <w:pPr>
        <w:jc w:val="both"/>
      </w:pPr>
      <w:r>
        <w:rPr>
          <w:rFonts w:ascii="Calibri" w:hAnsi="Calibri"/>
          <w:b w:val="0"/>
          <w:i w:val="0"/>
          <w:color w:val="000000"/>
          <w:sz w:val="20"/>
        </w:rPr>
        <w:t>3. Confirms Alexander Papacosta’s appointment as company secretary [from date] and ratifies filings made in that capacity.</w:t>
      </w:r>
    </w:p>
    <w:p>
      <w:pPr>
        <w:jc w:val="both"/>
      </w:pPr>
      <w:r>
        <w:rPr>
          <w:rFonts w:ascii="Calibri" w:hAnsi="Calibri"/>
          <w:b w:val="0"/>
          <w:i w:val="0"/>
          <w:color w:val="000000"/>
          <w:sz w:val="20"/>
        </w:rPr>
        <w:t>4. Authorises premium payment as necessary Company expense.</w:t>
      </w:r>
    </w:p>
    <w:p>
      <w:pPr>
        <w:jc w:val="both"/>
      </w:pPr>
      <w:r>
        <w:rPr>
          <w:rFonts w:ascii="Calibri" w:hAnsi="Calibri"/>
          <w:b w:val="0"/>
          <w:i w:val="0"/>
          <w:color w:val="000000"/>
          <w:sz w:val="20"/>
        </w:rPr>
        <w:t>5. Instructs amendment of articles (if required) to permit indemnity and insurance.</w:t>
      </w:r>
    </w:p>
    <w:p>
      <w:pPr>
        <w:spacing w:before="240"/>
      </w:pPr>
      <w:r>
        <w:rPr>
          <w:rFonts w:ascii="Calibri" w:hAnsi="Calibri"/>
          <w:b/>
          <w:i w:val="0"/>
          <w:color w:val="C9A432"/>
          <w:sz w:val="24"/>
        </w:rPr>
        <w:t>5. Employment agreement cross-reference</w:t>
      </w:r>
    </w:p>
    <w:p>
      <w:pPr>
        <w:jc w:val="both"/>
      </w:pPr>
      <w:r>
        <w:rPr>
          <w:rFonts w:ascii="Calibri" w:hAnsi="Calibri"/>
          <w:b w:val="0"/>
          <w:i w:val="0"/>
          <w:color w:val="000000"/>
          <w:sz w:val="20"/>
        </w:rPr>
        <w:t>Add to LCY-EMP-AP-2026-001 (new §8.4 or Annex C):</w:t>
      </w:r>
    </w:p>
    <w:p>
      <w:pPr>
        <w:ind w:left="567"/>
      </w:pPr>
      <w:r>
        <w:rPr>
          <w:rFonts w:ascii="Calibri" w:hAnsi="Calibri"/>
          <w:b w:val="0"/>
          <w:i/>
          <w:color w:val="404040"/>
          <w:sz w:val="20"/>
        </w:rPr>
        <w:t>The Company’s obligations under the Director &amp; Officer Protections deed (LCY-DIR-IND-2026-001) apply to the Employee in his capacity as director and secretary. Employment termination does not automatically terminate directorship; run-off and indemnity survive cessation of each office as stated in that deed.</w:t>
      </w:r>
    </w:p>
    <w:p>
      <w:pPr>
        <w:spacing w:before="240"/>
      </w:pPr>
      <w:r>
        <w:rPr>
          <w:rFonts w:ascii="Calibri" w:hAnsi="Calibri"/>
          <w:b/>
          <w:i w:val="0"/>
          <w:color w:val="C9A432"/>
          <w:sz w:val="24"/>
        </w:rPr>
        <w:t>6. Moi Ostrov / consultancy (separate)</w:t>
      </w:r>
    </w:p>
    <w:p>
      <w:pPr>
        <w:jc w:val="both"/>
      </w:pPr>
      <w:r>
        <w:rPr>
          <w:rFonts w:ascii="Calibri" w:hAnsi="Calibri"/>
          <w:b w:val="0"/>
          <w:i w:val="0"/>
          <w:color w:val="000000"/>
          <w:sz w:val="20"/>
        </w:rPr>
        <w:t>Moi Ostrov Ltd consultancy work is not covered by LCY D&amp;O. If Moi Ostrov invoices the Company, Moi Ostrov should maintain its own professional indemnity / business liability as an independent contractor. Alexander’s personal Moi Ostrov directorship exposure is outside this LCY deed.</w:t>
      </w:r>
    </w:p>
    <w:p>
      <w:pPr>
        <w:spacing w:before="240"/>
      </w:pPr>
      <w:r>
        <w:rPr>
          <w:rFonts w:ascii="Calibri" w:hAnsi="Calibri"/>
          <w:b/>
          <w:i w:val="0"/>
          <w:color w:val="C9A432"/>
          <w:sz w:val="24"/>
        </w:rPr>
        <w:t>7. Pre-execution actions (broker + counsel)</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Owner</w:t>
            </w:r>
          </w:p>
        </w:tc>
      </w:tr>
      <w:tr>
        <w:tc>
          <w:tcPr>
            <w:tcW w:type="dxa" w:w="3135"/>
          </w:tcPr>
          <w:p>
            <w:r/>
            <w:r>
              <w:rPr>
                <w:rFonts w:ascii="Calibri" w:hAnsi="Calibri"/>
                <w:b w:val="0"/>
                <w:i w:val="0"/>
                <w:color w:val="000000"/>
                <w:sz w:val="18"/>
              </w:rPr>
              <w:t>1</w:t>
            </w:r>
          </w:p>
        </w:tc>
        <w:tc>
          <w:tcPr>
            <w:tcW w:type="dxa" w:w="3135"/>
          </w:tcPr>
          <w:p>
            <w:r/>
            <w:r>
              <w:rPr>
                <w:rFonts w:ascii="Calibri" w:hAnsi="Calibri"/>
                <w:b w:val="0"/>
                <w:i w:val="0"/>
                <w:color w:val="000000"/>
                <w:sz w:val="18"/>
              </w:rPr>
              <w:t>Obtain current LCY D&amp;O quote (Marsh or Cyprus broker) — confirm secretary named</w:t>
            </w:r>
          </w:p>
        </w:tc>
        <w:tc>
          <w:tcPr>
            <w:tcW w:type="dxa" w:w="3135"/>
          </w:tcPr>
          <w:p>
            <w:r/>
            <w:r>
              <w:rPr>
                <w:rFonts w:ascii="Calibri" w:hAnsi="Calibri"/>
                <w:b w:val="0"/>
                <w:i w:val="0"/>
                <w:color w:val="000000"/>
                <w:sz w:val="18"/>
              </w:rPr>
              <w:t>Alexander</w:t>
            </w:r>
          </w:p>
        </w:tc>
      </w:tr>
      <w:tr>
        <w:tc>
          <w:tcPr>
            <w:tcW w:type="dxa" w:w="3135"/>
          </w:tcPr>
          <w:p>
            <w:r/>
            <w:r>
              <w:rPr>
                <w:rFonts w:ascii="Calibri" w:hAnsi="Calibri"/>
                <w:b w:val="0"/>
                <w:i w:val="0"/>
                <w:color w:val="000000"/>
                <w:sz w:val="18"/>
              </w:rPr>
              <w:t>2</w:t>
            </w:r>
          </w:p>
        </w:tc>
        <w:tc>
          <w:tcPr>
            <w:tcW w:type="dxa" w:w="3135"/>
          </w:tcPr>
          <w:p>
            <w:r/>
            <w:r>
              <w:rPr>
                <w:rFonts w:ascii="Calibri" w:hAnsi="Calibri"/>
                <w:b w:val="0"/>
                <w:i w:val="0"/>
                <w:color w:val="000000"/>
                <w:sz w:val="18"/>
              </w:rPr>
              <w:t>Read articles — indemnity permitted? amendment needed?</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3</w:t>
            </w:r>
          </w:p>
        </w:tc>
        <w:tc>
          <w:tcPr>
            <w:tcW w:type="dxa" w:w="3135"/>
          </w:tcPr>
          <w:p>
            <w:r/>
            <w:r>
              <w:rPr>
                <w:rFonts w:ascii="Calibri" w:hAnsi="Calibri"/>
                <w:b w:val="0"/>
                <w:i w:val="0"/>
                <w:color w:val="000000"/>
                <w:sz w:val="18"/>
              </w:rPr>
              <w:t>Confirm Registrar records: LI corporate director + representative</w:t>
            </w:r>
          </w:p>
        </w:tc>
        <w:tc>
          <w:tcPr>
            <w:tcW w:type="dxa" w:w="3135"/>
          </w:tcPr>
          <w:p>
            <w:r/>
            <w:r>
              <w:rPr>
                <w:rFonts w:ascii="Calibri" w:hAnsi="Calibri"/>
                <w:b w:val="0"/>
                <w:i w:val="0"/>
                <w:color w:val="000000"/>
                <w:sz w:val="18"/>
              </w:rPr>
              <w:t>Secretary</w:t>
            </w:r>
          </w:p>
        </w:tc>
      </w:tr>
      <w:tr>
        <w:tc>
          <w:tcPr>
            <w:tcW w:type="dxa" w:w="3135"/>
          </w:tcPr>
          <w:p>
            <w:r/>
            <w:r>
              <w:rPr>
                <w:rFonts w:ascii="Calibri" w:hAnsi="Calibri"/>
                <w:b w:val="0"/>
                <w:i w:val="0"/>
                <w:color w:val="000000"/>
                <w:sz w:val="18"/>
              </w:rPr>
              <w:t>4</w:t>
            </w:r>
          </w:p>
        </w:tc>
        <w:tc>
          <w:tcPr>
            <w:tcW w:type="dxa" w:w="3135"/>
          </w:tcPr>
          <w:p>
            <w:r/>
            <w:r>
              <w:rPr>
                <w:rFonts w:ascii="Calibri" w:hAnsi="Calibri"/>
                <w:b w:val="0"/>
                <w:i w:val="0"/>
                <w:color w:val="000000"/>
                <w:sz w:val="18"/>
              </w:rPr>
              <w:t>Align D&amp;O retro date with Jul 2025 related-party approvals</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5</w:t>
            </w:r>
          </w:p>
        </w:tc>
        <w:tc>
          <w:tcPr>
            <w:tcW w:type="dxa" w:w="3135"/>
          </w:tcPr>
          <w:p>
            <w:r/>
            <w:r>
              <w:rPr>
                <w:rFonts w:ascii="Calibri" w:hAnsi="Calibri"/>
                <w:b w:val="0"/>
                <w:i w:val="0"/>
                <w:color w:val="000000"/>
                <w:sz w:val="18"/>
              </w:rPr>
              <w:t>Do not rely on EPC PI certificate as personal cover</w:t>
            </w:r>
          </w:p>
        </w:tc>
        <w:tc>
          <w:tcPr>
            <w:tcW w:type="dxa" w:w="3135"/>
          </w:tcPr>
          <w:p>
            <w:r/>
            <w:r>
              <w:rPr>
                <w:rFonts w:ascii="Calibri" w:hAnsi="Calibri"/>
                <w:b w:val="0"/>
                <w:i w:val="0"/>
                <w:color w:val="000000"/>
                <w:sz w:val="18"/>
              </w:rPr>
              <w:t>—</w:t>
            </w:r>
          </w:p>
        </w:tc>
      </w:tr>
    </w:tbl>
    <w:p/>
    <w:p>
      <w:pPr>
        <w:spacing w:before="240"/>
      </w:pPr>
      <w:r>
        <w:rPr>
          <w:rFonts w:ascii="Calibri" w:hAnsi="Calibri"/>
          <w:b/>
          <w:i w:val="0"/>
          <w:color w:val="C9A432"/>
          <w:sz w:val="24"/>
        </w:rPr>
        <w:t>8.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Beneficiary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Shareholder (consent)</w:t>
            </w:r>
          </w:p>
        </w:tc>
        <w:tc>
          <w:tcPr>
            <w:tcW w:type="dxa" w:w="3135"/>
          </w:tcPr>
          <w:p>
            <w:r/>
            <w:r>
              <w:rPr>
                <w:rFonts w:ascii="Calibri" w:hAnsi="Calibri"/>
                <w:b w:val="0"/>
                <w:i w:val="0"/>
                <w:color w:val="000000"/>
                <w:sz w:val="18"/>
              </w:rPr>
              <w:t>Lighthief International Ltd — 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End of draft — not legal advice. Insurance terms subject to broker binding.</w:t>
      </w:r>
    </w:p>
    <w:p>
      <w:pPr>
        <w:sectPr>
          <w:footerReference w:type="default" r:id="rId22"/>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D&amp;O INSURANCE &amp; DIRECTOR INDEMNITY</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LCY-SHR-DO-2026-001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resolves:</w:t>
      </w:r>
    </w:p>
    <w:p>
      <w:pPr>
        <w:jc w:val="both"/>
      </w:pPr>
      <w:r>
        <w:rPr>
          <w:rFonts w:ascii="Calibri" w:hAnsi="Calibri"/>
          <w:b w:val="0"/>
          <w:i w:val="0"/>
          <w:color w:val="000000"/>
          <w:sz w:val="20"/>
        </w:rPr>
        <w:t>1. D&amp;O insurance. The Company is directed and authorised to procure and maintain directors’ and officers’ liability insurance naming Alexander Papacosta (director and company secretary) and each authorised representative of Lighthief International Ltd acting as corporate director, on terms no less favourable than the heads set out in the Director &amp; Officer Protections deed (LCY-DIR-IND-2026-001), including minimum limit €[1,000,000] and retroactive coverage from 1 July 2025 where available.</w:t>
      </w:r>
    </w:p>
    <w:p>
      <w:pPr>
        <w:jc w:val="both"/>
      </w:pPr>
      <w:r>
        <w:rPr>
          <w:rFonts w:ascii="Calibri" w:hAnsi="Calibri"/>
          <w:b w:val="0"/>
          <w:i w:val="0"/>
          <w:color w:val="000000"/>
          <w:sz w:val="20"/>
        </w:rPr>
        <w:t>2. Premium. Insurance premiums and run-off premiums are approved Company expenses.</w:t>
      </w:r>
    </w:p>
    <w:p>
      <w:pPr>
        <w:jc w:val="both"/>
      </w:pPr>
      <w:r>
        <w:rPr>
          <w:rFonts w:ascii="Calibri" w:hAnsi="Calibri"/>
          <w:b w:val="0"/>
          <w:i w:val="0"/>
          <w:color w:val="000000"/>
          <w:sz w:val="20"/>
        </w:rPr>
        <w:t>3. Statutory indemnity. The Company is authorised to execute a deed of indemnity in favour of the Beneficiaries under LCY-DIR-IND-2026-001 to the maximum permitted by Section 197, Cap. 113 and the articles.</w:t>
      </w:r>
    </w:p>
    <w:p>
      <w:pPr>
        <w:jc w:val="both"/>
      </w:pPr>
      <w:r>
        <w:rPr>
          <w:rFonts w:ascii="Calibri" w:hAnsi="Calibri"/>
          <w:b w:val="0"/>
          <w:i w:val="0"/>
          <w:color w:val="000000"/>
          <w:sz w:val="20"/>
        </w:rPr>
        <w:t>4. Secretary appointment. Alexander Papacosta is confirmed as company secretary of the Company and all filings and minutes executed by him in that capacity from [appointment date / 1 July 2025] to date are ratified, subject to correction of any technical filing errors identified by counsel.</w:t>
      </w:r>
    </w:p>
    <w:p>
      <w:pPr>
        <w:jc w:val="both"/>
      </w:pPr>
      <w:r>
        <w:rPr>
          <w:rFonts w:ascii="Calibri" w:hAnsi="Calibri"/>
          <w:b w:val="0"/>
          <w:i w:val="0"/>
          <w:color w:val="000000"/>
          <w:sz w:val="20"/>
        </w:rPr>
        <w:t>5. Articles. The directors are instructed to procure such amendments to the articles as counsel advises are necessary to give full effect to the indemnity and insurance obligations.</w:t>
      </w:r>
    </w:p>
    <w:p>
      <w:pPr>
        <w:jc w:val="both"/>
      </w:pPr>
      <w:r>
        <w:rPr>
          <w:rFonts w:ascii="Calibri" w:hAnsi="Calibri"/>
          <w:b w:val="0"/>
          <w:i w:val="0"/>
          <w:color w:val="000000"/>
          <w:sz w:val="20"/>
        </w:rPr>
        <w:t>6. Related-party. The Shareholder acknowledges that D&amp;O and indemnity cover related-party claims only where disclosure and approval requirements were satisfied; this Resolution does not waive any right to pursue claims for fraud or dishonesty.</w:t>
      </w:r>
    </w:p>
    <w:p>
      <w:pPr>
        <w:spacing w:before="240"/>
      </w:pPr>
      <w:r>
        <w:rPr>
          <w:rFonts w:ascii="Calibri" w:hAnsi="Calibri"/>
          <w:b/>
          <w:i w:val="0"/>
          <w:color w:val="C9A432"/>
          <w:sz w:val="24"/>
        </w:rPr>
        <w:t>Signature — Sole Shareholder</w:t>
      </w:r>
    </w:p>
    <w:p>
      <w:pPr>
        <w:jc w:val="both"/>
      </w:pPr>
      <w:r>
        <w:rPr>
          <w:rFonts w:ascii="Calibri" w:hAnsi="Calibri"/>
          <w:b/>
          <w:i w:val="0"/>
          <w:color w:val="000000"/>
          <w:sz w:val="20"/>
        </w:rPr>
        <w:t>For and on behalf of LIGHTHIEF INTERNATIONAL LTD</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not the Beneficiary signing for shareholder.</w:t>
      </w:r>
    </w:p>
    <w:sectPr w:rsidR="00FC693F" w:rsidRPr="0006063C" w:rsidSect="00034616">
      <w:footerReference w:type="default" r:id="rId23"/>
      <w:pgSz w:w="12240" w:h="15840"/>
      <w:pgMar w:top="1134"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Lighthief Cyprus Ltd · HE 477423 · solarfarms.cy · DRAFT v6 — May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 · LCY-MOI-TOCA-2026-001 · Main Agreement  |  Page </w:t>
    </w:r>
    <w:r>
      <w:fldChar w:fldCharType="begin"/>
      <w:instrText xml:space="preserve"> PAGE </w:instrText>
      <w:fldChar w:fldCharType="separate"/>
    </w:r>
    <w:fldChar w:fldCharType="end"/>
    <w:r>
      <w:t>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2 · LCY-MOI-TOCA-2026-001 · Schedule 1  |  Page </w:t>
    </w:r>
    <w:r>
      <w:fldChar w:fldCharType="begin"/>
      <w:instrText xml:space="preserve"> PAGE </w:instrText>
      <w:fldChar w:fldCharType="separate"/>
    </w:r>
    <w:fldChar w:fldCharType="end"/>
    <w:r>
      <w:t>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3 · LCY-MOI-TOCA-2026-001 · Schedule 2  |  Page </w:t>
    </w:r>
    <w:r>
      <w:fldChar w:fldCharType="begin"/>
      <w:instrText xml:space="preserve"> PAGE </w:instrText>
      <w:fldChar w:fldCharType="separate"/>
    </w:r>
    <w:fldChar w:fldCharType="end"/>
    <w: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4 · LCY-MOI-TOCA-2026-001 · Schedule 3  |  Page </w:t>
    </w:r>
    <w:r>
      <w:fldChar w:fldCharType="begin"/>
      <w:instrText xml:space="preserve"> PAGE </w:instrText>
      <w:fldChar w:fldCharType="separate"/>
    </w:r>
    <w:fldChar w:fldCharType="end"/>
    <w:r>
      <w:t>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5 · LCY-MOI-TOCA-2026-001 · Execution  |  Page </w:t>
    </w:r>
    <w:r>
      <w:fldChar w:fldCharType="begin"/>
      <w:instrText xml:space="preserve"> PAGE </w:instrText>
      <w:fldChar w:fldCharType="separate"/>
    </w:r>
    <w:fldChar w:fldCharType="end"/>
    <w:r>
      <w:t>1</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6 · LCY-MOI-TOCA-2026-001 · Annex A  |  Page </w:t>
    </w:r>
    <w:r>
      <w:fldChar w:fldCharType="begin"/>
      <w:instrText xml:space="preserve"> PAGE </w:instrText>
      <w:fldChar w:fldCharType="separate"/>
    </w:r>
    <w:fldChar w:fldCharType="end"/>
    <w:r>
      <w:t>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7 · LCY-MOI-TOCA-2026-001 · Annex B  |  Page </w:t>
    </w:r>
    <w:r>
      <w:fldChar w:fldCharType="begin"/>
      <w:instrText xml:space="preserve"> PAGE </w:instrText>
      <w:fldChar w:fldCharType="separate"/>
    </w:r>
    <w:fldChar w:fldCharType="end"/>
    <w:r>
      <w:t>1</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8 · LCY-EMP-AP-2026-001 · MD Employment Agreement  |  Page </w:t>
    </w:r>
    <w:r>
      <w:fldChar w:fldCharType="begin"/>
      <w:instrText xml:space="preserve"> PAGE </w:instrText>
      <w:fldChar w:fldCharType="separate"/>
    </w:r>
    <w:fldChar w:fldCharType="end"/>
    <w:r>
      <w:t>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9 · LCY-SHR-EMP-2026-001 · Shareholder Resolution (MD Employment)  |  Page </w:t>
    </w:r>
    <w:r>
      <w:fldChar w:fldCharType="begin"/>
      <w:instrText xml:space="preserve"> PAGE </w:instrText>
      <w:fldChar w:fldCharType="separate"/>
    </w:r>
    <w:fldChar w:fldCharType="end"/>
    <w:r>
      <w:t>1</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10 · LCY-MD-EQ-2026-001 · Equity Participation Side Letter  |  Page </w:t>
    </w:r>
    <w:r>
      <w:fldChar w:fldCharType="begin"/>
      <w:instrText xml:space="preserve"> PAGE </w:instrText>
      <w:fldChar w:fldCharType="separate"/>
    </w:r>
    <w:fldChar w:fldCharType="end"/>
    <w:r>
      <w:t>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11 · LCY-OPT-A-2026-001 · Founder Runway &amp; MD Economics  |  Page </w:t>
    </w:r>
    <w:r>
      <w:fldChar w:fldCharType="begin"/>
      <w:instrText xml:space="preserve"> PAGE </w:instrText>
      <w:fldChar w:fldCharType="separate"/>
    </w:r>
    <w:fldChar w:fldCharType="end"/>
    <w:r>
      <w:t>1</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12 · LCY-MOI-ADH-2026-001 · Deed of Group Adherence  |  Page </w:t>
    </w:r>
    <w:r>
      <w:fldChar w:fldCharType="begin"/>
      <w:instrText xml:space="preserve"> PAGE </w:instrText>
      <w:fldChar w:fldCharType="separate"/>
    </w:r>
    <w:fldChar w:fldCharType="end"/>
    <w:r>
      <w:t>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13 · LCY-DIR-IND-2026-001 · Director &amp; Officer Protections  |  Page </w:t>
    </w:r>
    <w:r>
      <w:fldChar w:fldCharType="begin"/>
      <w:instrText xml:space="preserve"> PAGE </w:instrText>
      <w:fldChar w:fldCharType="separate"/>
    </w:r>
    <w:fldChar w:fldCharType="end"/>
    <w:r>
      <w:t>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14 · LCY-SHR-DO-2026-001 · Shareholder Resolution (D&amp;O)  |  Page </w:t>
    </w:r>
    <w:r>
      <w:fldChar w:fldCharType="begin"/>
      <w:instrText xml:space="preserve"> PAGE </w:instrText>
      <w:fldChar w:fldCharType="separate"/>
    </w:r>
    <w:fldChar w:fldCharType="end"/>
    <w: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